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CRONOGRAMA DE TRABAJO - RETO SOLID (FARMACIA)</w:t>
      </w:r>
    </w:p>
    <w:p>
      <w:pPr>
        <w:pStyle w:val="Subtitle"/>
      </w:pPr>
      <w:r>
        <w:t>Arquitectura de Software  |  Equipo de 4 integrantes  |  Entrega: Lunes 10 de agosto, 23:59</w:t>
      </w:r>
    </w:p>
    <w:p>
      <w:pPr>
        <w:pStyle w:val="H1"/>
      </w:pPr>
      <w:r>
        <w:t>1. Contexto y reglas del proyecto</w:t>
      </w:r>
    </w:p>
    <w:p>
      <w:pPr>
        <w:ind w:left="360"/>
      </w:pPr>
      <w:r>
        <w:t>• Evaluación 1 (25 % de la nota). Modernización arquitectónica del sistema de farmacia heredado aplicando los 5 principios SOLID, sin cambiar el comportamiento observable.</w:t>
      </w:r>
    </w:p>
    <w:p>
      <w:pPr>
        <w:ind w:left="360"/>
      </w:pPr>
      <w:r>
        <w:t>• Entregables: diagnóstico AS-IS, diseño TO-BE, ADR (mínimo 5), implementación rediseñada en C#, casos de caracterización (mínimo 8), métrica de extensibilidad, bitácora de uso de IA, video de sustentación (máximo 20 minutos), README y estructura de carpetas /00 a /04.</w:t>
      </w:r>
    </w:p>
    <w:p>
      <w:pPr>
        <w:ind w:left="360"/>
      </w:pPr>
      <w:r>
        <w:t>• El código actual (SolucionFarmacia) es el sistema LEGADO (AS-IS). Todo el rediseño y toda la documentación están por hacer.</w:t>
      </w:r>
    </w:p>
    <w:p>
      <w:pPr>
        <w:ind w:left="360"/>
      </w:pPr>
      <w:r>
        <w:t>• Regla de oro: primero se captura el comportamiento base del sistema original (línea base) y ese comportamiento NO puede cambiar durante el rediseño. Ninguna salida, regla de negocio o cálculo puede variar.</w:t>
      </w:r>
    </w:p>
    <w:p>
      <w:pPr>
        <w:pStyle w:val="H1"/>
      </w:pPr>
      <w:r>
        <w:t>2. Roles del equipo</w:t>
      </w:r>
    </w:p>
    <w:p>
      <w:r>
        <w:t>Los 4 roles están sin asignar: se asignan hoy miércoles. Cada integrante responde formalmente por un frente y lo sustenta en el video.</w:t>
      </w:r>
    </w:p>
    <w:tbl>
      <w:tblPr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600"/>
        <w:gridCol w:w="3800"/>
        <w:gridCol w:w="3600"/>
      </w:tblGrid>
      <w:tr>
        <w:tc>
          <w:tcPr>
            <w:tcW w:w="2600" w:type="dxa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w="3800" w:type="dxa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Responsabilidades</w:t>
            </w:r>
          </w:p>
        </w:tc>
        <w:tc>
          <w:tcPr>
            <w:tcW w:w="3600" w:type="dxa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Entregables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Arquitecto de dominio</w:t>
            </w:r>
          </w:p>
        </w:tc>
        <w:tc>
          <w:tcPr>
            <w:tcW w:w="3800" w:type="dxa"/>
          </w:tcPr>
          <w:p>
            <w:r>
              <w:t>SRP, modelo del dominio, jerarquías de herencia y validación LSP.</w:t>
            </w:r>
          </w:p>
        </w:tc>
        <w:tc>
          <w:tcPr>
            <w:tcW w:w="3600" w:type="dxa"/>
          </w:tcPr>
          <w:p>
            <w:r>
              <w:t>Clases del dominio y jerarquía Medicamento / Cápsula / Líquido.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Arquitecto de dependencias</w:t>
            </w:r>
          </w:p>
        </w:tc>
        <w:tc>
          <w:tcPr>
            <w:tcW w:w="3800" w:type="dxa"/>
          </w:tcPr>
          <w:p>
            <w:r>
              <w:t>Mapa de dependencias, abstracciones (interfaces), inversión de dependencias y composition root.</w:t>
            </w:r>
          </w:p>
        </w:tc>
        <w:tc>
          <w:tcPr>
            <w:tcW w:w="3600" w:type="dxa"/>
          </w:tcPr>
          <w:p>
            <w:r>
              <w:t>Interfaces de servicios, abstracción de persistencia y Program.cs.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Ingeniero de comportamiento</w:t>
            </w:r>
          </w:p>
        </w:tc>
        <w:tc>
          <w:tcPr>
            <w:tcW w:w="3800" w:type="dxa"/>
          </w:tcPr>
          <w:p>
            <w:r>
              <w:t>Casos de caracterización y evidencia de preservación de la conducta.</w:t>
            </w:r>
          </w:p>
        </w:tc>
        <w:tc>
          <w:tcPr>
            <w:tcW w:w="3600" w:type="dxa"/>
          </w:tcPr>
          <w:p>
            <w:r>
              <w:t>8+ casos con salidas original vs rediseño y programa de demostración.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Integrador y evidencia</w:t>
            </w:r>
          </w:p>
        </w:tc>
        <w:tc>
          <w:tcPr>
            <w:tcW w:w="3800" w:type="dxa"/>
          </w:tcPr>
          <w:p>
            <w:r>
              <w:t>Diagramas UML, estructura de carpetas, bitácora de IA, métricas, video, GitHub y README.</w:t>
            </w:r>
          </w:p>
        </w:tc>
        <w:tc>
          <w:tcPr>
            <w:tcW w:w="3600" w:type="dxa"/>
          </w:tcPr>
          <w:p>
            <w:r>
              <w:t>Carpetas /00 a /04, README y enlace del video.</w:t>
            </w:r>
          </w:p>
        </w:tc>
      </w:tr>
    </w:tbl>
    <w:p>
      <w:pPr>
        <w:pStyle w:val="H1"/>
      </w:pPr>
      <w:r>
        <w:t>3. Cronograma día a día</w:t>
      </w: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</w:tblPr>
      <w:tblGrid>
        <w:gridCol w:w="2200"/>
        <w:gridCol w:w="3800"/>
        <w:gridCol w:w="4000"/>
      </w:tblGrid>
      <w:tr>
        <w:tc>
          <w:tcPr>
            <w:tcW w:w="2200" w:type="dxa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Día</w:t>
            </w:r>
          </w:p>
        </w:tc>
        <w:tc>
          <w:tcPr>
            <w:tcW w:w="3800" w:type="dxa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Foco</w:t>
            </w:r>
          </w:p>
        </w:tc>
        <w:tc>
          <w:tcPr>
            <w:tcW w:w="4000" w:type="dxa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Meta del día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Miércoles 5</w:t>
            </w:r>
          </w:p>
        </w:tc>
        <w:tc>
          <w:tcPr>
            <w:tcW w:w="3800" w:type="dxa"/>
          </w:tcPr>
          <w:p>
            <w:r>
              <w:t>Arranque, lectura en frío y línea base.</w:t>
            </w:r>
          </w:p>
        </w:tc>
        <w:tc>
          <w:tcPr>
            <w:tcW w:w="4000" w:type="dxa"/>
          </w:tcPr>
          <w:p>
            <w:r>
              <w:t>Línea base capturada + hojas de lectura en frío listas.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Jueves 6</w:t>
            </w:r>
          </w:p>
        </w:tc>
        <w:tc>
          <w:tcPr>
            <w:tcW w:w="3800" w:type="dxa"/>
          </w:tcPr>
          <w:p>
            <w:r>
              <w:t>Diagnóstico AS-IS completo.</w:t>
            </w:r>
          </w:p>
        </w:tc>
        <w:tc>
          <w:tcPr>
            <w:tcW w:w="4000" w:type="dxa"/>
          </w:tcPr>
          <w:p>
            <w:r>
              <w:t>Diagrama AS-IS + hallazgos + SC elegida.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Viernes 7</w:t>
            </w:r>
          </w:p>
        </w:tc>
        <w:tc>
          <w:tcPr>
            <w:tcW w:w="3800" w:type="dxa"/>
          </w:tcPr>
          <w:p>
            <w:r>
              <w:t>Diseño TO-BE parte 1.</w:t>
            </w:r>
          </w:p>
        </w:tc>
        <w:tc>
          <w:tcPr>
            <w:tcW w:w="4000" w:type="dxa"/>
          </w:tcPr>
          <w:p>
            <w:r>
              <w:t>Diagrama TO-BE con colores + ADR 1-3.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Sábado 8</w:t>
            </w:r>
          </w:p>
        </w:tc>
        <w:tc>
          <w:tcPr>
            <w:tcW w:w="3800" w:type="dxa"/>
          </w:tcPr>
          <w:p>
            <w:r>
              <w:t>TO-BE parte 2 + implementación.</w:t>
            </w:r>
          </w:p>
        </w:tc>
        <w:tc>
          <w:tcPr>
            <w:tcW w:w="4000" w:type="dxa"/>
          </w:tcPr>
          <w:p>
            <w:r>
              <w:t>Código rediseñado cerrado y funcionando.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Domingo 9</w:t>
            </w:r>
          </w:p>
        </w:tc>
        <w:tc>
          <w:tcPr>
            <w:tcW w:w="3800" w:type="dxa"/>
          </w:tcPr>
          <w:p>
            <w:r>
              <w:t>Cierre de código, evidencia y video.</w:t>
            </w:r>
          </w:p>
        </w:tc>
        <w:tc>
          <w:tcPr>
            <w:tcW w:w="4000" w:type="dxa"/>
          </w:tcPr>
          <w:p>
            <w:r>
              <w:t>TODO LISTO antes de medianoche.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Lunes 10</w:t>
            </w:r>
          </w:p>
        </w:tc>
        <w:tc>
          <w:tcPr>
            <w:tcW w:w="3800" w:type="dxa"/>
          </w:tcPr>
          <w:p>
            <w:r>
              <w:t>Solo empaque y revisión final.</w:t>
            </w:r>
          </w:p>
        </w:tc>
        <w:tc>
          <w:tcPr>
            <w:tcW w:w="4000" w:type="dxa"/>
          </w:tcPr>
          <w:p>
            <w:r>
              <w:t>Entrega enviada antes de las 23:59.</w:t>
            </w:r>
          </w:p>
        </w:tc>
      </w:tr>
    </w:tbl>
    <w:p>
      <w:pPr>
        <w:pStyle w:val="H2"/>
      </w:pPr>
      <w:r>
        <w:t>3.1 Miércoles 5 (tarde/noche) - Arranque, lectura en frío y línea base</w:t>
      </w:r>
    </w:p>
    <w:p>
      <w:pPr>
        <w:ind w:left="360"/>
      </w:pPr>
      <w:r>
        <w:t>1. Asignar roles y fijar la reunión diaria de 1 hora.</w:t>
      </w:r>
    </w:p>
    <w:p>
      <w:pPr>
        <w:ind w:left="360"/>
      </w:pPr>
      <w:r>
        <w:t>2. Cada integrante lee el código AS-IS por su cuenta y escribe SU página de lectura en frío: qué creen que hace el sistema y sus entidades, los 3 lugares que harían costoso un cambio y por qué, y 1 pregunta al programador original. Guardar en /00-lectura-en-frio/Nombre.md</w:t>
      </w:r>
    </w:p>
    <w:p>
      <w:pPr>
        <w:ind w:left="360"/>
      </w:pPr>
      <w:r>
        <w:t>3. Capturar el comportamiento base del sistema original ANTES de tocar nada: login correcto, login fallido, ver productos, ver clientes, buscar producto, registrar venta, acumular puntos, alertas de stock y de vencimiento. Guardar en /04-evidencia/linea-base/</w:t>
      </w:r>
    </w:p>
    <w:p>
      <w:pPr>
        <w:ind w:left="360"/>
      </w:pPr>
      <w:r>
        <w:t>4. Como el menú es interactivo, el Ingeniero de comportamiento arma un harness que llama a los servicios con datos fijos para obtener salidas deterministas.</w:t>
      </w:r>
    </w:p>
    <w:p>
      <w:pPr>
        <w:ind w:left="360"/>
      </w:pPr>
      <w:r>
        <w:t>5. Verificar que el proyecto compila (dotnet build) e inicializar el repositorio GitHub del entregable.</w:t>
      </w:r>
    </w:p>
    <w:p>
      <w:pPr>
        <w:pStyle w:val="Criterio"/>
      </w:pPr>
      <w:r>
        <w:t>Criterio de salida: 4 hojas de lectura en frío - Compila - Línea base capturada - Repo creado.</w:t>
      </w:r>
    </w:p>
    <w:p>
      <w:pPr>
        <w:pStyle w:val="H2"/>
      </w:pPr>
      <w:r>
        <w:t>3.2 Jueves 6 - Diagnóstico AS-IS + decisión de la solicitud de cambio</w:t>
      </w:r>
    </w:p>
    <w:p>
      <w:pPr>
        <w:ind w:left="360"/>
      </w:pPr>
      <w:r>
        <w:t>1. Diagrama UML AS-IS completo en draw.io: todas las clases, atributos, operaciones, relaciones y multiplicidades reales, en notación extendida. Guardar fuente editable + PNG en /01-diagnostico/</w:t>
      </w:r>
    </w:p>
    <w:p>
      <w:pPr>
        <w:ind w:left="360"/>
      </w:pPr>
      <w:r>
        <w:t>2. Inventario de hallazgos (tabla H-01 en adelante): ubicación archivo/clase/línea, síntoma, principio comprometido, impacto en el negocio, severidad y origen (propio o asistido). Mínimo 3 hallazgos propios y 1 sugerencia de la IA refutada con argumento técnico.</w:t>
      </w:r>
    </w:p>
    <w:p>
      <w:pPr>
        <w:ind w:left="360"/>
      </w:pPr>
      <w:r>
        <w:t>3. Mapa de dependencias: qué clase depende de cuáles, alto nivel vs bajo nivel, y dónde está invertida la relación hoy.</w:t>
      </w:r>
    </w:p>
    <w:p>
      <w:pPr>
        <w:ind w:left="360"/>
      </w:pPr>
      <w:r>
        <w:t>4. Top 3 puntos de dolor priorizados con criterio explícito.</w:t>
      </w:r>
    </w:p>
    <w:p>
      <w:pPr>
        <w:ind w:left="360"/>
      </w:pPr>
      <w:r>
        <w:t>5. Línea base de las 3 solicitudes de cambio: cuántas clases y archivos habría que modificar hoy y qué comportamiento se arriesga (SC-1, SC-2 y SC-3).</w:t>
      </w:r>
    </w:p>
    <w:p>
      <w:pPr>
        <w:ind w:left="360"/>
      </w:pPr>
      <w:r>
        <w:t>6. Decidir la SC a implementar (recomendación: SC-1) y empezar la bitácora de IA.</w:t>
      </w:r>
    </w:p>
    <w:p>
      <w:pPr>
        <w:pStyle w:val="Criterio"/>
      </w:pPr>
      <w:r>
        <w:t>Criterio de salida: AS-IS + hallazgos + mapa + top 3 + línea base de SC - SC elegida.</w:t>
      </w:r>
    </w:p>
    <w:p>
      <w:pPr>
        <w:pStyle w:val="H2"/>
      </w:pPr>
      <w:r>
        <w:t>3.3 Viernes 7 - Diseño TO-BE parte 1</w:t>
      </w:r>
    </w:p>
    <w:p>
      <w:pPr>
        <w:ind w:left="360"/>
      </w:pPr>
      <w:r>
        <w:t>1. Diagrama UML TO-BE en draw.io: en negro lo que se conserva del diseño original y un color por principio aplicado, con su leyenda. Guardar fuente editable + PNG en /02-diseno/</w:t>
      </w:r>
    </w:p>
    <w:p>
      <w:pPr>
        <w:ind w:left="360"/>
      </w:pPr>
      <w:r>
        <w:t>2. Definir las particiones de clases por SRP: qué clase se parte, en cuántas y por qué esa frontera.</w:t>
      </w:r>
    </w:p>
    <w:p>
      <w:pPr>
        <w:ind w:left="360"/>
      </w:pPr>
      <w:r>
        <w:t>3. Justificar la jerarquía Medicamento / Cápsula / Líquido: herencia vs composición y verificación LSP explícita (precondiciones, postcondiciones, invariantes y excepciones).</w:t>
      </w:r>
    </w:p>
    <w:p>
      <w:pPr>
        <w:ind w:left="360"/>
      </w:pPr>
      <w:r>
        <w:t>4. Definir las abstracciones nuevas: interfaces de servicios, abstracción de persistencia (lectura de archivos), notificación y descuento, y el punto exacto del composition root.</w:t>
      </w:r>
    </w:p>
    <w:p>
      <w:pPr>
        <w:ind w:left="360"/>
      </w:pPr>
      <w:r>
        <w:t>5. Redactar los ADR 1 a 3 (los estructurales): contexto y evidencia, al menos 2 alternativas evaluadas, decisión, costo aceptado y principios involucrados.</w:t>
      </w:r>
    </w:p>
    <w:p>
      <w:pPr>
        <w:pStyle w:val="Criterio"/>
      </w:pPr>
      <w:r>
        <w:t>Criterio de salida: TO-BE con colores y leyenda - ADR 1 a 3.</w:t>
      </w:r>
    </w:p>
    <w:p>
      <w:pPr>
        <w:pStyle w:val="H2"/>
      </w:pPr>
      <w:r>
        <w:t>3.4 Sábado 8 - TO-BE parte 2 + implementación</w:t>
      </w:r>
    </w:p>
    <w:p>
      <w:pPr>
        <w:ind w:left="360"/>
      </w:pPr>
      <w:r>
        <w:t>1. Redactar los ADR 4 y 5.</w:t>
      </w:r>
    </w:p>
    <w:p>
      <w:pPr>
        <w:ind w:left="360"/>
      </w:pPr>
      <w:r>
        <w:t>2. Validar que el TO-BE sea espejo 1:1 del código que se escribirá: cada clase e interfaz del diagrama existe en el código y no hay clases relevantes fuera del diagrama.</w:t>
      </w:r>
    </w:p>
    <w:p>
      <w:pPr>
        <w:ind w:left="360"/>
      </w:pPr>
      <w:r>
        <w:t>3. Implementar el rediseño: interfaces, repositorio de datos, inyección por constructor, composition root, sacar el Console.WriteLine del dominio y desacoplar la carga de archivo (ServicioProducto). Mantener el comportamiento idéntico.</w:t>
      </w:r>
    </w:p>
    <w:p>
      <w:pPr>
        <w:ind w:left="360"/>
      </w:pPr>
      <w:r>
        <w:t>4. Implementar la SC elegida (ej. SC-1: nuevos subtipos de producto + factory + carga por tipo, sin tocar el flujo del medicamento).</w:t>
      </w:r>
    </w:p>
    <w:p>
      <w:pPr>
        <w:ind w:left="360"/>
      </w:pPr>
      <w:r>
        <w:t>5. Cerrar el código ANTES de medianoche: el domingo ya no se cambia comportamiento. Además, escribir el guion del video.</w:t>
      </w:r>
    </w:p>
    <w:p>
      <w:pPr>
        <w:pStyle w:val="Criterio"/>
      </w:pPr>
      <w:r>
        <w:t>Criterio de salida: compila y ejecuta - mismas salidas que la línea base - guion de video listo.</w:t>
      </w:r>
    </w:p>
    <w:p>
      <w:pPr>
        <w:pStyle w:val="H2"/>
      </w:pPr>
      <w:r>
        <w:t>3.5 Domingo 9 - TODO LISTO (día pesado)</w:t>
      </w:r>
    </w:p>
    <w:p>
      <w:pPr>
        <w:ind w:left="360"/>
      </w:pPr>
      <w:r>
        <w:t>1. Terminar detalles de código, compilación limpia y correr todos los escenarios.</w:t>
      </w:r>
    </w:p>
    <w:p>
      <w:pPr>
        <w:ind w:left="360"/>
      </w:pPr>
      <w:r>
        <w:t>2. Ejecutar los 8+ casos de caracterización contra el original (línea base) y contra el rediseño, y guardar las salidas comparadas en /04-evidencia/caracterizacion/</w:t>
      </w:r>
    </w:p>
    <w:p>
      <w:pPr>
        <w:ind w:left="360"/>
      </w:pPr>
      <w:r>
        <w:t>3. Métrica de extensibilidad: tabla de clases creadas vs modificadas (arquitectura vieja vs nueva) para la SC implementada, con interpretación y qué habría pasado con las otras 2 solicitudes.</w:t>
      </w:r>
    </w:p>
    <w:p>
      <w:pPr>
        <w:ind w:left="360"/>
      </w:pPr>
      <w:r>
        <w:t>4. Completar la bitácora de IA: consulta, propuesta de la herramienta, decisión (aceptada / corregida / rechazada) y argumento. La calidad del juicio pesa más que la cantidad.</w:t>
      </w:r>
    </w:p>
    <w:p>
      <w:pPr>
        <w:ind w:left="360"/>
      </w:pPr>
      <w:r>
        <w:t>5. Revisión cruzada de consistencia diagrama TO-BE vs código.</w:t>
      </w:r>
    </w:p>
    <w:p>
      <w:pPr>
        <w:ind w:left="360"/>
      </w:pPr>
      <w:r>
        <w:t>6. Grabar el video (máximo 20 minutos) con los 4 integrantes y cámara. Guion por bloques: 0-3 AS-IS y puntos de dolor - 3-6 hallazgos y refutación - 6-12 TO-BE y ADR - 12-17 ejecución en vivo y métrica - 17-20 IA propuesta y no usada + deuda técnica consciente. Subirlo a YouTube y pegar el enlace en el README.</w:t>
      </w:r>
    </w:p>
    <w:p>
      <w:pPr>
        <w:ind w:left="360"/>
      </w:pPr>
      <w:r>
        <w:t>7. Escribir el README (roles, instrucciones de ejecución, enlace del video) y subir todo al repositorio de GitHub.</w:t>
      </w:r>
    </w:p>
    <w:p>
      <w:pPr>
        <w:pStyle w:val="Criterio"/>
      </w:pPr>
      <w:r>
        <w:t>Criterio de salida (antes de medianoche): código + evidencia + diagramas + ADR + bitácora + video + README completos y subidos al repo.</w:t>
      </w:r>
    </w:p>
    <w:p>
      <w:pPr>
        <w:pStyle w:val="H2"/>
      </w:pPr>
      <w:r>
        <w:t>3.6 Lunes 10 (hasta las 23:59) - SOLO EMPAQUE</w:t>
      </w:r>
    </w:p>
    <w:p>
      <w:pPr>
        <w:ind w:left="360"/>
      </w:pPr>
      <w:r>
        <w:t>1. Revisar la estructura final de carpetas /00 a /04 y el README.</w:t>
      </w:r>
    </w:p>
    <w:p>
      <w:pPr>
        <w:ind w:left="360"/>
      </w:pPr>
      <w:r>
        <w:t>2. Pasar el checklist final de la rúbrica y corregir solo detalles menores.</w:t>
      </w:r>
    </w:p>
    <w:p>
      <w:pPr>
        <w:ind w:left="360"/>
      </w:pPr>
      <w:r>
        <w:t>3. Generar el paquete de entrega y enviarlo ANTES de las 23:59.</w:t>
      </w:r>
    </w:p>
    <w:p>
      <w:pPr>
        <w:pStyle w:val="Criterio"/>
      </w:pPr>
      <w:r>
        <w:t>Criterio de salida: no se hace trabajo nuevo; solo verificación y envío.</w:t>
      </w:r>
    </w:p>
    <w:p>
      <w:pPr>
        <w:pStyle w:val="H1"/>
      </w:pPr>
      <w:r>
        <w:t>4. Solicitudes de cambio (elegir 1 para implementar)</w:t>
      </w:r>
    </w:p>
    <w:p>
      <w:r>
        <w:t>Se implementa solo una y se justifica la elección. La métrica compara la arquitectura vieja contra la nueva.</w:t>
      </w:r>
    </w:p>
    <w:tbl>
      <w:tblPr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300"/>
        <w:gridCol w:w="4700"/>
        <w:gridCol w:w="4000"/>
      </w:tblGrid>
      <w:tr>
        <w:tc>
          <w:tcPr>
            <w:tcW w:w="1300" w:type="dxa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w="4700" w:type="dxa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Solicitud</w:t>
            </w:r>
          </w:p>
        </w:tc>
        <w:tc>
          <w:tcPr>
            <w:tcW w:w="4000" w:type="dxa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Principios que presiona</w:t>
            </w:r>
          </w:p>
        </w:tc>
      </w:tr>
      <w:tr>
        <w:tc>
          <w:tcPr>
            <w:tcW w:w="1300" w:type="dxa"/>
          </w:tcPr>
          <w:p>
            <w:r>
              <w:rPr>
                <w:b/>
              </w:rPr>
              <w:t>SC-1</w:t>
            </w:r>
          </w:p>
        </w:tc>
        <w:tc>
          <w:tcPr>
            <w:tcW w:w="4700" w:type="dxa"/>
          </w:tcPr>
          <w:p>
            <w:r>
              <w:t>Vender cosméticos y comestibles (gaseosas, agua, helados, snacks en general).</w:t>
            </w:r>
          </w:p>
        </w:tc>
        <w:tc>
          <w:tcPr>
            <w:tcW w:w="4000" w:type="dxa"/>
          </w:tcPr>
          <w:p>
            <w:r>
              <w:t>OCP y LSP. RECOMENDADA.</w:t>
            </w:r>
          </w:p>
        </w:tc>
      </w:tr>
      <w:tr>
        <w:tc>
          <w:tcPr>
            <w:tcW w:w="1300" w:type="dxa"/>
          </w:tcPr>
          <w:p>
            <w:r>
              <w:rPr>
                <w:b/>
              </w:rPr>
              <w:t>SC-2</w:t>
            </w:r>
          </w:p>
        </w:tc>
        <w:tc>
          <w:tcPr>
            <w:tcW w:w="4700" w:type="dxa"/>
          </w:tcPr>
          <w:p>
            <w:r>
              <w:t>Vender servicios: inyectología, cambio de vendajes, curaciones básicas, entre otros.</w:t>
            </w:r>
          </w:p>
        </w:tc>
        <w:tc>
          <w:tcPr>
            <w:tcW w:w="4000" w:type="dxa"/>
          </w:tcPr>
          <w:p>
            <w:r>
              <w:t>Nuevo tipo de entidad distinto de producto.</w:t>
            </w:r>
          </w:p>
        </w:tc>
      </w:tr>
      <w:tr>
        <w:tc>
          <w:tcPr>
            <w:tcW w:w="1300" w:type="dxa"/>
          </w:tcPr>
          <w:p>
            <w:r>
              <w:rPr>
                <w:b/>
              </w:rPr>
              <w:t>SC-3</w:t>
            </w:r>
          </w:p>
        </w:tc>
        <w:tc>
          <w:tcPr>
            <w:tcW w:w="4700" w:type="dxa"/>
          </w:tcPr>
          <w:p>
            <w:r>
              <w:t>Convenios: empresas (empleados), bancos (clientes), cooperativas y mutuales (asociados), universidades y colegios (estudiantes y profesores), con descuentos y crédito.</w:t>
            </w:r>
          </w:p>
        </w:tc>
        <w:tc>
          <w:tcPr>
            <w:tcW w:w="4000" w:type="dxa"/>
          </w:tcPr>
          <w:p>
            <w:r>
              <w:t>OCP, DIP e ISP. La más completa y compleja.</w:t>
            </w:r>
          </w:p>
        </w:tc>
      </w:tr>
    </w:tbl>
    <w:p>
      <w:r>
        <w:t>Recomendación del equipo: SC-1, por ser la más segura de implementar y la más fácil de demostrar en el video y en la métrica de extensibilidad.</w:t>
      </w:r>
    </w:p>
    <w:p>
      <w:pPr>
        <w:pStyle w:val="H1"/>
      </w:pPr>
      <w:r>
        <w:t>5. Checklist de penalizaciones (rúbrica) - vigilar todo el tiempo</w:t>
      </w:r>
    </w:p>
    <w:p>
      <w:pPr>
        <w:ind w:left="360"/>
      </w:pPr>
      <w:r>
        <w:t>• Código que no compila o no ejecuta: el criterio de implementación se califica en 0.0.</w:t>
      </w:r>
    </w:p>
    <w:p>
      <w:pPr>
        <w:ind w:left="360"/>
      </w:pPr>
      <w:r>
        <w:t>• Inconsistencia entre el diagrama TO-BE y el código entregado: la nota de los criterios 2 y 4 no puede superar 3.0.</w:t>
      </w:r>
    </w:p>
    <w:p>
      <w:pPr>
        <w:ind w:left="360"/>
      </w:pPr>
      <w:r>
        <w:t>• Ausencia de la bitácora de IA o de las hojas de lectura en frío: el criterio 6 se califica en 0.0.</w:t>
      </w:r>
    </w:p>
    <w:p>
      <w:pPr>
        <w:ind w:left="360"/>
      </w:pPr>
      <w:r>
        <w:t>• Cambio no autorizado en el comportamiento observable del sistema: penalización de 0.5 sobre la nota final por cada caso.</w:t>
      </w:r>
    </w:p>
    <w:p>
      <w:pPr>
        <w:ind w:left="360"/>
      </w:pPr>
      <w:r>
        <w:t>• Integrante que no participa en el video o no responde su pregunta de contradicción: su nota individual se reduce al menos en 1.5.</w:t>
      </w:r>
    </w:p>
    <w:p>
      <w:pPr>
        <w:ind w:left="360"/>
      </w:pPr>
      <w:r>
        <w:t>• Video que excede los 20 minutos: no se evalúa el contenido posterior al minuto 20.</w:t>
      </w:r>
    </w:p>
    <w:p>
      <w:pPr>
        <w:ind w:left="360"/>
      </w:pPr>
      <w:r>
        <w:t>• Entrega tardía: se penalizan 0.5 por cada 24 horas de retraso.</w:t>
      </w:r>
    </w:p>
    <w:p>
      <w:pPr>
        <w:pStyle w:val="H1"/>
      </w:pPr>
      <w:r>
        <w:t>6. Riesgos y reglas de oro</w:t>
      </w:r>
    </w:p>
    <w:p>
      <w:pPr>
        <w:ind w:left="360"/>
      </w:pPr>
      <w:r>
        <w:t>• Las fechas de vencimiento en productos.txt son de 2025: para los casos de caracterización no usar DateTime.Now; congelar los escenarios con fechas fijas.</w:t>
      </w:r>
    </w:p>
    <w:p>
      <w:pPr>
        <w:ind w:left="360"/>
      </w:pPr>
      <w:r>
        <w:t>• No existe un repositorio propio del proyecto: inicializarlo hoy y subir avances todos los días.</w:t>
      </w:r>
    </w:p>
    <w:p>
      <w:pPr>
        <w:ind w:left="360"/>
      </w:pPr>
      <w:r>
        <w:t>• El domingo es un día saturado: el código debe quedar cerrado el sábado en la noche y el video se graba el domingo en la mañana.</w:t>
      </w:r>
    </w:p>
    <w:p>
      <w:pPr>
        <w:ind w:left="360"/>
      </w:pPr>
      <w:r>
        <w:t>• No dejar abierto el Word del enunciado cuando OneDrive esté sincronizando.</w:t>
      </w:r>
    </w:p>
    <w:p>
      <w:pPr>
        <w:ind w:left="360"/>
      </w:pPr>
      <w:r>
        <w:t>• Bitácora de IA desde el jueves: registrar consulta, propuesta, decisión (aceptada / corregida / rechazada) y argumento.</w:t>
      </w:r>
    </w:p>
    <w:sectPr>
      <w:pgSz w:w="12240" w:h="15840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rFonts w:ascii="Calibri Light" w:hAnsi="Calibri Light"/>
      <w:b/>
      <w:color w:val="1F4E79"/>
      <w:sz w:val="36"/>
      <w:szCs w:val="36"/>
    </w:rPr>
    <w:pPr>
      <w:spacing w:after="240" w:before="240"/>
      <w:jc w:val="center"/>
    </w:pPr>
  </w:style>
  <w:style w:type="paragraph" w:styleId="Subtitle">
    <w:name w:val="Subtitle"/>
    <w:basedOn w:val="Normal"/>
    <w:qFormat/>
    <w:rPr>
      <w:i/>
      <w:color w:val="595959"/>
      <w:sz w:val="24"/>
      <w:szCs w:val="24"/>
    </w:rPr>
    <w:pPr>
      <w:spacing w:after="240"/>
      <w:jc w:val="center"/>
    </w:pPr>
  </w:style>
  <w:style w:type="paragraph" w:styleId="H1">
    <w:name w:val="Heading 1"/>
    <w:basedOn w:val="Normal"/>
    <w:qFormat/>
    <w:rPr>
      <w:b/>
      <w:color w:val="1F4E79"/>
      <w:sz w:val="28"/>
      <w:szCs w:val="28"/>
    </w:rPr>
    <w:pPr>
      <w:keepNext/>
      <w:spacing w:before="300" w:after="140"/>
    </w:pPr>
  </w:style>
  <w:style w:type="paragraph" w:styleId="H2">
    <w:name w:val="Heading 2"/>
    <w:basedOn w:val="Normal"/>
    <w:qFormat/>
    <w:rPr>
      <w:b/>
      <w:color w:val="2E74B5"/>
      <w:sz w:val="24"/>
      <w:szCs w:val="24"/>
    </w:rPr>
    <w:pPr>
      <w:keepNext/>
      <w:spacing w:before="220" w:after="100"/>
    </w:pPr>
  </w:style>
  <w:style w:type="paragraph" w:styleId="Criterio">
    <w:name w:val="Criterio"/>
    <w:basedOn w:val="Normal"/>
    <w:qFormat/>
    <w:rPr>
      <w:b/>
      <w:i/>
      <w:color w:val="548235"/>
    </w:rPr>
    <w:pPr>
      <w:spacing w:before="80" w:after="200"/>
      <w:ind w:left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