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MAGISTRAL</w:t>
      </w:r>
    </w:p>
    <w:p>
      <w:pPr>
        <w:spacing w:after="80"/>
      </w:pPr>
      <w:r>
        <w:rPr>
          <w:rFonts w:ascii="Georgia" w:hAnsi="Georgia"/>
          <w:i/>
          <w:color w:val="4A4A5A"/>
          <w:sz w:val="24"/>
        </w:rPr>
        <w:t>Congreso de Finanzas Públicas Territoriales 2026</w:t>
      </w:r>
    </w:p>
    <w:p>
      <w:pPr>
        <w:spacing w:after="80"/>
      </w:pPr>
      <w:r>
        <w:rPr>
          <w:rFonts w:ascii="Georgia" w:hAnsi="Georgia"/>
          <w:i/>
          <w:color w:val="666666"/>
          <w:sz w:val="18"/>
        </w:rPr>
        <w:t>Intervención: Luis Fernando Agudelo, Director del Departamento Administrativo de Planeación de Antioquia</w:t>
      </w:r>
      <w:r>
        <w:br/>
      </w:r>
      <w:r>
        <w:rPr>
          <w:rFonts w:ascii="Georgia" w:hAnsi="Georgia"/>
          <w:i/>
          <w:color w:val="666666"/>
          <w:sz w:val="18"/>
        </w:rPr>
        <w:t>Fecha del evento: 5 de Agosto 2026</w:t>
      </w:r>
      <w:r>
        <w:br/>
      </w:r>
      <w:r>
        <w:rPr>
          <w:rFonts w:ascii="Georgia" w:hAnsi="Georgia"/>
          <w:i/>
          <w:color w:val="666666"/>
          <w:sz w:val="18"/>
        </w:rPr>
        <w:t>Panel: Charla magistral – Apertura</w:t>
      </w:r>
      <w:r>
        <w:br/>
      </w:r>
      <w:r>
        <w:rPr>
          <w:rFonts w:ascii="Georgia" w:hAnsi="Georgia"/>
          <w:i/>
          <w:color w:val="666666"/>
          <w:sz w:val="18"/>
        </w:rPr>
        <w:t>Actor principal: Luis Fernando Agudelo – DAP Antioquia</w:t>
      </w:r>
      <w:r>
        <w:br/>
      </w:r>
      <w:r>
        <w:rPr>
          <w:rFonts w:ascii="Georgia" w:hAnsi="Georgia"/>
          <w:i/>
          <w:color w:val="666666"/>
          <w:sz w:val="18"/>
        </w:rPr>
        <w:t>Institución: Gobernación de Antioquia</w:t>
      </w:r>
      <w:r>
        <w:br/>
      </w:r>
      <w:r>
        <w:rPr>
          <w:rFonts w:ascii="Georgia" w:hAnsi="Georgia"/>
          <w:i/>
          <w:color w:val="666666"/>
          <w:sz w:val="18"/>
        </w:rPr>
        <w:t>Codificación: Fiscalidad territorial | Descentralización | Coordinación intergubernamental | Autonomía fiscal</w:t>
      </w:r>
    </w:p>
    <w:p>
      <w:pPr>
        <w:spacing w:after="320"/>
      </w:pPr>
      <w:r>
        <w:rPr>
          <w:rFonts w:ascii="Montserrat" w:hAnsi="Montserrat"/>
          <w:color w:val="0B43F7"/>
          <w:sz w:val="20"/>
        </w:rPr>
        <w:t>───────────────────────────────────</w:t>
      </w:r>
    </w:p>
    <w:p>
      <w:pPr>
        <w:pStyle w:val="Heading1"/>
      </w:pPr>
      <w:r>
        <w:t>1. CONTEXTO Y ANCLAJE POLÍTICO</w:t>
      </w:r>
    </w:p>
    <w:p>
      <w:pPr>
        <w:jc w:val="both"/>
      </w:pPr>
      <w:r>
        <w:rPr>
          <w:rFonts w:ascii="Montserrat" w:hAnsi="Montserrat"/>
          <w:color w:val="333333"/>
          <w:sz w:val="22"/>
        </w:rPr>
        <w:t>La intervención se enmarca en la apertura del Congreso de Finanzas Públicas Territoriales 2026, organizado por GOBS. El orador, en representación de la Gobernación de Antioquia, sitúa la discusión fiscal territorial en un contexto global de revalorización de la política fiscal tras la crisis de 2008 y la pandemia, subrayando que el mundo ha transitado de un orden donde la política monetaria era hegemónica —desde Thatcher y Reagan— a uno donde la política fiscal retoma el centro de la escena, pero en condiciones estructuralmente distintas: mayor endeudamiento, gobiernos más grandes, transformación energética acelerada, conectividad digital y crisis de los consensos democráticos.</w:t>
      </w:r>
    </w:p>
    <w:p>
      <w:pPr>
        <w:pStyle w:val="Quote"/>
      </w:pPr>
      <w:r>
        <w:rPr>
          <w:rFonts w:ascii="Georgia" w:hAnsi="Georgia"/>
          <w:i/>
          <w:color w:val="1A1A2E"/>
          <w:sz w:val="21"/>
        </w:rPr>
        <w:t>la crisis del año 2008 y la pandemia pusieron de nuevo a la política fiscal en el centro de la escena... estamos en un mundo estructuralmente distinto a otros momentos donde la política fiscal estuvo en el centro: es un mundo más endeudado y con gobiernos también más grandes.</w:t>
      </w:r>
      <w:r>
        <w:br/>
      </w:r>
      <w:r>
        <w:rPr>
          <w:rFonts w:ascii="Georgia" w:hAnsi="Georgia"/>
          <w:b/>
          <w:i/>
          <w:color w:val="0B43F7"/>
          <w:sz w:val="21"/>
        </w:rPr>
        <w:t>— Luis Fernando Agudelo</w:t>
      </w:r>
    </w:p>
    <w:p>
      <w:pPr>
        <w:jc w:val="both"/>
      </w:pPr>
      <w:r>
        <w:rPr>
          <w:rFonts w:ascii="Montserrat" w:hAnsi="Montserrat"/>
          <w:color w:val="333333"/>
          <w:sz w:val="22"/>
        </w:rPr>
        <w:t>El anclaje político del discurso no es meramente descriptivo: el orador convoca explícitamente a los asistentes —secretarios de hacienda, alcaldes, directores de agencias territoriales— a asumirse como 'fieles de la fiscalidad', posicionando la gestión correcta de ingresos y gastos como el núcleo resolutivo de los problemas públicos. Esta convocatoria performativa establece el tono de urgencia y la legitimidad epistémica del evento.</w:t>
      </w:r>
    </w:p>
    <w:p>
      <w:pPr>
        <w:pStyle w:val="Quote"/>
      </w:pPr>
      <w:r>
        <w:rPr>
          <w:rFonts w:ascii="Georgia" w:hAnsi="Georgia"/>
          <w:i/>
          <w:color w:val="1A1A2E"/>
          <w:sz w:val="21"/>
        </w:rPr>
        <w:t>hay que decirle a Ricardo que aquí estamos los fieles y que aquí no hay nadie que no cree en esto... los que consideramos que la mayor parte de los problemas públicos se resuelven manejando de manera correcta los ingresos y los gastos de los países y en particular de las finanzas públicas locales.</w:t>
      </w:r>
      <w:r>
        <w:br/>
      </w:r>
      <w:r>
        <w:rPr>
          <w:rFonts w:ascii="Georgia" w:hAnsi="Georgia"/>
          <w:b/>
          <w:i/>
          <w:color w:val="0B43F7"/>
          <w:sz w:val="21"/>
        </w:rPr>
        <w:t>— Luis Fernando Agudelo</w:t>
      </w:r>
    </w:p>
    <w:p>
      <w:pPr>
        <w:pStyle w:val="Heading2"/>
      </w:pPr>
      <w:r>
        <w:rPr>
          <w:color w:val="0B43F7"/>
        </w:rPr>
        <w:t>Problemas identificados</w:t>
      </w:r>
    </w:p>
    <w:p>
      <w:pPr>
        <w:jc w:val="both"/>
      </w:pPr>
      <w:r>
        <w:rPr>
          <w:rFonts w:ascii="Montserrat" w:hAnsi="Montserrat"/>
          <w:color w:val="333333"/>
          <w:sz w:val="22"/>
        </w:rPr>
        <w:t>El discurso articula un diagnóstico estructural en cinco problemas interconectados que configuran una crisis de sostenibilidad fiscal territorial. El primero de ellos —la deuda pública como amenaza sistémica— no se presenta como un dato aislado, sino como una condición global que redefine el espacio de maniobra de los Estados. El orador sitúa a Colombia en una posición de vulnerabilidad particular:</w:t>
      </w:r>
    </w:p>
    <w:p>
      <w:pPr>
        <w:pStyle w:val="Quote"/>
      </w:pPr>
      <w:r>
        <w:rPr>
          <w:rFonts w:ascii="Georgia" w:hAnsi="Georgia"/>
          <w:i/>
          <w:color w:val="1A1A2E"/>
          <w:sz w:val="21"/>
        </w:rPr>
        <w:t>Colombia nunca había tenido un tamaño de gasto tan grande en dólares como el que tiene hasta ahora... la deuda pública global ha crecido cerca de 30 por ciento en los últimos 20 años... estamos hoy en 93 puntos del PIB... al final de esta década... va a estar en el 100% del PIB.</w:t>
      </w:r>
      <w:r>
        <w:br/>
      </w:r>
      <w:r>
        <w:rPr>
          <w:rFonts w:ascii="Georgia" w:hAnsi="Georgia"/>
          <w:b/>
          <w:i/>
          <w:color w:val="0B43F7"/>
          <w:sz w:val="21"/>
        </w:rPr>
        <w:t>— Luis Fernando Agudelo</w:t>
      </w:r>
    </w:p>
    <w:p>
      <w:pPr>
        <w:pStyle w:val="Quote"/>
      </w:pPr>
      <w:r>
        <w:rPr>
          <w:rFonts w:ascii="Georgia" w:hAnsi="Georgia"/>
          <w:i/>
          <w:color w:val="1A1A2E"/>
          <w:sz w:val="21"/>
        </w:rPr>
        <w:t>Colombia desafortunadamente estuvo en los últimos años en el grupo que se endeudó para gastar y no convertir ese gasto en inversión... hoy el presupuesto del gobierno nacional central colombiano es el tercero más grande de América Latina.</w:t>
      </w:r>
      <w:r>
        <w:br/>
      </w:r>
      <w:r>
        <w:rPr>
          <w:rFonts w:ascii="Georgia" w:hAnsi="Georgia"/>
          <w:b/>
          <w:i/>
          <w:color w:val="0B43F7"/>
          <w:sz w:val="21"/>
        </w:rPr>
        <w:t>— Luis Fernando Agudelo</w:t>
      </w:r>
    </w:p>
    <w:p>
      <w:pPr>
        <w:jc w:val="both"/>
      </w:pPr>
      <w:r>
        <w:rPr>
          <w:rFonts w:ascii="Montserrat" w:hAnsi="Montserrat"/>
          <w:color w:val="333333"/>
          <w:sz w:val="22"/>
        </w:rPr>
        <w:t>La gravedad de este problema radica en la distinción que establece el orador entre dos tipos de países: aquellos que usan la deuda para generar valor (infraestructura, industrialización, defensa) y aquellos que la usan para mantener el consumo o beneficios de una población envejecida. Colombia, según esta lectura, ha operado en el segundo grupo, lo que constituye un juicio de política pública de alto impacto normativo.</w:t>
      </w:r>
    </w:p>
    <w:p>
      <w:pPr>
        <w:pStyle w:val="Quote"/>
      </w:pPr>
      <w:r>
        <w:rPr>
          <w:rFonts w:ascii="Georgia" w:hAnsi="Georgia"/>
          <w:i/>
          <w:color w:val="1A1A2E"/>
          <w:sz w:val="21"/>
        </w:rPr>
        <w:t>el mundo está dividido en dos tipos de países: en los que usan la deuda para generar valor o para defenderse... y están los que usan la deuda para mantener el consumo... países como el Reino Unido nos muestran que es posible con una mala política fiscal destruir un país completo.</w:t>
      </w:r>
      <w:r>
        <w:br/>
      </w:r>
      <w:r>
        <w:rPr>
          <w:rFonts w:ascii="Georgia" w:hAnsi="Georgia"/>
          <w:b/>
          <w:i/>
          <w:color w:val="0B43F7"/>
          <w:sz w:val="21"/>
        </w:rPr>
        <w:t>— Luis Fernando Agudelo</w:t>
      </w:r>
    </w:p>
    <w:p>
      <w:pPr>
        <w:jc w:val="both"/>
      </w:pPr>
      <w:r>
        <w:rPr>
          <w:rFonts w:ascii="Montserrat" w:hAnsi="Montserrat"/>
          <w:color w:val="333333"/>
          <w:sz w:val="22"/>
        </w:rPr>
        <w:t>El segundo problema —la promesa incumplida de la descentralización— opera como contrafactual histórico. La Constitución de 1991, sumada a la elección popular de alcaldes y gobernadores, generó expectativas de convergencia en velocidad de desarrollo territorial que no se materializaron. El orador documenta esta falla mediante una lista de infraestructuras prometidas y no ejecutadas:</w:t>
      </w:r>
    </w:p>
    <w:p>
      <w:pPr>
        <w:pStyle w:val="Quote"/>
      </w:pPr>
      <w:r>
        <w:rPr>
          <w:rFonts w:ascii="Georgia" w:hAnsi="Georgia"/>
          <w:i/>
          <w:color w:val="1A1A2E"/>
          <w:sz w:val="21"/>
        </w:rPr>
        <w:t>promesas como por ejemplo que todos íbamos a lograr un nivel relativamente parecido de velocidad en el desarrollo... desafortunadamente si miramos luego de pasados más de 30 años de descentralización... no funciona... Tenemos más o menos las mismas asimetrías con las que arrancamos.</w:t>
      </w:r>
      <w:r>
        <w:br/>
      </w:r>
      <w:r>
        <w:rPr>
          <w:rFonts w:ascii="Georgia" w:hAnsi="Georgia"/>
          <w:b/>
          <w:i/>
          <w:color w:val="0B43F7"/>
          <w:sz w:val="21"/>
        </w:rPr>
        <w:t>— Luis Fernando Agudelo</w:t>
      </w:r>
    </w:p>
    <w:p>
      <w:pPr>
        <w:pStyle w:val="Quote"/>
      </w:pPr>
      <w:r>
        <w:rPr>
          <w:rFonts w:ascii="Georgia" w:hAnsi="Georgia"/>
          <w:i/>
          <w:color w:val="1A1A2E"/>
          <w:sz w:val="21"/>
        </w:rPr>
        <w:t>el agua potable... la vía Medellín-Quibdó... el tren de cercanías del Valle del Cauca... los aeropuertos del Amazonas que nunca se construyeron... el tren del café que es un proyecto que está estructurado...</w:t>
      </w:r>
      <w:r>
        <w:br/>
      </w:r>
      <w:r>
        <w:rPr>
          <w:rFonts w:ascii="Georgia" w:hAnsi="Georgia"/>
          <w:b/>
          <w:i/>
          <w:color w:val="0B43F7"/>
          <w:sz w:val="21"/>
        </w:rPr>
        <w:t>— Luis Fernando Agudelo</w:t>
      </w:r>
    </w:p>
    <w:p>
      <w:pPr>
        <w:jc w:val="both"/>
      </w:pPr>
      <w:r>
        <w:rPr>
          <w:rFonts w:ascii="Montserrat" w:hAnsi="Montserrat"/>
          <w:color w:val="333333"/>
          <w:sz w:val="22"/>
        </w:rPr>
        <w:t>El tercer problema —el centralismo fiscal— constituye el núcleo duro del diagnóstico. El orador presenta datos contundentes que demuestran que la distribución del poder económico entre niveles de gobierno no ha variado sustancialmente en 25 años, pese a tres décadas de discurso descentralizador. La Nación retiene el 83% de los ingresos públicos totales, mientras los departamentos han caído del 29% al 4% del PIB. Esta contracción no es meramente cuantitativa; es cualitativa: los departamentos fueron relegados a 'rentas coloniales' asociadas a actividades de regulación restrictiva (juegos de azar, licores) mientras los impuestos dinámicos vinculados a la actividad productiva (renta, IVA, patrimonio) permanecieron en la Nación o en los municipios de mayor categoría.</w:t>
      </w:r>
    </w:p>
    <w:p>
      <w:pPr>
        <w:pStyle w:val="Quote"/>
      </w:pPr>
      <w:r>
        <w:rPr>
          <w:rFonts w:ascii="Georgia" w:hAnsi="Georgia"/>
          <w:i/>
          <w:color w:val="1A1A2E"/>
          <w:sz w:val="21"/>
        </w:rPr>
        <w:t>el 84% de los ingresos en el año 2001 los tenía la nación; en el año 2026 era el 83%... los departamentos pasamos del 29% del PIB al seis por ciento del PIB en el 2001 al 2026... el cuatro por ciento del PIB... los departamentos perdieron cerca de un cuarenta por ciento de participación.</w:t>
      </w:r>
      <w:r>
        <w:br/>
      </w:r>
      <w:r>
        <w:rPr>
          <w:rFonts w:ascii="Georgia" w:hAnsi="Georgia"/>
          <w:b/>
          <w:i/>
          <w:color w:val="0B43F7"/>
          <w:sz w:val="21"/>
        </w:rPr>
        <w:t>— Luis Fernando Agudelo</w:t>
      </w:r>
    </w:p>
    <w:p>
      <w:pPr>
        <w:pStyle w:val="Quote"/>
      </w:pPr>
      <w:r>
        <w:rPr>
          <w:rFonts w:ascii="Georgia" w:hAnsi="Georgia"/>
          <w:i/>
          <w:color w:val="1A1A2E"/>
          <w:sz w:val="21"/>
        </w:rPr>
        <w:t>nos quedamos básicamente con las rentas coloniales asociadas a los juegos de suerte y azar, a las rentas asociadas también a la producción de licores... la nación se quedó con el IVA interno y externo, se quedó con el impuesto de renta y el impuesto al patrimonio.</w:t>
      </w:r>
      <w:r>
        <w:br/>
      </w:r>
      <w:r>
        <w:rPr>
          <w:rFonts w:ascii="Georgia" w:hAnsi="Georgia"/>
          <w:b/>
          <w:i/>
          <w:color w:val="0B43F7"/>
          <w:sz w:val="21"/>
        </w:rPr>
        <w:t>— Luis Fernando Agudelo</w:t>
      </w:r>
    </w:p>
    <w:p>
      <w:pPr>
        <w:jc w:val="both"/>
      </w:pPr>
      <w:r>
        <w:rPr>
          <w:rFonts w:ascii="Montserrat" w:hAnsi="Montserrat"/>
          <w:color w:val="333333"/>
          <w:sz w:val="22"/>
        </w:rPr>
        <w:t>El cuarto problema —la autonomía fiscal restringida— emerge como consecuencia directa del anterior. El caso de Antioquia, que el orador presenta como uno de los departamentos con mayor autonomía fiscal, ilustra la magnitud de la restricción: apenas el 29% de su presupuesto es de libre destinación. Para los municipios de categorías inferiores, la situación es aún más crítica: el SGP llega a sus cuentas pero no pueden ejecutarlo en inversión, convirtiéndose en 'pagadores sofisticados' o 'tesoreros' de recursos sobre los que no ejercen soberanía presupuestal.</w:t>
      </w:r>
    </w:p>
    <w:p>
      <w:pPr>
        <w:pStyle w:val="Quote"/>
      </w:pPr>
      <w:r>
        <w:rPr>
          <w:rFonts w:ascii="Georgia" w:hAnsi="Georgia"/>
          <w:i/>
          <w:color w:val="1A1A2E"/>
          <w:sz w:val="21"/>
        </w:rPr>
        <w:t>solo pensar en un departamento como Antioquia... cerca de 29 de cada 100 pesos del presupuesto del departamento de Antioquia son de libre destinación; el resto entre 70 y 71 pesos son destinación específica.</w:t>
      </w:r>
      <w:r>
        <w:br/>
      </w:r>
      <w:r>
        <w:rPr>
          <w:rFonts w:ascii="Georgia" w:hAnsi="Georgia"/>
          <w:b/>
          <w:i/>
          <w:color w:val="0B43F7"/>
          <w:sz w:val="21"/>
        </w:rPr>
        <w:t>— Luis Fernando Agudelo</w:t>
      </w:r>
    </w:p>
    <w:p>
      <w:pPr>
        <w:pStyle w:val="Quote"/>
      </w:pPr>
      <w:r>
        <w:rPr>
          <w:rFonts w:ascii="Georgia" w:hAnsi="Georgia"/>
          <w:i/>
          <w:color w:val="1A1A2E"/>
          <w:sz w:val="21"/>
        </w:rPr>
        <w:t>muchos de los alcaldes de categoría cuatro, cinco y seis... se convierten en unos pagadores sofisticados, en unos tesoreros que ven llegar la plata del SGP a unas cuentas, pero no pueden hacer nada con ellos.</w:t>
      </w:r>
      <w:r>
        <w:br/>
      </w:r>
      <w:r>
        <w:rPr>
          <w:rFonts w:ascii="Georgia" w:hAnsi="Georgia"/>
          <w:b/>
          <w:i/>
          <w:color w:val="0B43F7"/>
          <w:sz w:val="21"/>
        </w:rPr>
        <w:t>— Luis Fernando Agudelo</w:t>
      </w:r>
    </w:p>
    <w:p>
      <w:pPr>
        <w:jc w:val="both"/>
      </w:pPr>
      <w:r>
        <w:rPr>
          <w:rFonts w:ascii="Montserrat" w:hAnsi="Montserrat"/>
          <w:color w:val="333333"/>
          <w:sz w:val="22"/>
        </w:rPr>
        <w:t>El quinto problema cuantifica el costo acumulado de estas restricciones normativas: 548 billones de pesos dejaron de transferirse a los territorios como consecuencia de cambios en las reglas de participación (Leyes 715, 617, 819; Acto Legislativo 03/2004). Este dato no es una proyección; es un contrafactual histórico que mide la pérdida de oportunidad de inversión territorial.</w:t>
      </w:r>
    </w:p>
    <w:p>
      <w:pPr>
        <w:pStyle w:val="Quote"/>
      </w:pPr>
      <w:r>
        <w:rPr>
          <w:rFonts w:ascii="Georgia" w:hAnsi="Georgia"/>
          <w:i/>
          <w:color w:val="1A1A2E"/>
          <w:sz w:val="21"/>
        </w:rPr>
        <w:t>hemos perdido cerca de quinientos cuarenta y ocho billones de pesos en participación de ingresos de la nación... si se hubiera mantenido la regla original... todas fueron reglas que lo que trataban de hacer era limitar el crecimiento de sus recursos.</w:t>
      </w:r>
      <w:r>
        <w:br/>
      </w:r>
      <w:r>
        <w:rPr>
          <w:rFonts w:ascii="Georgia" w:hAnsi="Georgia"/>
          <w:b/>
          <w:i/>
          <w:color w:val="0B43F7"/>
          <w:sz w:val="21"/>
        </w:rPr>
        <w:t>— Luis Fernando Agudelo</w:t>
      </w:r>
    </w:p>
    <w:p>
      <w:pPr>
        <w:pStyle w:val="Heading2"/>
      </w:pPr>
      <w:r>
        <w:rPr>
          <w:color w:val="0AB6F2"/>
        </w:rPr>
        <w:t>Retos que dificultan la solución</w:t>
      </w:r>
    </w:p>
    <w:p>
      <w:pPr>
        <w:jc w:val="both"/>
      </w:pPr>
      <w:r>
        <w:rPr>
          <w:rFonts w:ascii="Montserrat" w:hAnsi="Montserrat"/>
          <w:color w:val="333333"/>
          <w:sz w:val="22"/>
        </w:rPr>
        <w:t>Los retos identificados en el discurso no son meras dificultades operativas, sino barreras estructurales que condicionan la viabilidad de cualquier reforma fiscal territorial. El primero —la ausencia de una ley de definición de competencias claras— emerge como una condición necesaria pero no suficiente para la autonomía. El orador establece una relación causal directa: sin delimitación competencial, la transferencia de recursos carece de sentido estratégico.</w:t>
      </w:r>
    </w:p>
    <w:p>
      <w:pPr>
        <w:pStyle w:val="Quote"/>
      </w:pPr>
      <w:r>
        <w:rPr>
          <w:rFonts w:ascii="Georgia" w:hAnsi="Georgia"/>
          <w:i/>
          <w:color w:val="1A1A2E"/>
          <w:sz w:val="21"/>
        </w:rPr>
        <w:t>sin una ley de definición de competencias claras es también una indefinición de cuál va a ser el nivel de autonomía que tenemos las entidades territoriales sobre esos recursos.</w:t>
      </w:r>
      <w:r>
        <w:br/>
      </w:r>
      <w:r>
        <w:rPr>
          <w:rFonts w:ascii="Georgia" w:hAnsi="Georgia"/>
          <w:b/>
          <w:i/>
          <w:color w:val="0B43F7"/>
          <w:sz w:val="21"/>
        </w:rPr>
        <w:t>— Luis Fernando Agudelo</w:t>
      </w:r>
    </w:p>
    <w:p>
      <w:pPr>
        <w:jc w:val="both"/>
      </w:pPr>
      <w:r>
        <w:rPr>
          <w:rFonts w:ascii="Montserrat" w:hAnsi="Montserrat"/>
          <w:color w:val="333333"/>
          <w:sz w:val="22"/>
        </w:rPr>
        <w:t>Esta barrera normativa se traduce en una paradoja de la descentralización colombiana: se transfirieron recursos sin transferir capacidad de decisión. El Sistema General de Participaciones (SGP), corregido por el Acto Legislativo 03 de 2004, devolvió una proporción mayor de ingresos corrientes de libre destinación, pero mantuvo la estructura de rigidez que impide su uso estratégico. El orador señala que esta corrección fue, en parte, un retorno a la promesa original de 1991, pero incompleta:</w:t>
      </w:r>
    </w:p>
    <w:p>
      <w:pPr>
        <w:pStyle w:val="Quote"/>
      </w:pPr>
      <w:r>
        <w:rPr>
          <w:rFonts w:ascii="Georgia" w:hAnsi="Georgia"/>
          <w:i/>
          <w:color w:val="1A1A2E"/>
          <w:sz w:val="21"/>
        </w:rPr>
        <w:t>el acto legislativo 03 del  año 2004 nos puso frente a una realidad... vamos a hacer un proceso en el que le vamos a entregar una mayor proporción de los ingresos corrientes de la nación a las entidades territoriales por la vía del sistema general de participación... eso corrige una parte del problema, pero no lo corrige todo.</w:t>
      </w:r>
      <w:r>
        <w:br/>
      </w:r>
      <w:r>
        <w:rPr>
          <w:rFonts w:ascii="Georgia" w:hAnsi="Georgia"/>
          <w:b/>
          <w:i/>
          <w:color w:val="0B43F7"/>
          <w:sz w:val="21"/>
        </w:rPr>
        <w:t>— Luis Fernando Agudelo</w:t>
      </w:r>
    </w:p>
    <w:p>
      <w:pPr>
        <w:jc w:val="both"/>
      </w:pPr>
      <w:r>
        <w:rPr>
          <w:rFonts w:ascii="Montserrat" w:hAnsi="Montserrat"/>
          <w:color w:val="333333"/>
          <w:sz w:val="22"/>
        </w:rPr>
        <w:t>El segundo reto —la alineación de intereses entre niveles de gobierno— se presenta como una condición de competitividad internacional. El orador contrapone dos arquetipos de país: aquellos donde el gobierno nacional crece y los locales se marchitan, versus aquellos donde la coordinación multinivel genera desarrollo. Esta dicotomía no es retórica; se sustenta en ejemplos concretos de economías regionales mexicanas, chinas, surcoreanas y filipinas, así como en la experiencia brasileña de la Pampa Húmeda. La lección transferible es que la especialización funcional entre niveles de gobierno —la Nación hace lo que hace bien; los locales hacen lo que está cerca del ciudadano— requiere una arquitectura de coordinación deliberada, no residual.</w:t>
      </w:r>
    </w:p>
    <w:p>
      <w:pPr>
        <w:pStyle w:val="Quote"/>
      </w:pPr>
      <w:r>
        <w:rPr>
          <w:rFonts w:ascii="Georgia" w:hAnsi="Georgia"/>
          <w:i/>
          <w:color w:val="1A1A2E"/>
          <w:sz w:val="21"/>
        </w:rPr>
        <w:t>aquellos países que simplemente hacen que el gobierno nacional crezca y los gobiernos locales se marchitan no están cumpliendo con el objetivo de ser competitivos en el largo plazo... países como China o países inclusive de la región como México nos han mostrado la importancia de construir relaciones de coordinación cercanas entre los niveles de Gobierno.</w:t>
      </w:r>
      <w:r>
        <w:br/>
      </w:r>
      <w:r>
        <w:rPr>
          <w:rFonts w:ascii="Georgia" w:hAnsi="Georgia"/>
          <w:b/>
          <w:i/>
          <w:color w:val="0B43F7"/>
          <w:sz w:val="21"/>
        </w:rPr>
        <w:t>— Luis Fernando Agudelo</w:t>
      </w:r>
    </w:p>
    <w:p>
      <w:pPr>
        <w:pStyle w:val="Quote"/>
      </w:pPr>
      <w:r>
        <w:rPr>
          <w:rFonts w:ascii="Georgia" w:hAnsi="Georgia"/>
          <w:i/>
          <w:color w:val="1A1A2E"/>
          <w:sz w:val="21"/>
        </w:rPr>
        <w:t>los ciudadanos les interesa la manera como los gobiernos se especializan... cómo los gobiernos nacionales se dedican a hacer las cosas que hacen bien mientras que los gobiernos locales se dedican a hacer aquellas cosas donde los ciudadanos están más cerca.</w:t>
      </w:r>
      <w:r>
        <w:br/>
      </w:r>
      <w:r>
        <w:rPr>
          <w:rFonts w:ascii="Georgia" w:hAnsi="Georgia"/>
          <w:b/>
          <w:i/>
          <w:color w:val="0B43F7"/>
          <w:sz w:val="21"/>
        </w:rPr>
        <w:t>— Luis Fernando Agudelo</w:t>
      </w:r>
    </w:p>
    <w:p>
      <w:pPr>
        <w:jc w:val="both"/>
      </w:pPr>
      <w:r>
        <w:rPr>
          <w:rFonts w:ascii="Montserrat" w:hAnsi="Montserrat"/>
          <w:color w:val="333333"/>
          <w:sz w:val="22"/>
        </w:rPr>
        <w:t>El tercer reto —el legado normativo restrictivo— opera como un factor histórico de path dependence. Las Leyes 715, 617, 819 y el Acto Legislativo 03/2004 configuraron un régimen de transferencias que, si bien respondió a un problema de desequilibrio estructural (el crecimiento descontrolado de transferencias en la primera década del 2000), generó un costo de oportunidad de 548 billones de pesos para los territorios. Este dato no es una crítica abstracta al centralismo; es una medición tangible de recursos que no llegaron a proyectos de inversión local.</w:t>
      </w:r>
    </w:p>
    <w:p>
      <w:pPr>
        <w:pStyle w:val="Quote"/>
      </w:pPr>
      <w:r>
        <w:rPr>
          <w:rFonts w:ascii="Georgia" w:hAnsi="Georgia"/>
          <w:i/>
          <w:color w:val="1A1A2E"/>
          <w:sz w:val="21"/>
        </w:rPr>
        <w:t>Las Leyes 715, 617, 819 ... todas fueron reglas que lo que trataban de hacer era limitar el crecimiento de sus recursos.</w:t>
      </w:r>
      <w:r>
        <w:br/>
      </w:r>
      <w:r>
        <w:rPr>
          <w:rFonts w:ascii="Georgia" w:hAnsi="Georgia"/>
          <w:b/>
          <w:i/>
          <w:color w:val="0B43F7"/>
          <w:sz w:val="21"/>
        </w:rPr>
        <w:t>— Luis Fernando Agudelo</w:t>
      </w:r>
    </w:p>
    <w:p>
      <w:pPr>
        <w:jc w:val="both"/>
      </w:pPr>
      <w:r>
        <w:rPr>
          <w:rFonts w:ascii="Montserrat" w:hAnsi="Montserrat"/>
          <w:color w:val="333333"/>
          <w:sz w:val="22"/>
        </w:rPr>
        <w:t>El cuarto reto —la capacidad de inversión supralocal— sintetiza las consecuencias prácticas de las barreras anteriores. Cuando los territorios carecen de autonomía fiscal y de competencias claras, los proyectos de gran escala (infraestructura regional, conectividad, agua) quedan supeditados a la voluntad política del nivel central o a la capacidad de cofinanciación de entidades con recursos propios limitados. El orador utiliza la metáfora de 'sacar la ponchera' para describir esta precariedad institucional:</w:t>
      </w:r>
    </w:p>
    <w:p>
      <w:pPr>
        <w:pStyle w:val="Quote"/>
      </w:pPr>
      <w:r>
        <w:rPr>
          <w:rFonts w:ascii="Georgia" w:hAnsi="Georgia"/>
          <w:i/>
          <w:color w:val="1A1A2E"/>
          <w:sz w:val="21"/>
        </w:rPr>
        <w:t>en la medida que las entidades territoriales no puedan definir las inversiones se hace cada vez más cuesta arriba poder hacer sobre todo proyectos de alcance supralocal, proyectos de gran impacto... lo que vimos es una frustración por tener que sacar la ponchera permanentemente para hacer estos proyectos de inversión de largo plazo.</w:t>
      </w:r>
      <w:r>
        <w:br/>
      </w:r>
      <w:r>
        <w:rPr>
          <w:rFonts w:ascii="Georgia" w:hAnsi="Georgia"/>
          <w:b/>
          <w:i/>
          <w:color w:val="0B43F7"/>
          <w:sz w:val="21"/>
        </w:rPr>
        <w:t>— Luis Fernando Agudelo</w:t>
      </w:r>
    </w:p>
    <w:p>
      <w:pPr>
        <w:jc w:val="both"/>
      </w:pPr>
      <w:r>
        <w:rPr>
          <w:rFonts w:ascii="Montserrat" w:hAnsi="Montserrat"/>
          <w:color w:val="333333"/>
          <w:sz w:val="22"/>
        </w:rPr>
        <w:t>Sobre el reto específico de las asambleas territoriales, el discurso no desarrolla un análisis explícito. El orador se refiere a alcaldes, gobernadores, secretarios de hacienda y directores de planeación como actores clave, pero no asigna un rol protagónico a los órganos legislativos territoriales en la solución de la crisis fiscal. Esta omisión es un dato en sí mismo: sugiere que el diagnóstico se centra en el ejecutivo territorial y su relación con el ejecutivo nacional, dejando de lado la dimensión de control político y veeduría legislativa que las asambleas y concejos podrían ejercer sobre la asignación de recursos.</w:t>
      </w:r>
    </w:p>
    <w:p>
      <w:pPr>
        <w:pStyle w:val="Heading2"/>
      </w:pPr>
      <w:r>
        <w:rPr>
          <w:color w:val="00CC30"/>
        </w:rPr>
        <w:t>Soluciones y propuestas</w:t>
      </w:r>
    </w:p>
    <w:p>
      <w:pPr>
        <w:jc w:val="both"/>
      </w:pPr>
      <w:r>
        <w:rPr>
          <w:rFonts w:ascii="Montserrat" w:hAnsi="Montserrat"/>
          <w:color w:val="333333"/>
          <w:sz w:val="22"/>
        </w:rPr>
        <w:t>La propuesta central del discurso —presentada como iniciativa del Gobernador de Antioquia, Andrés Julián Rendón— constituye una reforma estructural de la arquitectura fiscal territorial que va más allá de una simple reasignación de recursos. Se trata de una reconfiguración de la soberanía tributaria departamental que implica cuatro movimientos simultáneos: (i) transferencia del gravamen sobre renta y patrimonio de personas jurídicas a departamentos y Distrito Capital; (ii) coparticipación automática de la Nación en dicho recaudo; (iii) reemplazo del SGP por un SGPT financiado con esos recursos; y (iv) transferencia de las funciones actualmente asignadas al SGP al nuevo sistema territorial.</w:t>
      </w:r>
    </w:p>
    <w:p>
      <w:pPr>
        <w:pStyle w:val="Quote"/>
      </w:pPr>
      <w:r>
        <w:rPr>
          <w:rFonts w:ascii="Georgia" w:hAnsi="Georgia"/>
          <w:i/>
          <w:color w:val="1A1A2E"/>
          <w:sz w:val="21"/>
        </w:rPr>
        <w:t>solo los departamentos y el Distrito Capital pueden gravar la renta y el patrimonio de las personas jurídicas que allí residen... que el recaudo sea propiedad exclusiva de ellos, en su conjunto... que obviamente lo siga haciendo la nación y que lo participe... se reemplazaría el SGP por un SGPT... esas funciones que están hoy en el SGP... pasarlas a un SGPT que sería un sistema general de participaciones territorial.</w:t>
      </w:r>
      <w:r>
        <w:br/>
      </w:r>
      <w:r>
        <w:rPr>
          <w:rFonts w:ascii="Georgia" w:hAnsi="Georgia"/>
          <w:b/>
          <w:i/>
          <w:color w:val="0B43F7"/>
          <w:sz w:val="21"/>
        </w:rPr>
        <w:t>— Luis Fernando Agudelo</w:t>
      </w:r>
    </w:p>
    <w:p>
      <w:pPr>
        <w:jc w:val="both"/>
      </w:pPr>
      <w:r>
        <w:rPr>
          <w:rFonts w:ascii="Montserrat" w:hAnsi="Montserrat"/>
          <w:color w:val="333333"/>
          <w:sz w:val="22"/>
        </w:rPr>
        <w:t>El orador presenta cifras de impacto diferenciado por territorio que permiten evaluar la propuesta desde una perspectiva de equidad horizontal. Si bien Antioquia sería uno de los departamentos con menor crecimiento porcentual (de 7.7 a 9.9 billones de pesos), los departamentos históricamente rezagados experimentarían incrementos significativos: San Andrés un 466% y el Chocó un 63%. Esta distribución permite al orador contrarrestar la objeción de inequidad:</w:t>
      </w:r>
    </w:p>
    <w:p>
      <w:pPr>
        <w:pStyle w:val="Quote"/>
      </w:pPr>
      <w:r>
        <w:rPr>
          <w:rFonts w:ascii="Georgia" w:hAnsi="Georgia"/>
          <w:i/>
          <w:color w:val="1A1A2E"/>
          <w:sz w:val="21"/>
        </w:rPr>
        <w:t>Esto no es un problema tampoco de inequidad porque inclusive los departamentos más pequeños terminarían recibiendo también aumentos más grandes... el Chocó que pasaría de 1,64 billones para distribuir a 2.77 billones de pesos.</w:t>
      </w:r>
      <w:r>
        <w:br/>
      </w:r>
      <w:r>
        <w:rPr>
          <w:rFonts w:ascii="Georgia" w:hAnsi="Georgia"/>
          <w:b/>
          <w:i/>
          <w:color w:val="0B43F7"/>
          <w:sz w:val="21"/>
        </w:rPr>
        <w:t>— Luis Fernando Agudelo</w:t>
      </w:r>
    </w:p>
    <w:p>
      <w:pPr>
        <w:pStyle w:val="Quote"/>
      </w:pPr>
      <w:r>
        <w:rPr>
          <w:rFonts w:ascii="Georgia" w:hAnsi="Georgia"/>
          <w:i/>
          <w:color w:val="1A1A2E"/>
          <w:sz w:val="21"/>
        </w:rPr>
        <w:t>departamentos como San Andrés aumentarían sus ingresos en 466%... departamentos como Antioquia... pasaríamos de 7.7  billones de pesos a 9.9 billones de pesos.</w:t>
      </w:r>
      <w:r>
        <w:br/>
      </w:r>
      <w:r>
        <w:rPr>
          <w:rFonts w:ascii="Georgia" w:hAnsi="Georgia"/>
          <w:b/>
          <w:i/>
          <w:color w:val="0B43F7"/>
          <w:sz w:val="21"/>
        </w:rPr>
        <w:t>— Luis Fernando Agudelo</w:t>
      </w:r>
    </w:p>
    <w:p>
      <w:pPr>
        <w:jc w:val="both"/>
      </w:pPr>
      <w:r>
        <w:rPr>
          <w:rFonts w:ascii="Montserrat" w:hAnsi="Montserrat"/>
          <w:color w:val="333333"/>
          <w:sz w:val="22"/>
        </w:rPr>
        <w:t>El impacto fiscal agregado se estima en 110 billones de pesos anuales para redistribución y un efecto neto de aproximadamente 0.6% del PIB, una vez se descuentan las funciones transferidas del SGP al SGPT. El orador contrasta esta cifra con el costo estimado de una ley de competencias (~4.7 billones de pesos), argumentando que la propuesta del Gobernador, si bien tiene un impacto fiscal mayor, resuelve problemas estructurales del Estado Nacional.</w:t>
      </w:r>
    </w:p>
    <w:p>
      <w:pPr>
        <w:pStyle w:val="Quote"/>
      </w:pPr>
      <w:r>
        <w:rPr>
          <w:rFonts w:ascii="Georgia" w:hAnsi="Georgia"/>
          <w:i/>
          <w:color w:val="1A1A2E"/>
          <w:sz w:val="21"/>
        </w:rPr>
        <w:t>Esto significaría acerca de 110 billones de pesos al año para esa redistribución... el impacto fiscal sería de cerca de 0,6 % del PIB... la ley de competencia le costaría la nación cerca de 4,7 billones de pesos... el impacto fiscal de la propuesta es un poco mayor, pero tampoco es que vaya a quebrar al Estado Nacional; de hecho, le resolvería muchos problemas de los que tiene actualmente.</w:t>
      </w:r>
      <w:r>
        <w:br/>
      </w:r>
      <w:r>
        <w:rPr>
          <w:rFonts w:ascii="Georgia" w:hAnsi="Georgia"/>
          <w:b/>
          <w:i/>
          <w:color w:val="0B43F7"/>
          <w:sz w:val="21"/>
        </w:rPr>
        <w:t>— Luis Fernando Agudelo</w:t>
      </w:r>
    </w:p>
    <w:p>
      <w:pPr>
        <w:jc w:val="both"/>
      </w:pPr>
      <w:r>
        <w:rPr>
          <w:rFonts w:ascii="Montserrat" w:hAnsi="Montserrat"/>
          <w:color w:val="333333"/>
          <w:sz w:val="22"/>
        </w:rPr>
        <w:t>La viabilidad política de la propuesta se sustenta en un dato institucional relevante: cerca del 20-25% de los diputados del país han firmado la iniciativa como acto legislativo, lo que indica una base parlamentaria incipiente pero no despreciable. El trámite requeriría un acto legislativo y aprobación del Congreso, lo que sitúa la propuesta en un horizonte de mediano plazo.</w:t>
      </w:r>
    </w:p>
    <w:p>
      <w:pPr>
        <w:pStyle w:val="Quote"/>
      </w:pPr>
      <w:r>
        <w:rPr>
          <w:rFonts w:ascii="Georgia" w:hAnsi="Georgia"/>
          <w:i/>
          <w:color w:val="1A1A2E"/>
          <w:sz w:val="21"/>
        </w:rPr>
        <w:t>cerca de 20 % a 25 % los diputados del país han venido firmando esta propuesta... requiere obviamente el trámite del Congreso, un cambio del acto legislativo.</w:t>
      </w:r>
      <w:r>
        <w:br/>
      </w:r>
      <w:r>
        <w:rPr>
          <w:rFonts w:ascii="Georgia" w:hAnsi="Georgia"/>
          <w:b/>
          <w:i/>
          <w:color w:val="0B43F7"/>
          <w:sz w:val="21"/>
        </w:rPr>
        <w:t>— Luis Fernando Agudelo</w:t>
      </w:r>
    </w:p>
    <w:p>
      <w:pPr>
        <w:jc w:val="both"/>
      </w:pPr>
      <w:r>
        <w:rPr>
          <w:rFonts w:ascii="Montserrat" w:hAnsi="Montserrat"/>
          <w:color w:val="333333"/>
          <w:sz w:val="22"/>
        </w:rPr>
        <w:t>La segunda solución —la coordinación multinivel— no se presenta como alternativa a la reforma constitucional, sino como su complemento necesario. El orador insiste en que la autonomía fiscal sin coordinación genera fragmentación, mientras que la coordinación sin autonomía genera subordinación. Los referentes internacionales no son invocados de manera decorativa; se utilizan para demostrar que la especialización funcional entre niveles de gobierno es una condición de competitividad sistémica, no un lujo institucional.</w:t>
      </w:r>
    </w:p>
    <w:p>
      <w:pPr>
        <w:jc w:val="both"/>
      </w:pPr>
      <w:r>
        <w:rPr>
          <w:rFonts w:ascii="Montserrat" w:hAnsi="Montserrat"/>
          <w:color w:val="333333"/>
          <w:sz w:val="22"/>
        </w:rPr>
        <w:t>La tercera solución —la reorientación del gasto público— se expresa mediante una metáfora de alto poder comunicativo: 'menos corbatas, más batas y más botas en el territorio'. Esta fórmula sintetiza una política de austeridad burocrática central y expansión de inversión territorial en salud, educación e infraestructura. Aunque el discurso no desagrega cifras presupuestales para esta reorientación, la propuesta opera como principio rector que articula las reformas anteriores.</w:t>
      </w:r>
    </w:p>
    <w:p>
      <w:pPr>
        <w:pStyle w:val="Quote"/>
      </w:pPr>
      <w:r>
        <w:rPr>
          <w:rFonts w:ascii="Georgia" w:hAnsi="Georgia"/>
          <w:i/>
          <w:color w:val="1A1A2E"/>
          <w:sz w:val="21"/>
        </w:rPr>
        <w:t>no podemos seguir invirtiendo recursos simplemente en gasto de burocracia militante. Necesitamos menos corbatas. Necesitamos más batas y necesitamos más botas en el territorio.</w:t>
      </w:r>
      <w:r>
        <w:br/>
      </w:r>
      <w:r>
        <w:rPr>
          <w:rFonts w:ascii="Georgia" w:hAnsi="Georgia"/>
          <w:b/>
          <w:i/>
          <w:color w:val="0B43F7"/>
          <w:sz w:val="21"/>
        </w:rPr>
        <w:t>— Luis Fernando Agudelo</w:t>
      </w:r>
    </w:p>
    <w:p>
      <w:pPr>
        <w:jc w:val="both"/>
      </w:pPr>
      <w:r>
        <w:rPr>
          <w:rFonts w:ascii="Montserrat" w:hAnsi="Montserrat"/>
          <w:color w:val="333333"/>
          <w:sz w:val="22"/>
        </w:rPr>
        <w:t>La cuarta solución —el diálogo intergubernamental como mecanismo de bajo costo y alto impacto— emerge de la crítica a la experiencia reciente. El orador señala que muchos de los conflictos entre niveles de gobierno no son problemas de recursos sino de trámites, definiciones de política y escucha institucional. Esta observación tiene implicaciones metodológicas importantes para la incidencia política: no toda solución requiere reforma constitucional o incremento de recursos; algunas requieren únicamente cambios en los procedimientos de coordinación administrativa.</w:t>
      </w:r>
    </w:p>
    <w:p>
      <w:pPr>
        <w:pStyle w:val="Quote"/>
      </w:pPr>
      <w:r>
        <w:rPr>
          <w:rFonts w:ascii="Georgia" w:hAnsi="Georgia"/>
          <w:i/>
          <w:color w:val="1A1A2E"/>
          <w:sz w:val="21"/>
        </w:rPr>
        <w:t>una buena parte de las cosas que requiere un departamento... no son plata en la mayoría de las ocasiones... son trámites de un funcionario en Bogotá que impide que alguna obra se lleve adelante... son definiciones de políticas que son muy difíciles de hacer para un país tan diverso.</w:t>
      </w:r>
      <w:r>
        <w:br/>
      </w:r>
      <w:r>
        <w:rPr>
          <w:rFonts w:ascii="Georgia" w:hAnsi="Georgia"/>
          <w:b/>
          <w:i/>
          <w:color w:val="0B43F7"/>
          <w:sz w:val="21"/>
        </w:rPr>
        <w:t>— Luis Fernando Agudelo</w:t>
      </w:r>
    </w:p>
    <w:p>
      <w:pPr>
        <w:pStyle w:val="Heading2"/>
      </w:pPr>
      <w:r>
        <w:rPr>
          <w:color w:val="6CD3A5"/>
        </w:rPr>
        <w:t>Sinergias interinstitucionales</w:t>
      </w:r>
    </w:p>
    <w:p>
      <w:pPr>
        <w:jc w:val="both"/>
      </w:pPr>
      <w:r>
        <w:rPr>
          <w:rFonts w:ascii="Montserrat" w:hAnsi="Montserrat"/>
          <w:color w:val="333333"/>
          <w:sz w:val="22"/>
        </w:rPr>
        <w:t>El discurso revela un ecosistema de articulaciones que opera en tres planos simultáneos. El primero es el plano horizontal territorial, donde la Gobernación de Antioquia, la Alcaldía de Medellín y sus entidades adscritas (APP, Catastro, Planeación) conforman una red de coordinación técnica de alta densidad. Esta sinergia no es nominal: el orador nombra a los actores específicos y sus cargos, lo que indica una interacción institucional regular y no meramente ceremonial.</w:t>
      </w:r>
    </w:p>
    <w:p>
      <w:pPr>
        <w:jc w:val="both"/>
      </w:pPr>
      <w:r>
        <w:rPr>
          <w:rFonts w:ascii="Montserrat" w:hAnsi="Montserrat"/>
          <w:color w:val="333333"/>
          <w:sz w:val="22"/>
        </w:rPr>
        <w:t>El segundo plano es el vertical legislativo. La propuesta de reforma constitucional no se presenta como una iniciativa aislada del ejecutivo departamental, sino como un proyecto político con respaldo parlamentario incipiente: cerca del 20-25% de los diputados del país. Esto transforma la propuesta de un discurso de denuncia en una estrategia de incidencia normativa concreta. La sinergia está en construcción, lo que implica que su potencial de incidencia depende de la capacidad de ampliar la coalición parlamentaria y de superar la resistencia del nivel central.</w:t>
      </w:r>
    </w:p>
    <w:p>
      <w:pPr>
        <w:jc w:val="both"/>
      </w:pPr>
      <w:r>
        <w:rPr>
          <w:rFonts w:ascii="Montserrat" w:hAnsi="Montserrat"/>
          <w:color w:val="333333"/>
          <w:sz w:val="22"/>
        </w:rPr>
        <w:t>El tercer plano es el de conocimiento y política pública, representado por la relación entre GOBS y la Gobernación de Antioquia. El evento funciona como dispositivo de traducción política: convierte el diagnóstico técnico en agenda pública visibilizable. Esta sinergia habilita la trazabilidad del conocimiento —uno de los principios metodológicos del marco— pero su efectividad post-evento depende de la capacidad de convertir las relatorías en insumos policy-ready para tomadores de decisiones.</w:t>
      </w:r>
    </w:p>
    <w:p>
      <w:pPr>
        <w:jc w:val="both"/>
      </w:pPr>
      <w:r>
        <w:rPr>
          <w:rFonts w:ascii="Montserrat" w:hAnsi="Montserrat"/>
          <w:color w:val="333333"/>
          <w:sz w:val="22"/>
        </w:rPr>
        <w:t>Finalmente, el discurso identifica una sinergia ausente o deteriorada: la relación Nación-territorios. No se presenta como una alianza funcional, sino como una tensión estructural que bloquea la inversión y genera costos de oportunidad. El orador utiliza la metáfora de los 'trámites de un funcionario en Bogotá' para personificar una discontinuidad institucional que no requiere más recursos, sino menos fricción administrativa.</w:t>
      </w:r>
    </w:p>
    <w:p>
      <w:pPr>
        <w:pStyle w:val="Heading1"/>
      </w:pPr>
      <w:r>
        <w:t>2. SÍNTESIS ESTRATÉGICA Y HALLAZGOS PRINCIPALES</w:t>
      </w:r>
    </w:p>
    <w:p>
      <w:pPr>
        <w:jc w:val="both"/>
      </w:pPr>
      <w:r>
        <w:rPr>
          <w:rFonts w:ascii="Montserrat" w:hAnsi="Montserrat"/>
          <w:color w:val="333333"/>
          <w:sz w:val="22"/>
        </w:rPr>
        <w:t>La intervención de Luis Fernando Agudelo constituye un diagnóstico de política pública que articula cinco niveles de análisis: (1) una lectura macroeconómica global de la deuda pública y su impacto en la sostenibilidad fiscal; (2) una evaluación histórica del proceso de descentralización colombiano como promesa incumplida; (3) un análisis cuantitativo del centralismo fiscal y su efecto empobrecedor sobre los departamentos; (4) una propuesta normativa concreta (reforma constitucional de los artículos 298, 356, 357 y 358) con cifras de impacto territorial diferenciado; y (5) una convocatoria a la coordinación multinivel como condición de competitividad internacional.</w:t>
      </w:r>
    </w:p>
    <w:p>
      <w:pPr>
        <w:jc w:val="both"/>
      </w:pPr>
      <w:r>
        <w:rPr>
          <w:rFonts w:ascii="Montserrat" w:hAnsi="Montserrat"/>
          <w:color w:val="333333"/>
          <w:sz w:val="22"/>
        </w:rPr>
        <w:t>El hallazgo principal es que la crisis fiscal territorial colombiana no es un problema de insuficiencia de recursos, sino de arquitectura institucional: se transfirieron recursos sin transferir autonomía, se descentralizaron funciones sin definir competencias, y se prometió equidad sin generar convergencia. La propuesta del Gobernador de Antioquia —con un impacto fiscal estimado de 0.6% del PIB y un potencial de redistribución de 110 billones de pesos anuales— se presenta como una corrección estructural de esta arquitectura, no como una medida de corto plazo.</w:t>
      </w:r>
    </w:p>
    <w:p>
      <w:pPr>
        <w:jc w:val="both"/>
      </w:pPr>
      <w:r>
        <w:rPr>
          <w:rFonts w:ascii="Montserrat" w:hAnsi="Montserrat"/>
          <w:color w:val="333333"/>
          <w:sz w:val="22"/>
        </w:rPr>
        <w:t>El segundo hallazgo es la existencia de una base técnica y política para la reforma: cerca del 25% de los diputados del país han firmado la iniciativa, y la articulación entre la Gobernación de Antioquia, la Alcaldía de Medellín y sus entidades técnicas constituye una red de gobernanza territorial de alta densidad que puede operar como motor de la propuesta.</w:t>
      </w:r>
    </w:p>
    <w:p>
      <w:pPr>
        <w:jc w:val="both"/>
      </w:pPr>
      <w:r>
        <w:rPr>
          <w:rFonts w:ascii="Montserrat" w:hAnsi="Montserrat"/>
          <w:color w:val="333333"/>
          <w:sz w:val="22"/>
        </w:rPr>
        <w:t>El tercer hallazgo es que no toda solución requiere reforma constitucional: el orador identifica que una parte significativa de los conflictos intergubernamentales se resuelve con diálogo, agilización de trámites y reconocimiento de capacidades territoriales, medidas de bajo costo fiscal y alto impacto político.</w:t>
      </w:r>
    </w:p>
    <w:p>
      <w:pPr>
        <w:pStyle w:val="Heading1"/>
      </w:pPr>
      <w:r>
        <w:t>3. IMPLICACIONES PARA POLÍTICA PÚBLICA</w:t>
      </w:r>
    </w:p>
    <w:p>
      <w:pPr>
        <w:jc w:val="both"/>
      </w:pPr>
      <w:r>
        <w:rPr>
          <w:rFonts w:ascii="Montserrat" w:hAnsi="Montserrat"/>
          <w:color w:val="333333"/>
          <w:sz w:val="22"/>
        </w:rPr>
        <w:t>Nacional: La propuesta de reforma constitucional requiere evaluación técnica por parte del Ministerio de Hacienda y Crédito Público, el DNP y el Ministerio del Interior para determinar su viabilidad fiscal y su coherencia con el marco de reglas fiscales. El impacto estimado de 0.6% del PIB debe contrastarse con las proyecciones de sostenibilidad de la deuda pública a mediano plazo.</w:t>
      </w:r>
    </w:p>
    <w:p>
      <w:pPr>
        <w:jc w:val="both"/>
      </w:pPr>
      <w:r>
        <w:rPr>
          <w:rFonts w:ascii="Montserrat" w:hAnsi="Montserrat"/>
          <w:color w:val="333333"/>
          <w:sz w:val="22"/>
        </w:rPr>
        <w:t>Territorial: Los departamentos y municipios deben evaluar sus capacidades institucionales para asumir las funciones transferidas del SGP al SGPT, particularmente en materia de gestión del riesgo fiscal, planeación del gasto y evaluación de resultados. La propuesta no es automáticamente beneficiosa para todos los territorios si no se acompaña de fortalecimiento institucional.</w:t>
      </w:r>
    </w:p>
    <w:p>
      <w:pPr>
        <w:jc w:val="both"/>
      </w:pPr>
      <w:r>
        <w:rPr>
          <w:rFonts w:ascii="Montserrat" w:hAnsi="Montserrat"/>
          <w:color w:val="333333"/>
          <w:sz w:val="22"/>
        </w:rPr>
        <w:t>Sectorial: Los sectores de infraestructura, salud y educación deben analizar cómo la redistribución de recursos afectaría la cobertura y calidad de los servicios en departamentos con baja capacidad fiscal propia, particularmente en la Amazonía, el Pacífico y el Caribe insular.</w:t>
      </w:r>
    </w:p>
    <w:p>
      <w:pPr>
        <w:pStyle w:val="Heading1"/>
      </w:pPr>
      <w:r>
        <w:t>4. PRÓXIMOS PASOS Y RECOMENDACIONES DE INCIDENCIA</w:t>
      </w:r>
    </w:p>
    <w:p>
      <w:pPr>
        <w:spacing w:after="120"/>
        <w:ind w:left="360" w:hanging="360"/>
      </w:pPr>
      <w:r>
        <w:rPr>
          <w:rFonts w:ascii="Montserrat" w:hAnsi="Montserrat"/>
          <w:color w:val="0B43F7"/>
          <w:sz w:val="20"/>
        </w:rPr>
        <w:t>●</w:t>
        <w:tab/>
      </w:r>
      <w:r>
        <w:rPr>
          <w:rFonts w:ascii="Montserrat" w:hAnsi="Montserrat"/>
          <w:color w:val="333333"/>
          <w:sz w:val="22"/>
        </w:rPr>
        <w:t>Análisis jurídico de la viabilidad constitucional de la reforma propuesta (artículos 298, 356, 357 y 358) y de su articulación con el régimen de reglas fiscales y el Sistema General de Participaciones.</w:t>
      </w:r>
    </w:p>
    <w:p>
      <w:pPr>
        <w:spacing w:after="120"/>
        <w:ind w:left="360" w:hanging="360"/>
      </w:pPr>
      <w:r>
        <w:rPr>
          <w:rFonts w:ascii="Montserrat" w:hAnsi="Montserrat"/>
          <w:color w:val="0AB6F2"/>
          <w:sz w:val="20"/>
        </w:rPr>
        <w:t>●</w:t>
        <w:tab/>
      </w:r>
      <w:r>
        <w:rPr>
          <w:rFonts w:ascii="Montserrat" w:hAnsi="Montserrat"/>
          <w:color w:val="333333"/>
          <w:sz w:val="22"/>
        </w:rPr>
        <w:t>Mapeo de la coalición parlamentaria: identificación de diputados firmantes, partidos políticos representados y estrategia de ampliación de respaldo legislativo.</w:t>
      </w:r>
    </w:p>
    <w:p>
      <w:pPr>
        <w:spacing w:after="120"/>
        <w:ind w:left="360" w:hanging="360"/>
      </w:pPr>
      <w:r>
        <w:rPr>
          <w:rFonts w:ascii="Montserrat" w:hAnsi="Montserrat"/>
          <w:color w:val="00CC30"/>
          <w:sz w:val="20"/>
        </w:rPr>
        <w:t>●</w:t>
        <w:tab/>
      </w:r>
      <w:r>
        <w:rPr>
          <w:rFonts w:ascii="Montserrat" w:hAnsi="Montserrat"/>
          <w:color w:val="333333"/>
          <w:sz w:val="22"/>
        </w:rPr>
        <w:t>Diálogo intergubernamental estructurado entre la Nación, gobernaciones y alcaldías para definir un mapa de competencias claras que preceda o acompañe cualquier reforma de distribución de recursos.</w:t>
      </w:r>
    </w:p>
    <w:p>
      <w:pPr>
        <w:spacing w:after="120"/>
        <w:ind w:left="360" w:hanging="360"/>
      </w:pPr>
      <w:r>
        <w:rPr>
          <w:rFonts w:ascii="Montserrat" w:hAnsi="Montserrat"/>
          <w:color w:val="6CD3A5"/>
          <w:sz w:val="20"/>
        </w:rPr>
        <w:t>●</w:t>
        <w:tab/>
      </w:r>
      <w:r>
        <w:rPr>
          <w:rFonts w:ascii="Montserrat" w:hAnsi="Montserrat"/>
          <w:color w:val="333333"/>
          <w:sz w:val="22"/>
        </w:rPr>
        <w:t>Documentación de casos de coordinación multinivel exitosos en Colombia (ej. RAP Eje Cafetero, Pactos Territoriales) como evidencia interna de viabilidad que complemente los referentes internacionales.</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