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2</w:t>
      </w:r>
    </w:p>
    <w:p>
      <w:pPr>
        <w:spacing w:after="80"/>
      </w:pPr>
      <w:r>
        <w:rPr>
          <w:rFonts w:ascii="Georgia" w:hAnsi="Georgia"/>
          <w:i/>
          <w:color w:val="4A4A5A"/>
          <w:sz w:val="24"/>
        </w:rPr>
        <w:t>Principales Marcos Normativos Territoriales</w:t>
      </w:r>
    </w:p>
    <w:p>
      <w:pPr>
        <w:spacing w:after="80"/>
      </w:pPr>
      <w:r>
        <w:rPr>
          <w:rFonts w:ascii="Georgia" w:hAnsi="Georgia"/>
          <w:i/>
          <w:color w:val="666666"/>
          <w:sz w:val="18"/>
        </w:rPr>
        <w:t>Congreso de Finanzas Públicas Territoriales 2026 | Medellín, 05 de agosto de 2026 | 9:40 a.m.</w:t>
        <w:br/>
        <w:t>Panelistas: Andrés Urrea (Consultor, Ministerio de Hacienda y Crédito Público) y Ricardo Valencia (Gerente, GOBS Estrategias Públicas)</w:t>
      </w:r>
    </w:p>
    <w:p>
      <w:pPr>
        <w:spacing w:after="320"/>
      </w:pPr>
      <w:r>
        <w:rPr>
          <w:rFonts w:ascii="Montserrat" w:hAnsi="Montserrat"/>
          <w:color w:val="0B43F7"/>
          <w:sz w:val="20"/>
        </w:rPr>
        <w:t>───────────────────────────────────</w:t>
      </w:r>
    </w:p>
    <w:p>
      <w:pPr>
        <w:pStyle w:val="Heading1"/>
      </w:pPr>
      <w:r>
        <w:t>RESUMEN EJECUTIVO</w:t>
      </w:r>
    </w:p>
    <w:p>
      <w:pPr>
        <w:jc w:val="both"/>
      </w:pPr>
      <w:r>
        <w:rPr>
          <w:rFonts w:ascii="Montserrat" w:hAnsi="Montserrat"/>
          <w:color w:val="333333"/>
          <w:sz w:val="22"/>
        </w:rPr>
        <w:t>El panel abordó el estado y los retos de los marcos normativos que estructuran las finanzas públicas territoriales en Colombia. La conversación se organizó en tres bloques: (i) diagnóstico de los marcos normativos locales —presupuestales, tributarios y administrativos—; (ii) mapeo de las reformas nacionales en curso que impactarán directamente a los territorios, con énfasis en el Sistema General de Participaciones (SGP), la disciplina fiscal subnacional y los proyectos de ley sobre impuesto predial; y (iii) definición de los mensajes que el conglomerado territorial debe transmitir al nuevo Gobierno Nacional. Se identificó un diagnóstico compartido: las normas territoriales presentan rezago estructural —algunas remontan a 1908, 1913 o 1932—, mientras que las reglas nacionales avanzan sin participación activa de los territorios. Los panelistas coincidieron en que la autonomía territorial requiere actualización normativa propia, pero advirtieron que las reformas nacionales en trámite —SGP, predial, disciplina fiscal— podrían consolidar o debilitar esa autonomía dependiendo de la capacidad de incidencia colectiva de las entidades territoriales.</w:t>
      </w:r>
    </w:p>
    <w:p>
      <w:pPr>
        <w:pStyle w:val="Heading1"/>
      </w:pPr>
      <w:r>
        <w:t>EJE TEMÁTICO 1: MARCO NORMATIVO LOCAL — PRESUPUESTO, TRIBUTOS Y ESTRUCTURA ADMINISTRATIVA</w:t>
      </w:r>
    </w:p>
    <w:p>
      <w:pPr>
        <w:pStyle w:val="Heading2"/>
      </w:pPr>
      <w:r>
        <w:t>Contexto</w:t>
      </w:r>
    </w:p>
    <w:p>
      <w:pPr>
        <w:jc w:val="both"/>
      </w:pPr>
      <w:r>
        <w:rPr>
          <w:rFonts w:ascii="Montserrat" w:hAnsi="Montserrat"/>
          <w:color w:val="333333"/>
          <w:sz w:val="22"/>
        </w:rPr>
        <w:t>El panel inició su desarrollo técnico a partir de la premisa de que los marcos normativos locales constituyen la infraestructura jurídica sobre la cual descansa la gestión de las finanzas públicas territoriales. Ricardo Valencia enmarcó la discusión señalando que, cuando una administración decide gestionar correctamente sus finanzas, esa decisión debe ir acompañada de la revisión sistemática de sus marcos normativos. Desde esta lógica, se identificaron cinco instrumentos prioritarios: Plan de Ordenamiento Territorial (POT), estatutos tributarios, estatuto de ingresos no tributarios, manual de cartera y estructura administrativa de la hacienda pública.</w:t>
      </w:r>
    </w:p>
    <w:p>
      <w:pPr>
        <w:pStyle w:val="Heading2"/>
      </w:pPr>
      <w:r>
        <w:t>Argumentos</w:t>
      </w:r>
    </w:p>
    <w:p>
      <w:pPr>
        <w:spacing w:after="120"/>
        <w:ind w:left="360" w:hanging="360"/>
      </w:pPr>
      <w:r>
        <w:rPr>
          <w:rFonts w:ascii="Montserrat" w:hAnsi="Montserrat"/>
          <w:color w:val="0B43F7"/>
          <w:sz w:val="20"/>
        </w:rPr>
        <w:t>●</w:t>
        <w:tab/>
      </w:r>
      <w:r>
        <w:rPr>
          <w:rFonts w:ascii="Montserrat" w:hAnsi="Montserrat"/>
          <w:color w:val="333333"/>
          <w:sz w:val="22"/>
        </w:rPr>
        <w:t>Estatuto Orgánico de Presupuestos (EOP) y autonomía territorial</w:t>
      </w:r>
    </w:p>
    <w:p>
      <w:pPr>
        <w:jc w:val="both"/>
      </w:pPr>
      <w:r>
        <w:rPr>
          <w:rFonts w:ascii="Montserrat" w:hAnsi="Montserrat"/>
          <w:color w:val="333333"/>
          <w:sz w:val="22"/>
        </w:rPr>
        <w:t>Andrés Urrea abrió el bloque con una conmemoración crítica: el Estatuto Orgánico de Presupuestos (Decreto 111 de 1996) cumplió 30 años en 2026, pero el aniversario pasó inadvertido. Sostuvo que la norma sigue siendo la institucionalidad fiscal colombiana desde 1996, pero que en el nivel territorial se traduce en una contradicción estructural: existe un discurso fuerte de autonomía territorial, sin embargo, muchas entidades ni siquiera poseen un estatuto de presupuesto actualizado, replicando textualmente el estatuto presupuestal de la Nación.</w:t>
      </w:r>
    </w:p>
    <w:p>
      <w:pPr>
        <w:pStyle w:val="Quote"/>
      </w:pPr>
      <w:r>
        <w:rPr>
          <w:rFonts w:ascii="Georgia" w:hAnsi="Georgia"/>
          <w:i/>
          <w:color w:val="1A1A2E"/>
          <w:sz w:val="21"/>
        </w:rPr>
        <w:t>tenemos un discurso muy fuerte de autonomía territorial, pero muchas entidades territoriales ni siquiera tienen un estatuto de presupuesto actualizado casi que termina siendo una réplica del estatuto presupuestal de la nación, lo que no tiene ningún sentido"</w:t>
      </w:r>
      <w:r>
        <w:br/>
      </w:r>
      <w:r>
        <w:rPr>
          <w:rFonts w:ascii="Georgia" w:hAnsi="Georgia"/>
          <w:b/>
          <w:i/>
          <w:color w:val="0B43F7"/>
          <w:sz w:val="21"/>
        </w:rPr>
        <w:t>— Andrés Urrea</w:t>
      </w:r>
    </w:p>
    <w:p>
      <w:pPr>
        <w:jc w:val="both"/>
      </w:pPr>
      <w:r>
        <w:rPr>
          <w:rFonts w:ascii="Montserrat" w:hAnsi="Montserrat"/>
          <w:color w:val="333333"/>
          <w:sz w:val="22"/>
        </w:rPr>
        <w:t>Urrea enfatizó que, tras tres décadas, la pregunta obligada es si la institucionalidad presupuestal debe seguir siendo la misma para el nivel nacional, cuando las realidades territoriales son distintas. Adicionalmente, señaló que muchas normas orgánicas anexas al EOP son percibidas en los territorios como arbitrarias, pero no existen iniciativas para modificarlas. Extendió su argumento al ámbito judicial, señalando que los tribunales administrativos del país, al resolver demandas de presupuesto, solo hacen referencia al Decreto 111 de 1996 y muchas veces omiten revisar el estatuto de presupuesto territorial.</w:t>
      </w:r>
    </w:p>
    <w:p>
      <w:pPr>
        <w:pStyle w:val="Quote"/>
      </w:pPr>
      <w:r>
        <w:rPr>
          <w:rFonts w:ascii="Georgia" w:hAnsi="Georgia"/>
          <w:i/>
          <w:color w:val="1A1A2E"/>
          <w:sz w:val="21"/>
        </w:rPr>
        <w:t>transmitirle este mensaje no solo al gobierno sino a todos los tribunales administrativos del país que en las demandas de presupuesto solamente hacen referencia al decreto único reglamentario del sector Hacienda al decreto 111 del 96 y yo creo que muchas veces ni siquiera tiene la cortesía de revisar el estatuto de presupuesto territorial"</w:t>
      </w:r>
      <w:r>
        <w:br/>
      </w:r>
      <w:r>
        <w:rPr>
          <w:rFonts w:ascii="Georgia" w:hAnsi="Georgia"/>
          <w:b/>
          <w:i/>
          <w:color w:val="0B43F7"/>
          <w:sz w:val="21"/>
        </w:rPr>
        <w:t>— Andrés Urrea</w:t>
      </w:r>
    </w:p>
    <w:p>
      <w:pPr>
        <w:spacing w:after="120"/>
        <w:ind w:left="360" w:hanging="360"/>
      </w:pPr>
      <w:r>
        <w:rPr>
          <w:rFonts w:ascii="Montserrat" w:hAnsi="Montserrat"/>
          <w:color w:val="0B43F7"/>
          <w:sz w:val="20"/>
        </w:rPr>
        <w:t>●</w:t>
        <w:tab/>
      </w:r>
      <w:r>
        <w:rPr>
          <w:rFonts w:ascii="Montserrat" w:hAnsi="Montserrat"/>
          <w:color w:val="333333"/>
          <w:sz w:val="22"/>
        </w:rPr>
        <w:t>Marcos Fiscales de Mediano Plazo (MFMP) y asistencia técnica territorial</w:t>
      </w:r>
    </w:p>
    <w:p>
      <w:pPr>
        <w:pStyle w:val="Quote"/>
      </w:pPr>
      <w:r>
        <w:rPr>
          <w:rFonts w:ascii="Georgia" w:hAnsi="Georgia"/>
          <w:i/>
          <w:color w:val="1A1A2E"/>
          <w:sz w:val="21"/>
        </w:rPr>
        <w:t>Urrea calificó el MFMP como un instrumento 'absolutamente poderoso', pero evidenció dos fallas críticas. Primero, que en la práctica los MFMP territoriales operan como instrumentos de corto plazo, cuyas metas nunca se cumplen. Segundo, que la herramienta actualizada por el Banco Mundial —liderada por la doctora Johanna López— bajo estándares internacionales y la concepción de la Ley 819 de 2003, no ha logrado permeabilizar los territorios porque la asistencia técnica territorial se agotó y el modelo por demanda dejó de funcionar. Existe, además, un CONPES de asistencia técnica territorial que está engavetado que solamente es papel'.</w:t>
      </w:r>
    </w:p>
    <w:p>
      <w:pPr>
        <w:pStyle w:val="Quote"/>
      </w:pPr>
      <w:r>
        <w:rPr>
          <w:rFonts w:ascii="Georgia" w:hAnsi="Georgia"/>
          <w:i/>
          <w:color w:val="1A1A2E"/>
          <w:sz w:val="21"/>
        </w:rPr>
        <w:t>el marco fiscal de mediano plazo de corto plazo las metas nunca se cumplen"</w:t>
      </w:r>
      <w:r>
        <w:br/>
      </w:r>
      <w:r>
        <w:rPr>
          <w:rFonts w:ascii="Georgia" w:hAnsi="Georgia"/>
          <w:b/>
          <w:i/>
          <w:color w:val="0B43F7"/>
          <w:sz w:val="21"/>
        </w:rPr>
        <w:t>— Andrés Urrea</w:t>
      </w:r>
    </w:p>
    <w:p>
      <w:pPr>
        <w:jc w:val="both"/>
      </w:pPr>
      <w:r>
        <w:rPr>
          <w:rFonts w:ascii="Montserrat" w:hAnsi="Montserrat"/>
          <w:color w:val="333333"/>
          <w:sz w:val="22"/>
        </w:rPr>
        <w:t>En otro frente, Urrea resaltó que los MFMP plantean una renovación de las entidades descentralizadas desde su naturaleza corporativa, un debate que debería concentrar buena parte de la discusión futura sobre empresas territoriales y desarrollo local.</w:t>
      </w:r>
    </w:p>
    <w:p>
      <w:pPr>
        <w:spacing w:after="120"/>
        <w:ind w:left="360" w:hanging="360"/>
      </w:pPr>
      <w:r>
        <w:rPr>
          <w:rFonts w:ascii="Montserrat" w:hAnsi="Montserrat"/>
          <w:color w:val="0B43F7"/>
          <w:sz w:val="20"/>
        </w:rPr>
        <w:t>●</w:t>
        <w:tab/>
      </w:r>
      <w:r>
        <w:rPr>
          <w:rFonts w:ascii="Montserrat" w:hAnsi="Montserrat"/>
          <w:color w:val="333333"/>
          <w:sz w:val="22"/>
        </w:rPr>
        <w:t>Vacío del estatuto tributario territorial y antigüedad de las normas</w:t>
      </w:r>
    </w:p>
    <w:p>
      <w:pPr>
        <w:jc w:val="both"/>
      </w:pPr>
      <w:r>
        <w:rPr>
          <w:rFonts w:ascii="Montserrat" w:hAnsi="Montserrat"/>
          <w:color w:val="333333"/>
          <w:sz w:val="22"/>
        </w:rPr>
        <w:t>Una de las preguntas centrales del panel fue por qué no existe un estatuto tributario territorial. Ricardo Valencia complementó señalando que las normas que regulan los tributos territoriales están 'completamente desactualizadas', con disposiciones que datan de 1908, 1913, 1932 y 1983. Aunque han tenido modificaciones puntuales, en esencia están rezagadas y no responden a las realidades actuales. Ambos panelistas coincidieron en que es 'absolutamente necesaria una reforma tributaria territorial'. Valencia recordó que el tema ha sido abordado reiteradamente por misiones de expertos y comisiones de descentralización, contando en el auditorio con la participación de quienes han construido esos diagnósticos.</w:t>
      </w:r>
    </w:p>
    <w:p>
      <w:pPr>
        <w:pStyle w:val="Quote"/>
      </w:pPr>
      <w:r>
        <w:rPr>
          <w:rFonts w:ascii="Georgia" w:hAnsi="Georgia"/>
          <w:i/>
          <w:color w:val="1A1A2E"/>
          <w:sz w:val="21"/>
        </w:rPr>
        <w:t>es absolutamente necesaria una reforma tributaria territorial"</w:t>
      </w:r>
      <w:r>
        <w:br/>
      </w:r>
      <w:r>
        <w:rPr>
          <w:rFonts w:ascii="Georgia" w:hAnsi="Georgia"/>
          <w:b/>
          <w:i/>
          <w:color w:val="0B43F7"/>
          <w:sz w:val="21"/>
        </w:rPr>
        <w:t>— Ricardo Valencia</w:t>
      </w:r>
    </w:p>
    <w:p>
      <w:pPr>
        <w:pStyle w:val="Quote"/>
      </w:pPr>
      <w:r>
        <w:rPr>
          <w:rFonts w:ascii="Georgia" w:hAnsi="Georgia"/>
          <w:i/>
          <w:color w:val="1A1A2E"/>
          <w:sz w:val="21"/>
        </w:rPr>
        <w:t>tenemos unas normas completamente anacrónicas y esta debe ser una de las principales prioridades"</w:t>
      </w:r>
      <w:r>
        <w:br/>
      </w:r>
      <w:r>
        <w:rPr>
          <w:rFonts w:ascii="Georgia" w:hAnsi="Georgia"/>
          <w:b/>
          <w:i/>
          <w:color w:val="0B43F7"/>
          <w:sz w:val="21"/>
        </w:rPr>
        <w:t>— Ricardo Valencia</w:t>
      </w:r>
    </w:p>
    <w:p>
      <w:pPr>
        <w:spacing w:after="120"/>
        <w:ind w:left="360" w:hanging="360"/>
      </w:pPr>
      <w:r>
        <w:rPr>
          <w:rFonts w:ascii="Montserrat" w:hAnsi="Montserrat"/>
          <w:color w:val="0B43F7"/>
          <w:sz w:val="20"/>
        </w:rPr>
        <w:t>●</w:t>
        <w:tab/>
      </w:r>
      <w:r>
        <w:rPr>
          <w:rFonts w:ascii="Montserrat" w:hAnsi="Montserrat"/>
          <w:color w:val="333333"/>
          <w:sz w:val="22"/>
        </w:rPr>
        <w:t>Plan de Ordenamiento Territorial como fuente de financiación</w:t>
      </w:r>
    </w:p>
    <w:p>
      <w:pPr>
        <w:jc w:val="both"/>
      </w:pPr>
      <w:r>
        <w:rPr>
          <w:rFonts w:ascii="Montserrat" w:hAnsi="Montserrat"/>
          <w:color w:val="333333"/>
          <w:sz w:val="22"/>
        </w:rPr>
        <w:t>Valencia incluyó el POT (o PBOT/EOT según categoría) dentro de los cinco marcos normativos que desde la hacienda se deben tener 'afinados y afilados'. Más allá de la ordenación del suelo, estos instrumentos contienen fuentes de financiación subutilizadas. Señaló que muchos municipios aprobaron su POT a finales de los noventa o principios de los dos mil y no lo han actualizado desde entonces, pese a que han vencido los horizontes de corto, mediano y largo plazo. Entre los instrumentos disponibles mencionó plusvalías, valorizaciones, venta de derechos adicionales de construcción, aprovechamientos económicos del espacio público, TIF, derecho real de superficie y obligaciones urbanísticas.</w:t>
      </w:r>
    </w:p>
    <w:p>
      <w:pPr>
        <w:pStyle w:val="Quote"/>
      </w:pPr>
      <w:r>
        <w:rPr>
          <w:rFonts w:ascii="Georgia" w:hAnsi="Georgia"/>
          <w:i/>
          <w:color w:val="1A1A2E"/>
          <w:sz w:val="21"/>
        </w:rPr>
        <w:t>uno ve que hay municipios que sacaron un Pot por allá a finales de los noventa o a principios de los dos mil y nunca más lo volvieron a mover. Entonces ya pasó la revisión de corto mediano y de largo plazo hace rato"</w:t>
      </w:r>
      <w:r>
        <w:br/>
      </w:r>
      <w:r>
        <w:rPr>
          <w:rFonts w:ascii="Georgia" w:hAnsi="Georgia"/>
          <w:b/>
          <w:i/>
          <w:color w:val="0B43F7"/>
          <w:sz w:val="21"/>
        </w:rPr>
        <w:t>— Ricardo Valencia</w:t>
      </w:r>
    </w:p>
    <w:p>
      <w:pPr>
        <w:spacing w:after="120"/>
        <w:ind w:left="360" w:hanging="360"/>
      </w:pPr>
      <w:r>
        <w:rPr>
          <w:rFonts w:ascii="Montserrat" w:hAnsi="Montserrat"/>
          <w:color w:val="0B43F7"/>
          <w:sz w:val="20"/>
        </w:rPr>
        <w:t>●</w:t>
        <w:tab/>
      </w:r>
      <w:r>
        <w:rPr>
          <w:rFonts w:ascii="Montserrat" w:hAnsi="Montserrat"/>
          <w:color w:val="333333"/>
          <w:sz w:val="22"/>
        </w:rPr>
        <w:t>Modernización de estatutos tributarios y gestión tarifaria</w:t>
      </w:r>
    </w:p>
    <w:p>
      <w:pPr>
        <w:jc w:val="both"/>
      </w:pPr>
      <w:r>
        <w:rPr>
          <w:rFonts w:ascii="Montserrat" w:hAnsi="Montserrat"/>
          <w:color w:val="333333"/>
          <w:sz w:val="22"/>
        </w:rPr>
        <w:t>Valencia sostuvo que toda administración debe pensar en la modernización de su estatuto tributario, no como copia mecánica sino como ejercicio objetivo de determinar qué tributos mantener, cuáles retirar por ineficiencia o dudosa legalidad, y qué nuevas figuras incorporar. Advirtió que muchas veces se pasan de un estatuto a otro sin revisar tarifas de fondo, pese a que las dinámicas municipales cambian en periodos de cinco o diez años. También enfatizó en revisar los beneficios tributarios como herramienta para incentivar la atracción de empresas acordes con la vocación territorial.</w:t>
      </w:r>
    </w:p>
    <w:p>
      <w:pPr>
        <w:pStyle w:val="Quote"/>
      </w:pPr>
      <w:r>
        <w:rPr>
          <w:rFonts w:ascii="Georgia" w:hAnsi="Georgia"/>
          <w:i/>
          <w:color w:val="1A1A2E"/>
          <w:sz w:val="21"/>
        </w:rPr>
        <w:t>no simplemente hacer una copia sino que empezar a mirar de alguna manera muy objetiva, qué es lo que se debe hacer, qué tributos hay que sacar porque ya no son costo eficientes... qué podemos incorporar"</w:t>
      </w:r>
      <w:r>
        <w:br/>
      </w:r>
      <w:r>
        <w:rPr>
          <w:rFonts w:ascii="Georgia" w:hAnsi="Georgia"/>
          <w:b/>
          <w:i/>
          <w:color w:val="0B43F7"/>
          <w:sz w:val="21"/>
        </w:rPr>
        <w:t>— Ricardo Valencia</w:t>
      </w:r>
    </w:p>
    <w:p>
      <w:pPr>
        <w:spacing w:after="120"/>
        <w:ind w:left="360" w:hanging="360"/>
      </w:pPr>
      <w:r>
        <w:rPr>
          <w:rFonts w:ascii="Montserrat" w:hAnsi="Montserrat"/>
          <w:color w:val="0B43F7"/>
          <w:sz w:val="20"/>
        </w:rPr>
        <w:t>●</w:t>
        <w:tab/>
      </w:r>
      <w:r>
        <w:rPr>
          <w:rFonts w:ascii="Montserrat" w:hAnsi="Montserrat"/>
          <w:color w:val="333333"/>
          <w:sz w:val="22"/>
        </w:rPr>
        <w:t>Estatuto de ingresos no tributarios y agilidad normativa</w:t>
      </w:r>
    </w:p>
    <w:p>
      <w:pPr>
        <w:jc w:val="both"/>
      </w:pPr>
      <w:r>
        <w:rPr>
          <w:rFonts w:ascii="Montserrat" w:hAnsi="Montserrat"/>
          <w:color w:val="333333"/>
          <w:sz w:val="22"/>
        </w:rPr>
        <w:t>El panel dedicó atención específica a los ingresos no tributarios, que en muchos territorios superan en magnitud a los tributarios tradicionales. Valencia argumentó que estos ingresos suelen estar dispersos, sin procedimientos ni responsables asignados. Recomendó compilarlos, fijar procedimientos, responsabilidades y competencias en la estructura administrativa. Un punto técnico clave fue la forma de regulación: la mayoría de ingresos no tributarios no requieren acuerdo municipal, por lo que plasmarlos en acuerdo los inmoviliza, ya que cualquier variación exige trámite ante el concejo. La recomendación fue gestionarlos vía decreto, dado que provienen de ley o de competencia directa, lo que permite crear procedimientos expeditos.</w:t>
      </w:r>
    </w:p>
    <w:p>
      <w:pPr>
        <w:pStyle w:val="Quote"/>
      </w:pPr>
      <w:r>
        <w:rPr>
          <w:rFonts w:ascii="Georgia" w:hAnsi="Georgia"/>
          <w:i/>
          <w:color w:val="1A1A2E"/>
          <w:sz w:val="21"/>
        </w:rPr>
        <w:t>la mayoría de los ingresos no tributarios no requieren un acuerdo cuando nosotros vamos y los plasmamos en un acuerdo lo que hacemos es dejarlos inmovilizados en el tiempo porque para hacer cualquier variación tenemos que ir a un organismo de concejo municipal"</w:t>
      </w:r>
      <w:r>
        <w:br/>
      </w:r>
      <w:r>
        <w:rPr>
          <w:rFonts w:ascii="Georgia" w:hAnsi="Georgia"/>
          <w:b/>
          <w:i/>
          <w:color w:val="0B43F7"/>
          <w:sz w:val="21"/>
        </w:rPr>
        <w:t>— Ricardo Valencia</w:t>
      </w:r>
    </w:p>
    <w:p>
      <w:pPr>
        <w:spacing w:after="120"/>
        <w:ind w:left="360" w:hanging="360"/>
      </w:pPr>
      <w:r>
        <w:rPr>
          <w:rFonts w:ascii="Montserrat" w:hAnsi="Montserrat"/>
          <w:color w:val="0B43F7"/>
          <w:sz w:val="20"/>
        </w:rPr>
        <w:t>●</w:t>
        <w:tab/>
      </w:r>
      <w:r>
        <w:rPr>
          <w:rFonts w:ascii="Montserrat" w:hAnsi="Montserrat"/>
          <w:color w:val="333333"/>
          <w:sz w:val="22"/>
        </w:rPr>
        <w:t>Estructura administrativa de las haciendas territoriales</w:t>
      </w:r>
    </w:p>
    <w:p>
      <w:pPr>
        <w:jc w:val="both"/>
      </w:pPr>
      <w:r>
        <w:rPr>
          <w:rFonts w:ascii="Montserrat" w:hAnsi="Montserrat"/>
          <w:color w:val="333333"/>
          <w:sz w:val="22"/>
        </w:rPr>
        <w:t>Valencia cerró el bloque local subrayando que la gestión tributaria y de ingresos requiere una estructura administrativa adecuada, no solo la existencia de una Secretaría de Hacienda. Esto implica tener personas responsables de la línea del gasto (presupuesto, contabilidad, tesorería, gestión financiera) y de la línea de ingresos (tributos e ingresos no tributarios), incluso si inicialmente se contratan especialistas o se conforman grupos internos de trabajo, con el objetivo de que esa estructura quede reflejada posteriormente en acuerdo municipal y se materialice en planta.</w:t>
      </w:r>
    </w:p>
    <w:p>
      <w:pPr>
        <w:pStyle w:val="Quote"/>
      </w:pPr>
      <w:r>
        <w:rPr>
          <w:rFonts w:ascii="Georgia" w:hAnsi="Georgia"/>
          <w:i/>
          <w:color w:val="1A1A2E"/>
          <w:sz w:val="21"/>
        </w:rPr>
        <w:t>toda la gestión tributaria de ingreso requiere no solo de que exista una dependencia como la Secretaría de Hacienda sino que de ahí hacia abajo, haya una estructura adecuada"</w:t>
      </w:r>
      <w:r>
        <w:br/>
      </w:r>
      <w:r>
        <w:rPr>
          <w:rFonts w:ascii="Georgia" w:hAnsi="Georgia"/>
          <w:b/>
          <w:i/>
          <w:color w:val="0B43F7"/>
          <w:sz w:val="21"/>
        </w:rPr>
        <w:t>— Ricardo Valencia</w:t>
      </w:r>
    </w:p>
    <w:p>
      <w:pPr>
        <w:pStyle w:val="Heading2"/>
      </w:pPr>
      <w:r>
        <w:t>Consensos</w:t>
      </w:r>
    </w:p>
    <w:p>
      <w:pPr>
        <w:spacing w:after="120"/>
        <w:ind w:left="360" w:hanging="360"/>
      </w:pPr>
      <w:r>
        <w:rPr>
          <w:rFonts w:ascii="Montserrat" w:hAnsi="Montserrat"/>
          <w:color w:val="0B43F7"/>
          <w:sz w:val="20"/>
        </w:rPr>
        <w:t>●</w:t>
        <w:tab/>
      </w:r>
      <w:r>
        <w:rPr>
          <w:rFonts w:ascii="Montserrat" w:hAnsi="Montserrat"/>
          <w:color w:val="333333"/>
          <w:sz w:val="22"/>
        </w:rPr>
        <w:t>Los estatutos de presupuesto territoriales deben dejar de ser réplicas del estatuto nacional y actualizarse a las realidades locales.• Es necesaria una reforma tributaria territorial estructural que simplifique el sistema, actualice normas anacrónicas y defina marcos sustantivos, procedimentales y sancionatorios propios.• Los ingresos no tributarios deben gestionarse preferentemente por decreto para evitar rigideces normativas.• El POT y sus instrumentos de financiación son herramientas subutilizadas que requieren actualización periódica.• La estructura administrativa de las haciendas territoriales es una condición de viabilidad para cualquier modernización normativa.</w:t>
      </w:r>
    </w:p>
    <w:p>
      <w:pPr>
        <w:pStyle w:val="Heading2"/>
      </w:pPr>
      <w:r>
        <w:t>Tensiones</w:t>
      </w:r>
    </w:p>
    <w:p>
      <w:pPr>
        <w:spacing w:after="120"/>
        <w:ind w:left="360" w:hanging="360"/>
      </w:pPr>
      <w:r>
        <w:rPr>
          <w:rFonts w:ascii="Montserrat" w:hAnsi="Montserrat"/>
          <w:color w:val="0B43F7"/>
          <w:sz w:val="20"/>
        </w:rPr>
        <w:t>●</w:t>
        <w:tab/>
      </w:r>
      <w:r>
        <w:rPr>
          <w:rFonts w:ascii="Montserrat" w:hAnsi="Montserrat"/>
          <w:color w:val="333333"/>
          <w:sz w:val="22"/>
        </w:rPr>
        <w:t>Tensión entre autonomía territorial discursiva y dependencia normativa real: los territorios replican normas nacionales sin adaptación crítica.• Tensión entre la antigüedad de las normas tributarias (algunas de principios del siglo XX) y la ausencia de voluntad política para su reforma estructural.• Tensión entre la necesidad de estabilidad jurídica en los estatutos tributarios y la urgencia de flexibilidad tarifaria y de base gravable.• Tensión entre la recomendación de gestionar ingresos no tributarios por decreto y la práctica institucional de buscar legitimidad política mediante acuerdo municipal.</w:t>
      </w:r>
    </w:p>
    <w:p>
      <w:pPr>
        <w:pStyle w:val="Heading2"/>
      </w:pPr>
      <w:r>
        <w:t>Insights</w:t>
      </w:r>
    </w:p>
    <w:p>
      <w:pPr>
        <w:spacing w:after="120"/>
        <w:ind w:left="360" w:hanging="360"/>
      </w:pPr>
      <w:r>
        <w:rPr>
          <w:rFonts w:ascii="Montserrat" w:hAnsi="Montserrat"/>
          <w:color w:val="0B43F7"/>
          <w:sz w:val="20"/>
        </w:rPr>
        <w:t>●</w:t>
        <w:tab/>
      </w:r>
      <w:r>
        <w:rPr>
          <w:rFonts w:ascii="Montserrat" w:hAnsi="Montserrat"/>
          <w:color w:val="333333"/>
          <w:sz w:val="22"/>
        </w:rPr>
        <w:t>El aniversario del EOP (30 años) pasó inadvertido, lo cual es sintomático de la falta de reflexión institucional sobre el marco presupuestal territorial.• Los MFMP del Banco Mundial existen como herramienta técnica, pero su utilidad real se anuló por la discontinuidad de la asistencia técnica territorial.• La ausencia de un estatuto tributario territorial no es un vacío jurídico menor: es la manifestación de un diseño constitucional que nunca completó la arquitectura fiscal subnacional.• El POT no es solo una norma urbanística; es un documento de política fiscal territorial cuando se operan sus instrumentos de captura de valor.</w:t>
      </w:r>
    </w:p>
    <w:p>
      <w:pPr>
        <w:pStyle w:val="Heading1"/>
      </w:pPr>
      <w:r>
        <w:t>EJE TEMÁTICO 2: REFORMAS NACIONALES EN CURSO — SGP, DISCIPLINA FISCAL Y COMPETENCIAS</w:t>
      </w:r>
    </w:p>
    <w:p>
      <w:pPr>
        <w:pStyle w:val="Heading2"/>
      </w:pPr>
      <w:r>
        <w:t>Contexto</w:t>
      </w:r>
    </w:p>
    <w:p>
      <w:pPr>
        <w:jc w:val="both"/>
      </w:pPr>
      <w:r>
        <w:rPr>
          <w:rFonts w:ascii="Montserrat" w:hAnsi="Montserrat"/>
          <w:color w:val="333333"/>
          <w:sz w:val="22"/>
        </w:rPr>
        <w:t>El segundo bloque del panel se dedicó a mapear iniciativas nacionales que, estando en trámite o recién aprobadas, reconfigurarán el entorno de las finanzas territoriales. Andrés Urrea asumió la conducción técnica de este eje, con intervenciones de Ricardo Valencia sobre la necesidad de que los territorios conozcan, dimensionen e incidan en estas reformas. Se abordaron tres frentes: el incumplimiento sistemático del artículo 7 de la Ley 819 de 2003; la reforma constitucional y los proyectos de ley sobre el SGP; y el proyecto de ley 332 de 2024 que modifica el marco de disciplina fiscal territorial.</w:t>
      </w:r>
    </w:p>
    <w:p>
      <w:pPr>
        <w:pStyle w:val="Heading2"/>
      </w:pPr>
      <w:r>
        <w:t>Argumentos</w:t>
      </w:r>
    </w:p>
    <w:p>
      <w:pPr>
        <w:spacing w:after="120"/>
        <w:ind w:left="360" w:hanging="360"/>
      </w:pPr>
      <w:r>
        <w:rPr>
          <w:rFonts w:ascii="Montserrat" w:hAnsi="Montserrat"/>
          <w:color w:val="0B43F7"/>
          <w:sz w:val="20"/>
        </w:rPr>
        <w:t>●</w:t>
        <w:tab/>
      </w:r>
      <w:r>
        <w:rPr>
          <w:rFonts w:ascii="Montserrat" w:hAnsi="Montserrat"/>
          <w:color w:val="333333"/>
          <w:sz w:val="22"/>
        </w:rPr>
        <w:t>Omisión del artículo 7 de la Ley 819 de 2003 y asimetría informativa</w:t>
      </w:r>
    </w:p>
    <w:p>
      <w:pPr>
        <w:jc w:val="both"/>
      </w:pPr>
      <w:r>
        <w:rPr>
          <w:rFonts w:ascii="Montserrat" w:hAnsi="Montserrat"/>
          <w:color w:val="333333"/>
          <w:sz w:val="22"/>
        </w:rPr>
        <w:t>Urrea recordó que el artículo 7 de la Ley 819 de 2003 prohíbe la presentación de proyectos de ley, ordenanzas o acuerdos sin cálculo de impacto fiscal. No obstante, señaló que el Congreso de la República modifica sistemáticamente normas sin que los territorios se enteren: la Ley 2468 modificó el FOMPET; se alteró el régimen de honorarios de los concejales; y recientemente se modificó el esquema de remuneración de las personerías. En todos los casos, 'los últimos que se enteran son las entidades territoriales'. Calificó como inaceptable que el artículo 7 siga siendo omitido. Extendió una invitación explícita a las asociaciones gremiales —Asocapitales, Federación de Departamentos, Federación de Municipios— para que asuman la veeduría normativa.</w:t>
      </w:r>
    </w:p>
    <w:p>
      <w:pPr>
        <w:pStyle w:val="Quote"/>
      </w:pPr>
      <w:r>
        <w:rPr>
          <w:rFonts w:ascii="Georgia" w:hAnsi="Georgia"/>
          <w:i/>
          <w:color w:val="1A1A2E"/>
          <w:sz w:val="21"/>
        </w:rPr>
        <w:t>no puede existir ningún proyecto de ley ni una ordenanza ni un acuerdo que no tenga un cálculo de impacto fiscal, la pregunta que todos deberíamos hacernos en este momento es porque se modifica a través de la ley dos cuatro seis ocho el funcionamiento del fompet... y no nos enteramos"</w:t>
      </w:r>
      <w:r>
        <w:br/>
      </w:r>
      <w:r>
        <w:rPr>
          <w:rFonts w:ascii="Georgia" w:hAnsi="Georgia"/>
          <w:b/>
          <w:i/>
          <w:color w:val="0B43F7"/>
          <w:sz w:val="21"/>
        </w:rPr>
        <w:t>— Andrés Urrea</w:t>
      </w:r>
    </w:p>
    <w:p>
      <w:pPr>
        <w:pStyle w:val="Quote"/>
      </w:pPr>
      <w:r>
        <w:rPr>
          <w:rFonts w:ascii="Georgia" w:hAnsi="Georgia"/>
          <w:i/>
          <w:color w:val="1A1A2E"/>
          <w:sz w:val="21"/>
        </w:rPr>
        <w:t>es inaceptable que el artículo séptimo siga siendo un artículo que se omite por parte del Congreso de la república"</w:t>
      </w:r>
      <w:r>
        <w:br/>
      </w:r>
      <w:r>
        <w:rPr>
          <w:rFonts w:ascii="Georgia" w:hAnsi="Georgia"/>
          <w:b/>
          <w:i/>
          <w:color w:val="0B43F7"/>
          <w:sz w:val="21"/>
        </w:rPr>
        <w:t>— Andrés Urrea</w:t>
      </w:r>
    </w:p>
    <w:p>
      <w:pPr>
        <w:spacing w:after="120"/>
        <w:ind w:left="360" w:hanging="360"/>
      </w:pPr>
      <w:r>
        <w:rPr>
          <w:rFonts w:ascii="Montserrat" w:hAnsi="Montserrat"/>
          <w:color w:val="0B43F7"/>
          <w:sz w:val="20"/>
        </w:rPr>
        <w:t>●</w:t>
        <w:tab/>
      </w:r>
      <w:r>
        <w:rPr>
          <w:rFonts w:ascii="Montserrat" w:hAnsi="Montserrat"/>
          <w:color w:val="333333"/>
          <w:sz w:val="22"/>
        </w:rPr>
        <w:t>Reforma del Sistema General de Participaciones (SGP): magnitud y opacidad</w:t>
      </w:r>
    </w:p>
    <w:p>
      <w:pPr>
        <w:jc w:val="both"/>
      </w:pPr>
      <w:r>
        <w:rPr>
          <w:rFonts w:ascii="Montserrat" w:hAnsi="Montserrat"/>
          <w:color w:val="333333"/>
          <w:sz w:val="22"/>
        </w:rPr>
        <w:t>Urrea calificó la reforma del SGP como 'probablemente la reforma fiscal más importante de los últimos 20 años', señalando que ha pasado inadvertida para los territorios. Contextualizó con dos escenarios concurrentes. Primero, el referendo por las regiones, que propone que la tenencia económica del impuesto sobre la renta, patrimonio y riqueza sea propiedad de los departamentos y Bogotá, lo que representaría el 6.9 % del PIB (47 % de los ingresos corrientes actuales). Segundo, el Acto Legislativo 03 de 2024, que plantea llevar el SGP del 4.3 % actual del PIB al 6.9 % en 12 años, equivalente al 39.5 % de los ingresos corrientes de la Nación. Esto situaría a Colombia en el top 10 de países de la OCDE en transferencias respecto al PIB, cerca de Dinamarca y Polonia.</w:t>
      </w:r>
    </w:p>
    <w:p>
      <w:pPr>
        <w:pStyle w:val="Quote"/>
      </w:pPr>
      <w:r>
        <w:rPr>
          <w:rFonts w:ascii="Georgia" w:hAnsi="Georgia"/>
          <w:i/>
          <w:color w:val="1A1A2E"/>
          <w:sz w:val="21"/>
        </w:rPr>
        <w:t>pasar de ser un país en donde las transferencias son típicas de un país por debajo del promedio de la OCDE a estar en el top 10 de países de la ocde de tamaño de transferencia respecto al producto interno bruto al lado de Polonia muy cerca de Dinamarca"</w:t>
      </w:r>
      <w:r>
        <w:br/>
      </w:r>
      <w:r>
        <w:rPr>
          <w:rFonts w:ascii="Georgia" w:hAnsi="Georgia"/>
          <w:b/>
          <w:i/>
          <w:color w:val="0B43F7"/>
          <w:sz w:val="21"/>
        </w:rPr>
        <w:t>— Andrés Urrea</w:t>
      </w:r>
    </w:p>
    <w:p>
      <w:pPr>
        <w:jc w:val="both"/>
      </w:pPr>
      <w:r>
        <w:rPr>
          <w:rFonts w:ascii="Montserrat" w:hAnsi="Montserrat"/>
          <w:color w:val="333333"/>
          <w:sz w:val="22"/>
        </w:rPr>
        <w:t>Urrea describió la situación como una 'historia de amor con muchísimo drama', en la que el Gobierno Nacional debe escoger entre tres escenarios: (i) lo que ama —un gobierno de las regiones, con un gabinete regional y un DNP convertido en Departamento Nacional de Planeación y Descentralización—; (ii) lo que le gusta —la reforma constitucional recién aprobada (Acto Legislativo 03/2024)—; o (iii) quedarse con la misma de siempre, dada la difícil situación fiscal. Señaló que, en el largo plazo, las dos primeras propuestas convergen en el mismo orden de magnitud (6.9 % del PIB). Advirtió que los dos proyectos de ley de competencias radicados por el actual gobierno en el Congreso no son conocidos en el territorio y que, en su forma actual, representan un 'status quo' de descentralización sectorial, donde la decisión de un gobernador o alcalde se reduce a una 'decisión tesoral de cumplir con un mandamiento del gobierno'.</w:t>
      </w:r>
    </w:p>
    <w:p>
      <w:pPr>
        <w:pStyle w:val="Quote"/>
      </w:pPr>
      <w:r>
        <w:rPr>
          <w:rFonts w:ascii="Georgia" w:hAnsi="Georgia"/>
          <w:i/>
          <w:color w:val="1A1A2E"/>
          <w:sz w:val="21"/>
        </w:rPr>
        <w:t>el gobierno tiene que escoger entre lo que probablemente ame... tiene que escoger entre lo que le gusta que es una reforma constitucional... o optar por otra opción teniendo en cuenta la difícil situación fiscal que tiene el gobierno que es quedarse con la misma de siempre"</w:t>
      </w:r>
      <w:r>
        <w:br/>
      </w:r>
      <w:r>
        <w:rPr>
          <w:rFonts w:ascii="Georgia" w:hAnsi="Georgia"/>
          <w:b/>
          <w:i/>
          <w:color w:val="0B43F7"/>
          <w:sz w:val="21"/>
        </w:rPr>
        <w:t>— Andrés Urrea</w:t>
      </w:r>
    </w:p>
    <w:p>
      <w:pPr>
        <w:jc w:val="both"/>
      </w:pPr>
      <w:r>
        <w:rPr>
          <w:rFonts w:ascii="Montserrat" w:hAnsi="Montserrat"/>
          <w:color w:val="333333"/>
          <w:sz w:val="22"/>
        </w:rPr>
        <w:t>Ricardo Valencia reforzó la urgencia de que las asociaciones territoriales asuman la agenda del SGP, dejen de 'pasar de agache' y construyan esfuerzos mancomunados. Subrayó que la realización del Congreso de Finanzas Públicas responde precisamente al contexto de posesión del nuevo Gobierno Nacional, cuyo discurso ha estado muy enmarcado en la relación con los territorios.</w:t>
      </w:r>
    </w:p>
    <w:p>
      <w:pPr>
        <w:spacing w:after="120"/>
        <w:ind w:left="360" w:hanging="360"/>
      </w:pPr>
      <w:r>
        <w:rPr>
          <w:rFonts w:ascii="Montserrat" w:hAnsi="Montserrat"/>
          <w:color w:val="0B43F7"/>
          <w:sz w:val="20"/>
        </w:rPr>
        <w:t>●</w:t>
        <w:tab/>
      </w:r>
      <w:r>
        <w:rPr>
          <w:rFonts w:ascii="Montserrat" w:hAnsi="Montserrat"/>
          <w:color w:val="333333"/>
          <w:sz w:val="22"/>
        </w:rPr>
        <w:t>Proyecto de ley 332 de 2024: reforma estructural de la disciplina fiscal subnacional</w:t>
      </w:r>
    </w:p>
    <w:p>
      <w:pPr>
        <w:jc w:val="both"/>
      </w:pPr>
      <w:r>
        <w:rPr>
          <w:rFonts w:ascii="Montserrat" w:hAnsi="Montserrat"/>
          <w:color w:val="333333"/>
          <w:sz w:val="22"/>
        </w:rPr>
        <w:t>Urrea presentó el proyecto de ley 332 de 2024 (Cámara), aprobado en tercer debate el año anterior, que modifica el marco de disciplina fiscal territorial —Ley 617 de 2000, Ley 358 de 1997 y elementos de la Ley 819 de 2003—. Partió de un diagnóstico paradojal: en 2025 todos los municipios y departamentos cumplen el indicador de gastos de funcionamiento sobre ingresos corrientes de libre destinación (Ley 617) con holgura, pero simultáneamente existen crisis puntuales de hospitales, reestructuraciones de pasivos y declaraciones de alcaldes sobre imposibilidad de modernizar plantas de personal. Igualmente, frente al límite del 100 % de deuda sobre ingresos corrientes (Ley 358 de 1997), todos los territorios están 'lejísimos' del techo legal, lo que plantea la pregunta de por qué las entidades no se endeudan si la banca no está siendo más activa en potenciar el desarrollo territorial.</w:t>
      </w:r>
    </w:p>
    <w:p>
      <w:pPr>
        <w:pStyle w:val="Quote"/>
      </w:pPr>
      <w:r>
        <w:rPr>
          <w:rFonts w:ascii="Georgia" w:hAnsi="Georgia"/>
          <w:i/>
          <w:color w:val="1A1A2E"/>
          <w:sz w:val="21"/>
        </w:rPr>
        <w:t>frente al límite del 100% relación deuda ingresos corrientes todos están lejos pero lejísimos de esos techos legales de endeudamiento... ¿por qué las entidades territoriales no se están endeudando?"</w:t>
      </w:r>
      <w:r>
        <w:br/>
      </w:r>
      <w:r>
        <w:rPr>
          <w:rFonts w:ascii="Georgia" w:hAnsi="Georgia"/>
          <w:b/>
          <w:i/>
          <w:color w:val="0B43F7"/>
          <w:sz w:val="21"/>
        </w:rPr>
        <w:t>— Andrés Urrea</w:t>
      </w:r>
    </w:p>
    <w:p>
      <w:pPr>
        <w:jc w:val="both"/>
      </w:pPr>
      <w:r>
        <w:rPr>
          <w:rFonts w:ascii="Montserrat" w:hAnsi="Montserrat"/>
          <w:color w:val="333333"/>
          <w:sz w:val="22"/>
        </w:rPr>
        <w:t>Urrea sostuvo que la Ley 617 ya no tiene sentido porque diferenciar funcionamiento e inversión es obsoleto en un presupuesto estandarizado. 'Estamos satanizando el talento humano', afirmó, y la contención del gasto de funcionamiento resulta irrisoria frente a los retos de la modernidad. El proyecto de ley propone contener dos objetos de gasto asociados a la burocracia: gastos de personal y adquisición de servicios administrativos, garantizando que los ingresos corrientes de libre destinación no se gasten íntegramente en personal, ya sea planta, supernumeraria o prestación de servicios personales con funciones administrativas.</w:t>
      </w:r>
    </w:p>
    <w:p>
      <w:pPr>
        <w:pStyle w:val="Quote"/>
      </w:pPr>
      <w:r>
        <w:rPr>
          <w:rFonts w:ascii="Georgia" w:hAnsi="Georgia"/>
          <w:i/>
          <w:color w:val="1A1A2E"/>
          <w:sz w:val="21"/>
        </w:rPr>
        <w:t>hoy en Colombia diferenciar entre funcionamiento e inversión... es una cuestión del pasado... estamos satanizando el talento humano y debemos reconocer que las administraciones públicas son intensivas en talento humano"</w:t>
      </w:r>
      <w:r>
        <w:br/>
      </w:r>
      <w:r>
        <w:rPr>
          <w:rFonts w:ascii="Georgia" w:hAnsi="Georgia"/>
          <w:b/>
          <w:i/>
          <w:color w:val="0B43F7"/>
          <w:sz w:val="21"/>
        </w:rPr>
        <w:t>— Andrés Urrea</w:t>
      </w:r>
    </w:p>
    <w:p>
      <w:pPr>
        <w:jc w:val="both"/>
      </w:pPr>
      <w:r>
        <w:rPr>
          <w:rFonts w:ascii="Montserrat" w:hAnsi="Montserrat"/>
          <w:color w:val="333333"/>
          <w:sz w:val="22"/>
        </w:rPr>
        <w:t>En materia de deuda, el proyecto introduce una 'ancla de deuda' del 140 % para ciudades y departamentos con niveles significativos pero no dañinos de endeudamiento —como Bogotá, Barranquilla y Atlántico—, sin restringir el endeudamiento para la mayoría de entidades territoriales. Urrea explicó que el marco actual tiene riesgo de inconstitucionalidad, pues una ciudad como Bogotá, con buena calificación de riesgo, podría endeudarse 'hasta el infinito'. Finalmente, advirtió que el marco normativo de contingencias queda corto frente al cambio climático: lo que antes era una emergencia por lluvias hoy es una recurrente, y los territorios solo tienen habilitada la contratación directa, un 'absurdo' cuando se requiere margen de maniobra presupuestal para albergues y mitigación.</w:t>
      </w:r>
    </w:p>
    <w:p>
      <w:pPr>
        <w:pStyle w:val="Quote"/>
      </w:pPr>
      <w:r>
        <w:rPr>
          <w:rFonts w:ascii="Georgia" w:hAnsi="Georgia"/>
          <w:i/>
          <w:color w:val="1A1A2E"/>
          <w:sz w:val="21"/>
        </w:rPr>
        <w:t>usted como municipio declara una situación de calamidad pública... y lo único que tiene normativamente desde el punto de vista financiero es la posibilidad de realizar una contratación directa lo que es un absurdo"</w:t>
      </w:r>
      <w:r>
        <w:br/>
      </w:r>
      <w:r>
        <w:rPr>
          <w:rFonts w:ascii="Georgia" w:hAnsi="Georgia"/>
          <w:b/>
          <w:i/>
          <w:color w:val="0B43F7"/>
          <w:sz w:val="21"/>
        </w:rPr>
        <w:t>— Andrés Urrea</w:t>
      </w:r>
    </w:p>
    <w:p>
      <w:pPr>
        <w:pStyle w:val="Heading2"/>
      </w:pPr>
      <w:r>
        <w:t>Consensos</w:t>
      </w:r>
    </w:p>
    <w:p>
      <w:pPr>
        <w:spacing w:after="120"/>
        <w:ind w:left="360" w:hanging="360"/>
      </w:pPr>
      <w:r>
        <w:rPr>
          <w:rFonts w:ascii="Montserrat" w:hAnsi="Montserrat"/>
          <w:color w:val="0B43F7"/>
          <w:sz w:val="20"/>
        </w:rPr>
        <w:t>●</w:t>
        <w:tab/>
      </w:r>
      <w:r>
        <w:rPr>
          <w:rFonts w:ascii="Montserrat" w:hAnsi="Montserrat"/>
          <w:color w:val="333333"/>
          <w:sz w:val="22"/>
        </w:rPr>
        <w:t>El artículo 7 de la Ley 819 de 2003 debe ser efectivamente aplicado; es inaceptable su omisión sistemática por parte del Congreso.• La reforma del SGP es la más importante de los últimos 20 años y requiere que los territorios pasen de la reacción a la incidencia proactiva.• El proyecto de ley 332 de 2024 responde a un diagnóstico real de obsolescencia del marco disciplina fiscal, pero su comprensión aún no ha llegado a los territorios.• Las reglas fiscales deben evolucionar de la contención indiscriminada del funcionamiento hacia la contención específica de la burocracia administrativa.• El cambio climático exige incorporar contingencias recurrentes dentro del marco fiscal subnacional, con margen de maniobra presupuestal real.</w:t>
      </w:r>
    </w:p>
    <w:p>
      <w:pPr>
        <w:pStyle w:val="Heading2"/>
      </w:pPr>
      <w:r>
        <w:t>Tensiones</w:t>
      </w:r>
    </w:p>
    <w:p>
      <w:pPr>
        <w:spacing w:after="120"/>
        <w:ind w:left="360" w:hanging="360"/>
      </w:pPr>
      <w:r>
        <w:rPr>
          <w:rFonts w:ascii="Montserrat" w:hAnsi="Montserrat"/>
          <w:color w:val="0B43F7"/>
          <w:sz w:val="20"/>
        </w:rPr>
        <w:t>●</w:t>
        <w:tab/>
      </w:r>
      <w:r>
        <w:rPr>
          <w:rFonts w:ascii="Montserrat" w:hAnsi="Montserrat"/>
          <w:color w:val="333333"/>
          <w:sz w:val="22"/>
        </w:rPr>
        <w:t>Tensión entre la magnitud de la reforma del SGP (6.9 % del PIB) y la opacidad con la que avanza en el territorio.• Tensión entre el discurso de autonomía y la práctica de 'decisión tesoral' impuesta desde el nivel nacional.• Tensión entre la holgura formal en el cumplimiento de la Ley 617 y las crisis puntuales de servicios y pasivos en los territorios.• Tensión entre la necesidad de endeudamiento subnacional para infraestructura y el estigma histórico contra la deuda territorial.• Tensión entre la lógica de contingencia ocasional y la realidad del cambio climático, que convierte las emergencias en eventos cíclicos.</w:t>
      </w:r>
    </w:p>
    <w:p>
      <w:pPr>
        <w:pStyle w:val="Heading2"/>
      </w:pPr>
      <w:r>
        <w:t>Insights</w:t>
      </w:r>
    </w:p>
    <w:p>
      <w:pPr>
        <w:spacing w:after="120"/>
        <w:ind w:left="360" w:hanging="360"/>
      </w:pPr>
      <w:r>
        <w:rPr>
          <w:rFonts w:ascii="Montserrat" w:hAnsi="Montserrat"/>
          <w:color w:val="0B43F7"/>
          <w:sz w:val="20"/>
        </w:rPr>
        <w:t>●</w:t>
        <w:tab/>
      </w:r>
      <w:r>
        <w:rPr>
          <w:rFonts w:ascii="Montserrat" w:hAnsi="Montserrat"/>
          <w:color w:val="333333"/>
          <w:sz w:val="22"/>
        </w:rPr>
        <w:t>El SGP está en una encrucijada: las dos grandes propuestas (referendo y Acto Legislativo 03/2024) convergen en el mismo orden de magnitud fiscal, pero el gobierno debe escoger entre federalismo de hecho, centralismo reformado o inercia.• La Ley 617 cumplida con holgura esconde un problema de calidad del gasto: el techo legal no refleja las necesidades reales de talento humano e inversión.• Colombia está muy por debajo del endeudamiento subnacional promedio de la OCDE, lo que sugiere un subaprovechamiento del crédito para desarrollo territorial, no un exceso.• Los proyectos de ley de competencias radicados no alteran el status quo de la descentralización sectorial; sin participación territorial, serán otra capa de mandamientos.</w:t>
      </w:r>
    </w:p>
    <w:p>
      <w:pPr>
        <w:pStyle w:val="Heading1"/>
      </w:pPr>
      <w:r>
        <w:t>EJE TEMÁTICO 3: PROYECTOS LEGISLATIVOS SECTORIALES — PREDIAL Y REFORMA TRIBUTARIA TERRITORIAL</w:t>
      </w:r>
    </w:p>
    <w:p>
      <w:pPr>
        <w:pStyle w:val="Heading2"/>
      </w:pPr>
      <w:r>
        <w:t>Contexto</w:t>
      </w:r>
    </w:p>
    <w:p>
      <w:pPr>
        <w:jc w:val="both"/>
      </w:pPr>
      <w:r>
        <w:rPr>
          <w:rFonts w:ascii="Montserrat" w:hAnsi="Montserrat"/>
          <w:color w:val="333333"/>
          <w:sz w:val="22"/>
        </w:rPr>
        <w:t>El tercer eje abordó dos frentes legislativos que afectan directamente la capacidad recaudatoria territorial: los proyectos de ley que buscan limitar el crecimiento del impuesto predial y las líneas de reforma tributaria territorial que el conglomerado académico y gremial ha venido construyendo. Ricardo Valencia lideró la exposición sobre predial, mientras que Valencia y Urrea dialogaron sobre los ejes de una reforma tributaria estructural.</w:t>
      </w:r>
    </w:p>
    <w:p>
      <w:pPr>
        <w:pStyle w:val="Heading2"/>
      </w:pPr>
      <w:r>
        <w:t>Argumentos</w:t>
      </w:r>
    </w:p>
    <w:p>
      <w:pPr>
        <w:spacing w:after="120"/>
        <w:ind w:left="360" w:hanging="360"/>
      </w:pPr>
      <w:r>
        <w:rPr>
          <w:rFonts w:ascii="Montserrat" w:hAnsi="Montserrat"/>
          <w:color w:val="0B43F7"/>
          <w:sz w:val="20"/>
        </w:rPr>
        <w:t>●</w:t>
        <w:tab/>
      </w:r>
      <w:r>
        <w:rPr>
          <w:rFonts w:ascii="Montserrat" w:hAnsi="Montserrat"/>
          <w:color w:val="333333"/>
          <w:sz w:val="22"/>
        </w:rPr>
        <w:t>Proyectos de ley sobre impuesto predial y catastro multipropósito</w:t>
      </w:r>
    </w:p>
    <w:p>
      <w:pPr>
        <w:jc w:val="both"/>
      </w:pPr>
      <w:r>
        <w:rPr>
          <w:rFonts w:ascii="Montserrat" w:hAnsi="Montserrat"/>
          <w:color w:val="333333"/>
          <w:sz w:val="22"/>
        </w:rPr>
        <w:t>Valencia contextualizó que, desde la implementación de la política de catastro multipropósito en 2015, se flexibilizaron los requisitos para actualizaciones catastrales, se crearon gestores y operadores catastrales y se desconcentró la operación de la IGAC. En este escenario, varios proyectos de ley buscan restringir el crecimiento del predial. Mencionó específicamente el proyecto del representante Daniel Briceño y otro del Centro Democrático, ambos radicados.</w:t>
      </w:r>
    </w:p>
    <w:p>
      <w:pPr>
        <w:jc w:val="both"/>
      </w:pPr>
      <w:r>
        <w:rPr>
          <w:rFonts w:ascii="Montserrat" w:hAnsi="Montserrat"/>
          <w:color w:val="333333"/>
          <w:sz w:val="22"/>
        </w:rPr>
        <w:t>El proyecto de Briceño propone crear indicadores del DANE para certificar anualmente el porcentaje máximo de crecimiento del impuesto predial (no del avalúo). El tope se establecería por indicadores regionales con márgenes técnicos adicionales según tipo de predio, pero en ningún caso podría superar el 12 % a nivel nacional. Además, para materializar una actualización catastral sería obligatorio realizar una visita presencial previa al predio. El proyecto también agrupa al predial con sus tributos accesorios —sobretasa, BERIL, alumbrado público, sobretasa ambiental— para efectos del límite de crecimiento.</w:t>
      </w:r>
    </w:p>
    <w:p>
      <w:pPr>
        <w:pStyle w:val="Quote"/>
      </w:pPr>
      <w:r>
        <w:rPr>
          <w:rFonts w:ascii="Georgia" w:hAnsi="Georgia"/>
          <w:i/>
          <w:color w:val="1A1A2E"/>
          <w:sz w:val="21"/>
        </w:rPr>
        <w:t>el proyecto de diseño... habla de crear unos indicadores que tendría el dane donde de alguna manera cada año porcentualmente se certificaría cuánto es el porcentaje máximo que pueden crecer que puede crecer, no los avalúo, sino el impuesto Predial"</w:t>
      </w:r>
      <w:r>
        <w:br/>
      </w:r>
      <w:r>
        <w:rPr>
          <w:rFonts w:ascii="Georgia" w:hAnsi="Georgia"/>
          <w:b/>
          <w:i/>
          <w:color w:val="0B43F7"/>
          <w:sz w:val="21"/>
        </w:rPr>
        <w:t>— Ricardo Valencia</w:t>
      </w:r>
    </w:p>
    <w:p>
      <w:pPr>
        <w:jc w:val="both"/>
      </w:pPr>
      <w:r>
        <w:rPr>
          <w:rFonts w:ascii="Montserrat" w:hAnsi="Montserrat"/>
          <w:color w:val="333333"/>
          <w:sz w:val="22"/>
        </w:rPr>
        <w:t>El proyecto del Centro Democrático, por su parte, busca limitar el avalúo catastral para que no supere el 50 % del avalúo comercial; establece escalas de crecimiento máximo del impuesto limitadas al 15 % si se actualizó en los últimos 12 meses, o al IPC si lleva más de 12 meses sin actualizar. También plantea una disminución de rangos tarifarios: habitacional y agropecuario iría entre 1 y 10 por mil; lotes de engorde máximo al 20 por mil; y otras destinaciones mantendrían los rangos actuales entre 5 y 16 por mil, con posibilidad de tarifa cero para viviendas de interés prioritario y social.</w:t>
      </w:r>
    </w:p>
    <w:p>
      <w:pPr>
        <w:pStyle w:val="Quote"/>
      </w:pPr>
      <w:r>
        <w:rPr>
          <w:rFonts w:ascii="Georgia" w:hAnsi="Georgia"/>
          <w:i/>
          <w:color w:val="1A1A2E"/>
          <w:sz w:val="21"/>
        </w:rPr>
        <w:t>el proyecto del centro democrático... lo que busca limitar es más el avalúo catastral o son varias medidas que no supere el 50% del avalúo comercial y crea unas escalas... crecimiento máximo del impuesto digamos que están limitadas al 15% si se actualizó en los últimos doce meses o al ipc"</w:t>
      </w:r>
      <w:r>
        <w:br/>
      </w:r>
      <w:r>
        <w:rPr>
          <w:rFonts w:ascii="Georgia" w:hAnsi="Georgia"/>
          <w:b/>
          <w:i/>
          <w:color w:val="0B43F7"/>
          <w:sz w:val="21"/>
        </w:rPr>
        <w:t>— Ricardo Valencia</w:t>
      </w:r>
    </w:p>
    <w:p>
      <w:pPr>
        <w:jc w:val="both"/>
      </w:pPr>
      <w:r>
        <w:rPr>
          <w:rFonts w:ascii="Montserrat" w:hAnsi="Montserrat"/>
          <w:color w:val="333333"/>
          <w:sz w:val="22"/>
        </w:rPr>
        <w:t>Valencia advirtió que estos proyectos son especialmente relevantes porque muchos municipios se han convertido en gestores catastrales y sus presupuestos y marcos fiscales están alineados con las actualizaciones catastrales. Señaló la necesidad de encontrar un equilibrio entre la protección al ciudadano y el fortalecimiento de las finanzas territoriales, evitando escándalos sociales sin desfinanciar a las entidades.</w:t>
      </w:r>
    </w:p>
    <w:p>
      <w:pPr>
        <w:pStyle w:val="Quote"/>
      </w:pPr>
      <w:r>
        <w:rPr>
          <w:rFonts w:ascii="Georgia" w:hAnsi="Georgia"/>
          <w:i/>
          <w:color w:val="1A1A2E"/>
          <w:sz w:val="21"/>
        </w:rPr>
        <w:t>tenemos que encontrar ese punto medio donde evitemos todos esos escándalos y todos esos temas sociales... pero que también logremos fortalecer finanzas"</w:t>
      </w:r>
      <w:r>
        <w:br/>
      </w:r>
      <w:r>
        <w:rPr>
          <w:rFonts w:ascii="Georgia" w:hAnsi="Georgia"/>
          <w:b/>
          <w:i/>
          <w:color w:val="0B43F7"/>
          <w:sz w:val="21"/>
        </w:rPr>
        <w:t>— Ricardo Valencia</w:t>
      </w:r>
    </w:p>
    <w:p>
      <w:pPr>
        <w:spacing w:after="120"/>
        <w:ind w:left="360" w:hanging="360"/>
      </w:pPr>
      <w:r>
        <w:rPr>
          <w:rFonts w:ascii="Montserrat" w:hAnsi="Montserrat"/>
          <w:color w:val="0B43F7"/>
          <w:sz w:val="20"/>
        </w:rPr>
        <w:t>●</w:t>
        <w:tab/>
      </w:r>
      <w:r>
        <w:rPr>
          <w:rFonts w:ascii="Montserrat" w:hAnsi="Montserrat"/>
          <w:color w:val="333333"/>
          <w:sz w:val="22"/>
        </w:rPr>
        <w:t>Ejes de una reforma tributaria territorial estructural</w:t>
      </w:r>
    </w:p>
    <w:p>
      <w:pPr>
        <w:jc w:val="both"/>
      </w:pPr>
      <w:r>
        <w:rPr>
          <w:rFonts w:ascii="Montserrat" w:hAnsi="Montserrat"/>
          <w:color w:val="333333"/>
          <w:sz w:val="22"/>
        </w:rPr>
        <w:t>Ricardo Valencia sistematizó los ejes que, desde su perspectiva y la del auditorio, deberían componer una reforma tributaria territorial. Primero, la simplificación del sistema: existen tributos anacrónicos e ineficientes que deben direccionarse hacia nuevas fuentes de recursos. Segundo, la construcción de marcos normativos propios en materia sustantiva, procedimental y sancionatoria, dado que las remisiones a normas nacionales afectan la gestión porque la naturaleza de los tributos nacionales es distinta a la territorial. Tercero, la reducción de la transaccionalidad para el contribuyente, que afecta la gestión de impuestos y puede traducirse en evasión y menor recaudo; propuestas concretas incluyen unificación de formularios, de información exógena, de plazos y alineación de tarifas.</w:t>
      </w:r>
    </w:p>
    <w:p>
      <w:pPr>
        <w:jc w:val="both"/>
      </w:pPr>
      <w:r>
        <w:rPr>
          <w:rFonts w:ascii="Montserrat" w:hAnsi="Montserrat"/>
          <w:color w:val="333333"/>
          <w:sz w:val="22"/>
        </w:rPr>
        <w:t>Cuarto, la previsión de extinción de tributos locales por cambios tecnológicos y sociales: la sobretasa a la gasolina por transición a vehículos eléctricos; el impuesto a telefonía fija (de 1913) en desuso; espectáculos públicos, cuyo recaudo fue trasladado a la Nación por la Ley 1493 de 2011; y publicidad exterior visual, afectada por la publicidad digital. Quinto, las rentas departamentales, que son pocas y mayoritariamente cedidas con destinación específica rígida. Sexto, la economía digital, que afecta industria y comercio y publicidad exterior visual, operándose aún con normas como la Ley 14 de 1983 y la Ley 140 de 1994, ajenas a la realidad actual.</w:t>
      </w:r>
    </w:p>
    <w:p>
      <w:pPr>
        <w:pStyle w:val="Quote"/>
      </w:pPr>
      <w:r>
        <w:rPr>
          <w:rFonts w:ascii="Georgia" w:hAnsi="Georgia"/>
          <w:i/>
          <w:color w:val="1A1A2E"/>
          <w:sz w:val="21"/>
        </w:rPr>
        <w:t>tenemos algunas disposiciones de 1908,  tenemos disposiciones de 1913 tenemos de disposiciones de 1932 tenemos normas de 1983 y allí están como los marcos actualizados"</w:t>
      </w:r>
      <w:r>
        <w:br/>
      </w:r>
      <w:r>
        <w:rPr>
          <w:rFonts w:ascii="Georgia" w:hAnsi="Georgia"/>
          <w:b/>
          <w:i/>
          <w:color w:val="0B43F7"/>
          <w:sz w:val="21"/>
        </w:rPr>
        <w:t>— Ricardo Valencia</w:t>
      </w:r>
    </w:p>
    <w:p>
      <w:pPr>
        <w:pStyle w:val="Quote"/>
      </w:pPr>
      <w:r>
        <w:rPr>
          <w:rFonts w:ascii="Georgia" w:hAnsi="Georgia"/>
          <w:i/>
          <w:color w:val="1A1A2E"/>
          <w:sz w:val="21"/>
        </w:rPr>
        <w:t>el sistema tributario territorial es muy importante que lo pudiéramos simplificar... hay unos tributos que son anacrónicos hay otros que son ineficientes y tratar de direccionarlo a grabar nuevas fuentes de recursos"</w:t>
      </w:r>
      <w:r>
        <w:br/>
      </w:r>
      <w:r>
        <w:rPr>
          <w:rFonts w:ascii="Georgia" w:hAnsi="Georgia"/>
          <w:b/>
          <w:i/>
          <w:color w:val="0B43F7"/>
          <w:sz w:val="21"/>
        </w:rPr>
        <w:t>— Ricardo Valencia</w:t>
      </w:r>
    </w:p>
    <w:p>
      <w:pPr>
        <w:jc w:val="both"/>
      </w:pPr>
      <w:r>
        <w:rPr>
          <w:rFonts w:ascii="Montserrat" w:hAnsi="Montserrat"/>
          <w:color w:val="333333"/>
          <w:sz w:val="22"/>
        </w:rPr>
        <w:t>Adicionalmente, Valencia mencionó debates abiertos sobre facultades y competencias diferenciadas según categoría de municipio (descentralización asimétrica), la mutación del ICA por otros tributos como un impuesto de renta local, una sobretasa liba o un impuesto al consumo local, y la conveniencia de modificar el sujeto activo de tributos nacionales como renta y patrimonio para entregarlos a departamentos y municipios, así como el destino de estampillas y tributos documentales.</w:t>
      </w:r>
    </w:p>
    <w:p>
      <w:pPr>
        <w:pStyle w:val="Heading2"/>
      </w:pPr>
      <w:r>
        <w:t>Consensos</w:t>
      </w:r>
    </w:p>
    <w:p>
      <w:pPr>
        <w:spacing w:after="120"/>
        <w:ind w:left="360" w:hanging="360"/>
      </w:pPr>
      <w:r>
        <w:rPr>
          <w:rFonts w:ascii="Montserrat" w:hAnsi="Montserrat"/>
          <w:color w:val="0B43F7"/>
          <w:sz w:val="20"/>
        </w:rPr>
        <w:t>●</w:t>
        <w:tab/>
      </w:r>
      <w:r>
        <w:rPr>
          <w:rFonts w:ascii="Montserrat" w:hAnsi="Montserrat"/>
          <w:color w:val="333333"/>
          <w:sz w:val="22"/>
        </w:rPr>
        <w:t>Los proyectos de ley sobre predial requieren atención técnica inmediata porque pueden desfinanciar municipios que dependen del catastro multipropósito.• Una reforma tributaria territorial debe ser estructural, no puntual, e incluir simplificación, actualización normativa, reducción de transaccionalidad y previsión de obsolescencia tecnológica.• Las normas nacionales de policía exterior (Ley 14 de 1983 y Ley 140 de 1994) son insuficientes para la economía digital y requieren sustitución.• La descentralización asimétrica y la diferenciación de competencias por categoría municipal son debates que deben salir del diagnóstico y entrar en la agenda legislativa.</w:t>
      </w:r>
    </w:p>
    <w:p>
      <w:pPr>
        <w:pStyle w:val="Heading2"/>
      </w:pPr>
      <w:r>
        <w:t>Tensiones</w:t>
      </w:r>
    </w:p>
    <w:p>
      <w:pPr>
        <w:spacing w:after="120"/>
        <w:ind w:left="360" w:hanging="360"/>
      </w:pPr>
      <w:r>
        <w:rPr>
          <w:rFonts w:ascii="Montserrat" w:hAnsi="Montserrat"/>
          <w:color w:val="0B43F7"/>
          <w:sz w:val="20"/>
        </w:rPr>
        <w:t>●</w:t>
        <w:tab/>
      </w:r>
      <w:r>
        <w:rPr>
          <w:rFonts w:ascii="Montserrat" w:hAnsi="Montserrat"/>
          <w:color w:val="333333"/>
          <w:sz w:val="22"/>
        </w:rPr>
        <w:t>Tensión entre la protección social al contribuyente (límites al predial) y la sostenibilidad de las finanzas locales.• Tensión entre la necesidad de visitas presenciales para actualización catastral (garantía de certeza) y los costos logísticos que ello impone a los municipios gestores catastrales.• Tensión entre la conveniencia técnica de mutar el ICA por otros impuestos y la incertidumbre jurídica que implica una transición de esa magnitud.• Tensión entre la urgencia de modernización normativa y la lentitud del trámite legislativo en el Congreso.</w:t>
      </w:r>
    </w:p>
    <w:p>
      <w:pPr>
        <w:pStyle w:val="Heading2"/>
      </w:pPr>
      <w:r>
        <w:t>Insights</w:t>
      </w:r>
    </w:p>
    <w:p>
      <w:pPr>
        <w:spacing w:after="120"/>
        <w:ind w:left="360" w:hanging="360"/>
      </w:pPr>
      <w:r>
        <w:rPr>
          <w:rFonts w:ascii="Montserrat" w:hAnsi="Montserrat"/>
          <w:color w:val="0B43F7"/>
          <w:sz w:val="20"/>
        </w:rPr>
        <w:t>●</w:t>
        <w:tab/>
      </w:r>
      <w:r>
        <w:rPr>
          <w:rFonts w:ascii="Montserrat" w:hAnsi="Montserrat"/>
          <w:color w:val="333333"/>
          <w:sz w:val="22"/>
        </w:rPr>
        <w:t>El predial está dejando de ser un impuesto técnico para convertirse en un objeto de política legislativa restrictiva, lo que puede paralizar la política de catastro multipropósito.• La transaccionalidad tributaria no es solo un problema de 'tramitología': es una variable de evasión y de costo de cumplimiento que reduce la base gravable real.• La obsolescencia de tributos como telefonía fija o espectáculos públicos no es un problema de recaudo menor: es síntoma de un sistema que no tiene mecanismos de renovación automática.• La discusión sobre rentas cedidas y sujeto activo de renta y patrimonio es, en el fondo, una discusión sobre federalismo fiscal.</w:t>
      </w:r>
    </w:p>
    <w:p>
      <w:pPr>
        <w:pStyle w:val="Heading1"/>
      </w:pPr>
      <w:r>
        <w:t>EJE TEMÁTICO 4: MENSAJE AL GOBIERNO NACIONAL Y ARTICULACIÓN TERRITORIAL</w:t>
      </w:r>
    </w:p>
    <w:p>
      <w:pPr>
        <w:pStyle w:val="Heading2"/>
      </w:pPr>
      <w:r>
        <w:t>Contexto</w:t>
      </w:r>
    </w:p>
    <w:p>
      <w:pPr>
        <w:jc w:val="both"/>
      </w:pPr>
      <w:r>
        <w:rPr>
          <w:rFonts w:ascii="Montserrat" w:hAnsi="Montserrat"/>
          <w:color w:val="333333"/>
          <w:sz w:val="22"/>
        </w:rPr>
        <w:t>El cierre del panel estuvo dedicado a definir los mensajes que los territorios deben transmitir al nuevo Gobierno Nacional, cuya posesión coincidía en fecha con el Congreso. Tanto Urrea como Valencia coincidieron en que el momento es estratégico porque el discurso del gobierno entrante ha estado fuertemente enmarcado en la relación con las regiones. Sin embargo, advirtieron que el discurso debe traducirse en reglas de juego claras, recursos desetiquetados y mecanismos de coordinación genuinos.</w:t>
      </w:r>
    </w:p>
    <w:p>
      <w:pPr>
        <w:pStyle w:val="Heading2"/>
      </w:pPr>
      <w:r>
        <w:t>Argumentos</w:t>
      </w:r>
    </w:p>
    <w:p>
      <w:pPr>
        <w:spacing w:after="120"/>
        <w:ind w:left="360" w:hanging="360"/>
      </w:pPr>
      <w:r>
        <w:rPr>
          <w:rFonts w:ascii="Montserrat" w:hAnsi="Montserrat"/>
          <w:color w:val="0B43F7"/>
          <w:sz w:val="20"/>
        </w:rPr>
        <w:t>●</w:t>
        <w:tab/>
      </w:r>
      <w:r>
        <w:rPr>
          <w:rFonts w:ascii="Montserrat" w:hAnsi="Montserrat"/>
          <w:color w:val="333333"/>
          <w:sz w:val="22"/>
        </w:rPr>
        <w:t>Recursos atrapados y etiquetamiento excesivo</w:t>
      </w:r>
    </w:p>
    <w:p>
      <w:pPr>
        <w:jc w:val="both"/>
      </w:pPr>
      <w:r>
        <w:rPr>
          <w:rFonts w:ascii="Montserrat" w:hAnsi="Montserrat"/>
          <w:color w:val="333333"/>
          <w:sz w:val="22"/>
        </w:rPr>
        <w:t>Andrés Urrea planteó un 'doble reto territorial'. El primero es el etiquetamiento: recordó una frase atribuida a Federico Gutiérrez —'plata es plata, el alcalde no tenía la razón, pero debería tenerla'— para ilustrar que una parte del problema estructural radica en que todo está amarrado. Al cierre de 2025, las entidades territoriales tenían 39.6 billones de pesos en cuentas de ahorro y corrientes del sistema financiero, una cifra cercana a dos reformas tributarias nacionales estructurales, pero esos recursos están atrapados porque responden a una lógica de Estado Social de Derecho en la que abogados y el Congreso han etiquetado absolutamente todos los ingresos.</w:t>
      </w:r>
    </w:p>
    <w:p>
      <w:pPr>
        <w:pStyle w:val="Quote"/>
      </w:pPr>
      <w:r>
        <w:rPr>
          <w:rFonts w:ascii="Georgia" w:hAnsi="Georgia"/>
          <w:i/>
          <w:color w:val="1A1A2E"/>
          <w:sz w:val="21"/>
        </w:rPr>
        <w:t>todo está amarrado todo está etiquetado... las entidades territoriales tenían en cuentas de ahorro cuentas corrientes en el sistema financiero al cierre 2025 39.6 billones de pesos casi dos reformas tributarias del orden nacional... una dimensión de recursos impresionante pero la plata está atrapada"</w:t>
      </w:r>
      <w:r>
        <w:br/>
      </w:r>
      <w:r>
        <w:rPr>
          <w:rFonts w:ascii="Georgia" w:hAnsi="Georgia"/>
          <w:b/>
          <w:i/>
          <w:color w:val="0B43F7"/>
          <w:sz w:val="21"/>
        </w:rPr>
        <w:t>— Andrés Urrea</w:t>
      </w:r>
    </w:p>
    <w:p>
      <w:pPr>
        <w:jc w:val="both"/>
      </w:pPr>
      <w:r>
        <w:rPr>
          <w:rFonts w:ascii="Montserrat" w:hAnsi="Montserrat"/>
          <w:color w:val="333333"/>
          <w:sz w:val="22"/>
        </w:rPr>
        <w:t>El segundo reto es la ejecución: existen entidades territoriales que no son buenas ejecutoras, pero esto no se resuelve con más controles desde el centro, sino con un mejor ambiente de relacionamiento con el gobierno nacional.</w:t>
      </w:r>
    </w:p>
    <w:p>
      <w:pPr>
        <w:spacing w:after="120"/>
        <w:ind w:left="360" w:hanging="360"/>
      </w:pPr>
      <w:r>
        <w:rPr>
          <w:rFonts w:ascii="Montserrat" w:hAnsi="Montserrat"/>
          <w:color w:val="0B43F7"/>
          <w:sz w:val="20"/>
        </w:rPr>
        <w:t>●</w:t>
        <w:tab/>
      </w:r>
      <w:r>
        <w:rPr>
          <w:rFonts w:ascii="Montserrat" w:hAnsi="Montserrat"/>
          <w:color w:val="333333"/>
          <w:sz w:val="22"/>
        </w:rPr>
        <w:t>Nombramientos estratégicos y dinámica de relacionamiento</w:t>
      </w:r>
    </w:p>
    <w:p>
      <w:pPr>
        <w:jc w:val="both"/>
      </w:pPr>
      <w:r>
        <w:rPr>
          <w:rFonts w:ascii="Montserrat" w:hAnsi="Montserrat"/>
          <w:color w:val="333333"/>
          <w:sz w:val="22"/>
        </w:rPr>
        <w:t>Urrea hizo una invitación concreta al auditorio: estar muy pendientes del nombramiento del Director General de Apoyo Fiscal y del Subdirector General Territorial del DNP, porque desde allí se construye la dinámica de trabajo. Rechazó la continuidad de una lógica de arriba hacia abajo y propuso una articulación horizontal.</w:t>
      </w:r>
    </w:p>
    <w:p>
      <w:pPr>
        <w:pStyle w:val="Quote"/>
      </w:pPr>
      <w:r>
        <w:rPr>
          <w:rFonts w:ascii="Georgia" w:hAnsi="Georgia"/>
          <w:i/>
          <w:color w:val="1A1A2E"/>
          <w:sz w:val="21"/>
        </w:rPr>
        <w:t>no podemos continuar con esta dinámica de arriba hacia abajo"</w:t>
      </w:r>
      <w:r>
        <w:br/>
      </w:r>
      <w:r>
        <w:rPr>
          <w:rFonts w:ascii="Georgia" w:hAnsi="Georgia"/>
          <w:b/>
          <w:i/>
          <w:color w:val="0B43F7"/>
          <w:sz w:val="21"/>
        </w:rPr>
        <w:t>— Andrés Urrea</w:t>
      </w:r>
    </w:p>
    <w:p>
      <w:pPr>
        <w:spacing w:after="120"/>
        <w:ind w:left="360" w:hanging="360"/>
      </w:pPr>
      <w:r>
        <w:rPr>
          <w:rFonts w:ascii="Montserrat" w:hAnsi="Montserrat"/>
          <w:color w:val="0B43F7"/>
          <w:sz w:val="20"/>
        </w:rPr>
        <w:t>●</w:t>
        <w:tab/>
      </w:r>
      <w:r>
        <w:rPr>
          <w:rFonts w:ascii="Montserrat" w:hAnsi="Montserrat"/>
          <w:color w:val="333333"/>
          <w:sz w:val="22"/>
        </w:rPr>
        <w:t>Deuda histórica y unidad territorial</w:t>
      </w:r>
    </w:p>
    <w:p>
      <w:pPr>
        <w:jc w:val="both"/>
      </w:pPr>
      <w:r>
        <w:rPr>
          <w:rFonts w:ascii="Montserrat" w:hAnsi="Montserrat"/>
          <w:color w:val="333333"/>
          <w:sz w:val="22"/>
        </w:rPr>
        <w:t>Ricardo Valencia cerró con dos mensajes. Primero, que estos cuatro años implican 'ponerse las pilas' para gestionar las deudas históricas que el nivel nacional tiene con los territorios, empezando por los marcos normativos. Segundo, que la única vía efectiva es la unión y el trabajo conjunto aprovechando sinergias, dado que los territorios fragmentados tienen menor capacidad de incidencia.</w:t>
      </w:r>
    </w:p>
    <w:p>
      <w:pPr>
        <w:pStyle w:val="Quote"/>
      </w:pPr>
      <w:r>
        <w:rPr>
          <w:rFonts w:ascii="Georgia" w:hAnsi="Georgia"/>
          <w:i/>
          <w:color w:val="1A1A2E"/>
          <w:sz w:val="21"/>
        </w:rPr>
        <w:t>estos cuatro años tenemos que ponernos las pilas todos y empezar desde el objetivo de este panel puntualmente los marcos normativos a tratar de gestionar todas esas necesidades y todas esas deudas históricas que tienen con los territorios"</w:t>
      </w:r>
      <w:r>
        <w:br/>
      </w:r>
      <w:r>
        <w:rPr>
          <w:rFonts w:ascii="Georgia" w:hAnsi="Georgia"/>
          <w:b/>
          <w:i/>
          <w:color w:val="0B43F7"/>
          <w:sz w:val="21"/>
        </w:rPr>
        <w:t>— Ricardo Valencia</w:t>
      </w:r>
    </w:p>
    <w:p>
      <w:pPr>
        <w:pStyle w:val="Quote"/>
      </w:pPr>
      <w:r>
        <w:rPr>
          <w:rFonts w:ascii="Georgia" w:hAnsi="Georgia"/>
          <w:i/>
          <w:color w:val="1A1A2E"/>
          <w:sz w:val="21"/>
        </w:rPr>
        <w:t>tenemos que unirnos, tenemos que trabajar conjuntamente, aprovechar sinergias"</w:t>
      </w:r>
      <w:r>
        <w:br/>
      </w:r>
      <w:r>
        <w:rPr>
          <w:rFonts w:ascii="Georgia" w:hAnsi="Georgia"/>
          <w:b/>
          <w:i/>
          <w:color w:val="0B43F7"/>
          <w:sz w:val="21"/>
        </w:rPr>
        <w:t>— Ricardo Valencia</w:t>
      </w:r>
    </w:p>
    <w:p>
      <w:pPr>
        <w:pStyle w:val="Heading2"/>
      </w:pPr>
      <w:r>
        <w:t>Consensos</w:t>
      </w:r>
    </w:p>
    <w:p>
      <w:pPr>
        <w:spacing w:after="120"/>
        <w:ind w:left="360" w:hanging="360"/>
      </w:pPr>
      <w:r>
        <w:rPr>
          <w:rFonts w:ascii="Montserrat" w:hAnsi="Montserrat"/>
          <w:color w:val="0B43F7"/>
          <w:sz w:val="20"/>
        </w:rPr>
        <w:t>●</w:t>
        <w:tab/>
      </w:r>
      <w:r>
        <w:rPr>
          <w:rFonts w:ascii="Montserrat" w:hAnsi="Montserrat"/>
          <w:color w:val="333333"/>
          <w:sz w:val="22"/>
        </w:rPr>
        <w:t>El nuevo gobierno tiene una oportunidad histórica de transformar la relación centro-periferia, pero ello requiere traducir el discurso regionalista en reglas de juego y recursos reales.• Los 39.6 billones de pesos atrapados en cuentas territoriales son la prueba de que el problema no siempre es la falta de recursos, sino la rigidez de sus condiciones de uso.• La incidencia territorial debe ser colectiva, a través de asociaciones gremiales, y no depender de la capacidad individual de cada alcalde o gobernador.• Los nombramientos en el Ministerio de Hacienda y el DNP son variables críticas de vigilancia para los territorios.</w:t>
      </w:r>
    </w:p>
    <w:p>
      <w:pPr>
        <w:pStyle w:val="Heading2"/>
      </w:pPr>
      <w:r>
        <w:t>Tensiones</w:t>
      </w:r>
    </w:p>
    <w:p>
      <w:pPr>
        <w:spacing w:after="120"/>
        <w:ind w:left="360" w:hanging="360"/>
      </w:pPr>
      <w:r>
        <w:rPr>
          <w:rFonts w:ascii="Montserrat" w:hAnsi="Montserrat"/>
          <w:color w:val="0B43F7"/>
          <w:sz w:val="20"/>
        </w:rPr>
        <w:t>●</w:t>
        <w:tab/>
      </w:r>
      <w:r>
        <w:rPr>
          <w:rFonts w:ascii="Montserrat" w:hAnsi="Montserrat"/>
          <w:color w:val="333333"/>
          <w:sz w:val="22"/>
        </w:rPr>
        <w:t>Tensión entre la expectativa generada por el discurso regionalista del gobierno entrante y el riesgo de que la práctica sea una descentralización sectorial de mandamientos.• Tensión entre la necesidad de desetiquetar recursos y la lógica legalista del Estado Social de Derecho que presiona por más condiciones de gasto.• Tensión entre la autonomía individual de cada territorio y la necesidad de acción colectiva para incidir en el nivel nacional.</w:t>
      </w:r>
    </w:p>
    <w:p>
      <w:pPr>
        <w:pStyle w:val="Heading2"/>
      </w:pPr>
      <w:r>
        <w:t>Insights</w:t>
      </w:r>
    </w:p>
    <w:p>
      <w:pPr>
        <w:spacing w:after="120"/>
        <w:ind w:left="360" w:hanging="360"/>
      </w:pPr>
      <w:r>
        <w:rPr>
          <w:rFonts w:ascii="Montserrat" w:hAnsi="Montserrat"/>
          <w:color w:val="0B43F7"/>
          <w:sz w:val="20"/>
        </w:rPr>
        <w:t>●</w:t>
        <w:tab/>
      </w:r>
      <w:r>
        <w:rPr>
          <w:rFonts w:ascii="Montserrat" w:hAnsi="Montserrat"/>
          <w:color w:val="333333"/>
          <w:sz w:val="22"/>
        </w:rPr>
        <w:t>La posesión del nuevo gobierno el 7 de agosto convierte al Congreso de Finanzas Públicas Territoriales en un espacio de articulación política, no solo técnica.• El problema de la ejecución territorial no se resuelve con más etiquetamiento, sino con acompañamiento técnico y flexibilidad; sin embargo, el control político premia la rigidez.• La referencia a los 39.6 billones desmonta el mito de la pobreza fiscal territorial y revela un problema de liquidez programática y de autorización de gasto.</w:t>
      </w:r>
    </w:p>
    <w:p>
      <w:pPr>
        <w:pStyle w:val="Heading1"/>
      </w:pPr>
      <w:r>
        <w:t>IMPLICACIONES PARA POLÍTICA PÚBLICA</w:t>
      </w:r>
    </w:p>
    <w:p>
      <w:pPr>
        <w:jc w:val="both"/>
      </w:pPr>
      <w:r>
        <w:rPr>
          <w:rFonts w:ascii="Montserrat" w:hAnsi="Montserrat"/>
          <w:color w:val="333333"/>
          <w:sz w:val="22"/>
        </w:rPr>
        <w:t>El panel deja una serie de implicaciones directas para la política pública territorial y nacional. En el ámbito local, las administraciones territoriales deben iniciar ciclos de actualización normativa sistemáticos: estatutos de presupuesto propios, no réplicas; estatutos tributarios modernizados con análisis costo-eficiencia de cada tributo; POT actualizados con operación activa de sus instrumentos de financiación; y estructuras administrativas de hacienda que trasciendan la figura de la secretaría para articular líneas de ingreso y de gasto. En el ámbito nacional, el Congreso y el Gobierno deben garantizar que el artículo 7 de la Ley 819 de 2003 sea operativo, con mecanismos de notificación y consulta previa a las entidades territoriales antes de aprobar normas con impacto fiscal subnacional.</w:t>
      </w:r>
    </w:p>
    <w:p>
      <w:pPr>
        <w:jc w:val="both"/>
      </w:pPr>
      <w:r>
        <w:rPr>
          <w:rFonts w:ascii="Montserrat" w:hAnsi="Montserrat"/>
          <w:color w:val="333333"/>
          <w:sz w:val="22"/>
        </w:rPr>
        <w:t>En materia de SGP, se requiere una estrategia de comunicación y participación territorial que evite que una reforma de esta magnitud (6.9 % del PIB) se tramite sin conocimiento de sus principales beneficiarios y afectados. En disciplina fiscal, el proyecto de ley 332 de 2024 debe socializarse con gobernaciones, alcaldías y asambleas antes de su implementación, dado que redefine los límites de gasto de personal, de endeudamiento y de contingencias. Finalmente, en el impuesto predial, se requiere un pronunciamiento técnico del Ministerio de Hacienda y de las asociaciones territoriales que equilibre la protección al contribuyente con la sostenibilidad del catastro multipropósito y de las finanzas locales.</w:t>
      </w:r>
    </w:p>
    <w:p>
      <w:pPr>
        <w:pStyle w:val="Heading1"/>
      </w:pPr>
      <w:r>
        <w:t>IMPLICACIONES ESPECÍFICAS PARA POLÍTICA NACIONAL</w:t>
      </w:r>
    </w:p>
    <w:p>
      <w:pPr>
        <w:jc w:val="both"/>
      </w:pPr>
      <w:r>
        <w:rPr>
          <w:rFonts w:ascii="Montserrat" w:hAnsi="Montserrat"/>
          <w:color w:val="333333"/>
          <w:sz w:val="22"/>
        </w:rPr>
        <w:t>Desde la perspectiva del nivel nacional, el panel señala que la política de descentralización requiere una actualización de su arquitectura normativa. La ausencia de un estatuto tributario territorial y la obsolescencia de normas de 1908, 1913 o 1932 son una deuda histórica que el nuevo gobierno debe asumir como prioridad legislativa. La reforma tributaria territorial no puede reducirse a ajustes tarifarios: debe incluir simplificación, unificación de formularios y plazos, definición de hechos generadores claros y un marco sancionatorio propio.</w:t>
      </w:r>
    </w:p>
    <w:p>
      <w:pPr>
        <w:jc w:val="both"/>
      </w:pPr>
      <w:r>
        <w:rPr>
          <w:rFonts w:ascii="Montserrat" w:hAnsi="Montserrat"/>
          <w:color w:val="333333"/>
          <w:sz w:val="22"/>
        </w:rPr>
        <w:t>En lo presupuestal, el Ministerio de Hacienda y el DNP deben revisar si el Estatuto Orgánico de Presupuestos de 1996 sigue siendo el marco adecuado para el nivel subnacional, o si corresponde desarrollar un estatuto propio que reconozca la autonomía territorial en serio. En lo relacionado con el SGP, el gobierno debe definir si apuesta por el federalismo fiscal (referendo), por la reforma constitucional ya aprobada (Acto Legislativo 03/2024) o por la inercia; cualquiera de las tres opciones requiere, sin embargo, una estrategia de articulación con los territorios que hasta ahora no existe.</w:t>
      </w:r>
    </w:p>
    <w:p>
      <w:pPr>
        <w:jc w:val="both"/>
      </w:pPr>
      <w:r>
        <w:rPr>
          <w:rFonts w:ascii="Montserrat" w:hAnsi="Montserrat"/>
          <w:color w:val="333333"/>
          <w:sz w:val="22"/>
        </w:rPr>
        <w:t>En materia de disciplina fiscal, la aprobación del proyecto de ley 332 de 2024 implicará una nueva cultura de gestión del gasto de personal y del endeudamiento subnacional. El gobierno nacional debe acompañar esta transición con asistencia técnica y con un marco de contingencias que incorpore el cambio climático como variable estructural, no como evento excepcional. Finalmente, la política de catastro multipropósito requiere una defensa técnica activa frente a los proyectos de ley restrictivos del predial, porque su parálisis afectaría la principal fuente de recursos propios de los municipios y la equidad fiscal del sistema territorial.</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