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nts/Montserrat-regular.ttf" ContentType="application/x-font-ttf"/>
  <Override PartName="/word/fonts/Montserrat-bold.ttf" ContentType="application/x-font-ttf"/>
  <Override PartName="/word/fonts/Montserrat-italic.ttf" ContentType="application/x-font-ttf"/>
  <Override PartName="/word/fonts/Montserrat-boldItalic.ttf" ContentType="application/x-font-ttf"/>
  <Override PartName="/word/numbering.xml" ContentType="application/vnd.openxmlformats-officedocument.wordprocessingml.numbering+xml"/>
  <Override PartName="/word/styles.xml" ContentType="application/vnd.openxmlformats-officedocument.wordprocessingml.styles+xml"/>
  <Override PartName="/customXML/itemProps1.xml" ContentType="application/vnd.openxmlformats-officedocument.customXmlProperties+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RELATORÍA ESTRATÉGICA — PANEL 3</w:t>
      </w:r>
    </w:p>
    <w:p>
      <w:pPr>
        <w:spacing w:after="80"/>
      </w:pPr>
      <w:r>
        <w:rPr>
          <w:rFonts w:ascii="Georgia" w:hAnsi="Georgia"/>
          <w:i/>
          <w:color w:val="4A4A5A"/>
          <w:sz w:val="24"/>
        </w:rPr>
        <w:t>Impuesto Predial Unificado</w:t>
      </w:r>
    </w:p>
    <w:p>
      <w:pPr>
        <w:spacing w:after="80"/>
      </w:pPr>
      <w:r>
        <w:rPr>
          <w:rFonts w:ascii="Georgia" w:hAnsi="Georgia"/>
          <w:i/>
          <w:color w:val="666666"/>
          <w:sz w:val="18"/>
        </w:rPr>
        <w:t>Congreso de Finanzas Públicas Territoriales 2026 | Medellín, 05 de agosto de 2026 | 11:00 a.m.</w:t>
      </w:r>
      <w:r>
        <w:br/>
      </w:r>
      <w:r>
        <w:rPr>
          <w:rFonts w:ascii="Georgia" w:hAnsi="Georgia"/>
          <w:i/>
          <w:color w:val="666666"/>
          <w:sz w:val="18"/>
        </w:rPr>
        <w:t>Moderadora: Isabel González | Panelistas: Fidel Castaño, Jhon Quinchua, Yeison Pérez, Yeison Miranda</w:t>
      </w:r>
      <w:r>
        <w:br/>
      </w:r>
      <w:r>
        <w:rPr>
          <w:rFonts w:ascii="Georgia" w:hAnsi="Georgia"/>
          <w:i/>
          <w:color w:val="666666"/>
          <w:sz w:val="18"/>
        </w:rPr>
        <w:t>Sistematización: Natalia Hernández | Auxiliar Gestión del Conocimiento: Andrés Zorrilla</w:t>
      </w:r>
    </w:p>
    <w:p>
      <w:pPr>
        <w:spacing w:after="320"/>
      </w:pPr>
      <w:r>
        <w:rPr>
          <w:rFonts w:ascii="Montserrat" w:hAnsi="Montserrat"/>
          <w:color w:val="0B43F7"/>
          <w:sz w:val="20"/>
        </w:rPr>
        <w:t>───────────────────────────────────</w:t>
      </w:r>
    </w:p>
    <w:p>
      <w:pPr>
        <w:pStyle w:val="Heading1"/>
      </w:pPr>
      <w:r>
        <w:t>RESUMEN EJECUTIVO</w:t>
      </w:r>
    </w:p>
    <w:p>
      <w:pPr>
        <w:jc w:val="both"/>
      </w:pPr>
      <w:r>
        <w:rPr>
          <w:rFonts w:ascii="Montserrat" w:hAnsi="Montserrat"/>
          <w:color w:val="333333"/>
          <w:sz w:val="22"/>
        </w:rPr>
        <w:t>El panel abordó el impuesto predial unificado como eje central de las finanzas territoriales, organizando la discusión en cuatro bloques: diagnóstico catastral, gestión catastral, administración y recaudo, y diseño tributario con retos futuros. Se identificó que el predial es la principal renta de libre destinación de los municipios, pero su desempeño depende de cuatro elementos interconectados: calidad de la información catastral, diseño tributario eficiente, capacidad institucional y tecnología orientada al ciudadano.</w:t>
      </w:r>
    </w:p>
    <w:p>
      <w:pPr>
        <w:jc w:val="both"/>
      </w:pPr>
      <w:r>
        <w:rPr>
          <w:rFonts w:ascii="Montserrat" w:hAnsi="Montserrat"/>
          <w:color w:val="333333"/>
          <w:sz w:val="22"/>
        </w:rPr>
        <w:t>Los panelistas coincidieron en que la relación entre catastro e impuestos debe ser de 'hermanos siameses', no de 'primos lejanos'. Sin embargo, el país enfrenta un rezago catastral generalizado: según el IGAC, la mayoría de municipios tiene una desactualización mayor a cinco años, con casos extremos de 14, 15 o 30 años. La centralización del catastro en el IGAC se identificó como un cuello de botella estructural, mientras que la desconcentración mediante gestores catastrales (Ley 1955 de 2019) mostró resultados significativos en territorios como Antioquia. En materia de recaudo, se presentaron experiencias contrastadas: Cali pasó de un recaudo histórico del 70 % al 75 % en dos años mediante cobro persuasivo, coactivo y comunicación estratégica; Armenia diseñó un paquete de incentivos tributarios que mitiga el impacto de la actualización catastral. En el diseño normativo, se discutió la obsolescencia de las Leyes 44 de 1990 y 1955 de 2019, que limitan el crecimiento del impuesto y perpetúan la inequidad.</w:t>
      </w:r>
    </w:p>
    <w:p>
      <w:pPr>
        <w:jc w:val="both"/>
      </w:pPr>
      <w:r>
        <w:rPr>
          <w:rFonts w:ascii="Montserrat" w:hAnsi="Montserrat"/>
          <w:color w:val="333333"/>
          <w:sz w:val="22"/>
        </w:rPr>
        <w:t>Se exploraron figuras innovadoras como retención en fuente del predial, la inclusión de fiducias y patrimonios autónomos como sujetos pasivos, y la transición de tarifas basadas en estrato hacia matrices híbridas de avalúo catastral. El panel cerró con un llamado a dejar el sobre-diagnóstico y pasar a propuestas normativas concretas, articuladas con el nuevo Gobierno Nacional.</w:t>
      </w:r>
    </w:p>
    <w:p>
      <w:pPr>
        <w:pStyle w:val="Heading1"/>
      </w:pPr>
      <w:r>
        <w:t>EJE TEMÁTICO 1: GESTIÓN CATASTRAL — DIAGNÓSTICO, CENTRALIZACIÓN Y DESCONCENTRACIÓN</w:t>
      </w:r>
    </w:p>
    <w:p>
      <w:pPr>
        <w:pStyle w:val="Heading2"/>
      </w:pPr>
      <w:r>
        <w:t>Contexto</w:t>
      </w:r>
    </w:p>
    <w:p>
      <w:pPr>
        <w:jc w:val="both"/>
      </w:pPr>
      <w:r>
        <w:rPr>
          <w:rFonts w:ascii="Montserrat" w:hAnsi="Montserrat"/>
          <w:color w:val="333333"/>
          <w:sz w:val="22"/>
        </w:rPr>
        <w:t>La moderadora, Isabel González, enmarcó el panel señalando que el impuesto predial es la segunda renta principal de los municipios en Colombia, junto al impuesto de industria y comercio, y que atraviesa diversidad de sectores: geográficos, económicos, políticos y técnicos. El primer bloque se dedicó al diagnóstico de la gestión catastral nacional, contrastando la centralización del IGAC con la experiencia de desconcentración en Antioquia y la habilitación de gestores catastrales.</w:t>
      </w:r>
    </w:p>
    <w:p>
      <w:pPr>
        <w:pStyle w:val="Heading2"/>
      </w:pPr>
      <w:r>
        <w:t>Argumentos</w:t>
      </w:r>
    </w:p>
    <w:p>
      <w:pPr>
        <w:spacing w:before="120"/>
      </w:pPr>
      <w:r>
        <w:rPr>
          <w:rFonts w:ascii="Montserrat" w:hAnsi="Montserrat"/>
          <w:b/>
          <w:color w:val="1A1A2E"/>
          <w:sz w:val="22"/>
        </w:rPr>
        <w:t>1. Los cuatro pilares del predial y la relación catastro-impuestos</w:t>
      </w:r>
    </w:p>
    <w:p>
      <w:pPr>
        <w:jc w:val="both"/>
      </w:pPr>
      <w:r>
        <w:rPr>
          <w:rFonts w:ascii="Montserrat" w:hAnsi="Montserrat"/>
          <w:color w:val="333333"/>
          <w:sz w:val="22"/>
        </w:rPr>
        <w:t>Fidel Castaño abrió el diagnóstico estableciendo que el desempeño del impuesto predial depende de cuatro elementos: calidad de la información (catastro), diseño del sistema tributario, capacidad institucional y sistemas informáticos que permitan llegar al ciudadano. Recordó una frase de Richard Bird: 'un sistema tributario vale lo que valga su administración tributaria'. Sin embargo, centró su intervención en un problema previo: la coordinación entre catastro e impuestos. Señaló que en muchos municipios la relación es de 'primos lejanos', cuando debería ser de 'hermanos siameses'.</w:t>
      </w:r>
    </w:p>
    <w:p>
      <w:pPr>
        <w:spacing w:before="120"/>
      </w:pPr>
      <w:r>
        <w:rPr>
          <w:rFonts w:ascii="Montserrat" w:hAnsi="Montserrat"/>
          <w:b/>
          <w:color w:val="1A1A2E"/>
          <w:sz w:val="22"/>
        </w:rPr>
        <w:t>2. El catastro informa el predial: ubicación institucional y articulación</w:t>
      </w:r>
    </w:p>
    <w:p>
      <w:pPr>
        <w:jc w:val="both"/>
      </w:pPr>
      <w:r>
        <w:rPr>
          <w:rFonts w:ascii="Montserrat" w:hAnsi="Montserrat"/>
          <w:color w:val="333333"/>
          <w:sz w:val="22"/>
        </w:rPr>
        <w:t>Yeison Miranda, desde la Gerencia de Catastro de la Gobernación de Antioquia, sostuvo que 'el catastro informa el predial, el predial grava el catastro'. Defendió que la oficina de catastro debe estar en la Secretaría de Planeación, no en Hacienda, porque el catastro es un instrumento de planificación territorial cuya información debe armonizarse con el POT, las licencias de urbanismo y los instrumentos de ordenamiento. Sin embargo, enfatizó que esta ubicación no implica desvinculación de hacienda: la articulación institucional entre planeación, catastro y hacienda es 'fundamental'. Describió cómo en Antioquia se ha construido esta articulación con los 113 municipios de su jurisdicción, sentándose con secretarios de hacienda, de planeación, alcaldes y concejos, porque son estos últimos quienes aprueban los estatutos tributarios.</w:t>
      </w:r>
    </w:p>
    <w:p>
      <w:pPr>
        <w:pStyle w:val="Quote"/>
      </w:pPr>
      <w:r>
        <w:rPr>
          <w:rFonts w:ascii="Georgia" w:hAnsi="Georgia"/>
          <w:i/>
          <w:color w:val="1A1A2E"/>
          <w:sz w:val="21"/>
        </w:rPr>
        <w:t>"las oficinas de catastros deben estar en las secretarías de planeación, pero es la oficina más importante y transversal a la administración pública"</w:t>
      </w:r>
      <w:r>
        <w:rPr>
          <w:rFonts w:ascii="Georgia" w:hAnsi="Georgia"/>
          <w:b/>
          <w:i/>
          <w:color w:val="0B43F7"/>
          <w:sz w:val="21"/>
        </w:rPr>
        <w:t xml:space="preserve"> — Yeison Miranda</w:t>
      </w:r>
    </w:p>
    <w:p>
      <w:pPr>
        <w:spacing w:before="120"/>
      </w:pPr>
      <w:r>
        <w:rPr>
          <w:rFonts w:ascii="Montserrat" w:hAnsi="Montserrat"/>
          <w:b/>
          <w:color w:val="1A1A2E"/>
          <w:sz w:val="22"/>
        </w:rPr>
        <w:t>3. Costos del catastro desactualizado: recaudo, progresividad y legitimidad</w:t>
      </w:r>
    </w:p>
    <w:p>
      <w:pPr>
        <w:jc w:val="both"/>
      </w:pPr>
      <w:r>
        <w:rPr>
          <w:rFonts w:ascii="Montserrat" w:hAnsi="Montserrat"/>
          <w:color w:val="333333"/>
          <w:sz w:val="22"/>
        </w:rPr>
        <w:t>Yeison Pérez, desde la Secretaría de Hacienda de Armenia, identificó tres costos del rezago catastral. Primero, el recaudo: la base gravable baja impacta directamente los ingresos corrientes de libre destinación. Segundo, la progresividad: un catastro desactualizado genera regresividad e inequidad territorial. Tercero, la legitimidad: cuando el contribuyente percibe que el tributo no cobra con equidad, pierde el incentivo al pago y surgen litigios. Contextualizó que Armenia es gestor catastral desde 2022, con un costo anual de conservación de cerca de $5.700 millones, pero enfrenta una barrera estructural: las Leyes 44 de 1990 y 1955 de 2019 limitan el crecimiento del impuesto, de modo que la actualización catastral no se traduce en mejor recaudo ni en corrección de inequidades.</w:t>
      </w:r>
    </w:p>
    <w:p>
      <w:pPr>
        <w:pStyle w:val="Quote"/>
      </w:pPr>
      <w:r>
        <w:rPr>
          <w:rFonts w:ascii="Georgia" w:hAnsi="Georgia"/>
          <w:i/>
          <w:color w:val="1A1A2E"/>
          <w:sz w:val="21"/>
        </w:rPr>
        <w:t>"tener una base gravable baja pues claramente tiene un impacto directo sobre el recaudo"</w:t>
      </w:r>
      <w:r>
        <w:rPr>
          <w:rFonts w:ascii="Georgia" w:hAnsi="Georgia"/>
          <w:b/>
          <w:i/>
          <w:color w:val="0B43F7"/>
          <w:sz w:val="21"/>
        </w:rPr>
        <w:t xml:space="preserve"> — Yeison Pérez</w:t>
      </w:r>
    </w:p>
    <w:p>
      <w:pPr>
        <w:pStyle w:val="Quote"/>
      </w:pPr>
      <w:r>
        <w:rPr>
          <w:rFonts w:ascii="Georgia" w:hAnsi="Georgia"/>
          <w:i/>
          <w:color w:val="1A1A2E"/>
          <w:sz w:val="21"/>
        </w:rPr>
        <w:t>"cuando tú sientes como contribuyente que el tributo no está siendo cobrado en márgenes de equidad y de progresividad no tienes un incentivo real para ese pago"</w:t>
      </w:r>
      <w:r>
        <w:rPr>
          <w:rFonts w:ascii="Georgia" w:hAnsi="Georgia"/>
          <w:b/>
          <w:i/>
          <w:color w:val="0B43F7"/>
          <w:sz w:val="21"/>
        </w:rPr>
        <w:t xml:space="preserve"> — Yeison Pérez</w:t>
      </w:r>
    </w:p>
    <w:p>
      <w:pPr>
        <w:jc w:val="both"/>
      </w:pPr>
      <w:r>
        <w:rPr>
          <w:rFonts w:ascii="Montserrat" w:hAnsi="Montserrat"/>
          <w:color w:val="333333"/>
          <w:sz w:val="22"/>
        </w:rPr>
        <w:t>Pérez ilustró el problema con un caso concreto de Armenia: en 2022, antes de la actualización, existían apartamentos con predial anual de $12.000.000 a $13.000.000. Tras la actualización catastral, el avalúo subió, pero al aplicar los límites de las leyes 44 y 1955, el impuesto en el mejor escenario quedó en $26.000.000. 'Actualicé el catastro, pero no vi de vuelta en impuesto predial unificado un mejorado tampoco el problema de progresividad ni el problema de equidad', señaló.</w:t>
      </w:r>
    </w:p>
    <w:p>
      <w:pPr>
        <w:pStyle w:val="Quote"/>
      </w:pPr>
      <w:r>
        <w:rPr>
          <w:rFonts w:ascii="Georgia" w:hAnsi="Georgia"/>
          <w:i/>
          <w:color w:val="1A1A2E"/>
          <w:sz w:val="21"/>
        </w:rPr>
        <w:t>"Actualicé el catastro, pero no vi de vuelta en impuesto predial unificado un mejorado tampoco el problema de progresividad ni el problema de equidad"</w:t>
      </w:r>
      <w:r>
        <w:rPr>
          <w:rFonts w:ascii="Georgia" w:hAnsi="Georgia"/>
          <w:b/>
          <w:i/>
          <w:color w:val="0B43F7"/>
          <w:sz w:val="21"/>
        </w:rPr>
        <w:t xml:space="preserve"> — Yeison Pérez</w:t>
      </w:r>
    </w:p>
    <w:p>
      <w:pPr>
        <w:spacing w:before="120"/>
      </w:pPr>
      <w:r>
        <w:rPr>
          <w:rFonts w:ascii="Montserrat" w:hAnsi="Montserrat"/>
          <w:b/>
          <w:color w:val="1A1A2E"/>
          <w:sz w:val="22"/>
        </w:rPr>
        <w:t>4. Centralización vs. desconcentración: la brecha de actualización</w:t>
      </w:r>
    </w:p>
    <w:p>
      <w:pPr>
        <w:jc w:val="both"/>
      </w:pPr>
      <w:r>
        <w:rPr>
          <w:rFonts w:ascii="Montserrat" w:hAnsi="Montserrat"/>
          <w:color w:val="333333"/>
          <w:sz w:val="22"/>
        </w:rPr>
        <w:t>Yeison Miranda presentó cifras comparativas que evidencian el fracaso de la centralización. El IGAC, con una relación de uno a más de 800 municipios, pasó en los últimos años del 9 % al 41 % de cobertura actualizada. En contraste, la Gobernación de Antioquia, administrando 113 municipios de alta ruralidad y sexta categoría, pasó del 14 % al 64 % de actualización en solo dos años, administrando 6,3 millones de hectáreas. Miranda atribuyó esta diferencia a la proximidad territorial: 'hemos descuidado el catastro en los territorios'. Señaló que un ciudadano de Turbo o Caucasia no debería tener que viajar a Medellín (Alpujarra) a resolver una subdivisión o corrección de área.</w:t>
      </w:r>
    </w:p>
    <w:p>
      <w:pPr>
        <w:pStyle w:val="Quote"/>
      </w:pPr>
      <w:r>
        <w:rPr>
          <w:rFonts w:ascii="Georgia" w:hAnsi="Georgia"/>
          <w:i/>
          <w:color w:val="1A1A2E"/>
          <w:sz w:val="21"/>
        </w:rPr>
        <w:t>"el IGAC pasó en los últimos años del nueve al cuarenta y un por ciento del territorio actualizado... nosotros cuando llegamos a la gerencia de catastro en los ciento trece municipios nuestros... pasamos del catorce al sesenta y cuatro por ciento"</w:t>
      </w:r>
      <w:r>
        <w:rPr>
          <w:rFonts w:ascii="Georgia" w:hAnsi="Georgia"/>
          <w:b/>
          <w:i/>
          <w:color w:val="0B43F7"/>
          <w:sz w:val="21"/>
        </w:rPr>
        <w:t xml:space="preserve"> — Yeison Miranda</w:t>
      </w:r>
    </w:p>
    <w:p>
      <w:pPr>
        <w:jc w:val="both"/>
      </w:pPr>
      <w:r>
        <w:rPr>
          <w:rFonts w:ascii="Montserrat" w:hAnsi="Montserrat"/>
          <w:color w:val="333333"/>
          <w:sz w:val="22"/>
        </w:rPr>
        <w:t>Miranda mencionó casos específicos de impacto fiscal de la desactualización. En Guatapé, por no tener identificados correctamente los predios y sus valores, un solo contribuyente dejaba de percibir al municipio más de $7.000 millones anuales de predial. En Apartadó, se identificaron más de 10.000 predios nuevos en zonas de expansión que llevaban 10 a 15 años sin ser registrados ni gravados. En Caucasia, se ingresaron más de 15.000 predios nuevos. En Guarne, se incorporaron más de un millón de metros cuadrados construidos.</w:t>
      </w:r>
    </w:p>
    <w:p>
      <w:pPr>
        <w:spacing w:before="120"/>
      </w:pPr>
      <w:r>
        <w:rPr>
          <w:rFonts w:ascii="Montserrat" w:hAnsi="Montserrat"/>
          <w:b/>
          <w:color w:val="1A1A2E"/>
          <w:sz w:val="22"/>
        </w:rPr>
        <w:t>5. Escasez de capital humano catastral</w:t>
      </w:r>
    </w:p>
    <w:p>
      <w:pPr>
        <w:jc w:val="both"/>
      </w:pPr>
      <w:r>
        <w:rPr>
          <w:rFonts w:ascii="Montserrat" w:hAnsi="Montserrat"/>
          <w:color w:val="333333"/>
          <w:sz w:val="22"/>
        </w:rPr>
        <w:t>Fidel Castaño alertó sobre la escasez de profesionales en Colombia. Recordó que en una reunión en Presidencia durante el gobierno Duque, ya se señaló que no había suficientes técnicos: solo la Universidad Pedagógica de Bogotá formaba ingenieros catastrales, con cerca de 2.000 egresados, muchos de los cuales estaban en el extranjero o dedicados a otros temas. Narró la experiencia de Barranquilla en 2017-2019: se formó personal para la gestión catastral, pero en la segunda etapa, 'la mitad de las personas que formamos empezaron a llevarse las para otros municipios ofreciéndoles el doble y el triple del dinero'. Concluyó que sin formación continua, los territorios se actualizan y al día siguiente vuelven a desactualizarse.</w:t>
      </w:r>
    </w:p>
    <w:p>
      <w:pPr>
        <w:pStyle w:val="Heading2"/>
      </w:pPr>
      <w:r>
        <w:t>Consensos</w:t>
      </w:r>
    </w:p>
    <w:p>
      <w:pPr>
        <w:spacing w:after="120"/>
        <w:ind w:left="360" w:hanging="360"/>
      </w:pPr>
      <w:r>
        <w:rPr>
          <w:rFonts w:ascii="Montserrat" w:hAnsi="Montserrat"/>
          <w:color w:val="0B43F7"/>
          <w:sz w:val="20"/>
        </w:rPr>
        <w:t>●</w:t>
        <w:tab/>
      </w:r>
      <w:r>
        <w:rPr>
          <w:rFonts w:ascii="Montserrat" w:hAnsi="Montserrat"/>
          <w:color w:val="333333"/>
          <w:sz w:val="22"/>
        </w:rPr>
        <w:t>El catastro y el predial son sistemas inseparables que requieren coordinación institucional permanente, no solo técnica sino política y administrativa.</w:t>
      </w:r>
    </w:p>
    <w:p>
      <w:pPr>
        <w:spacing w:after="120"/>
        <w:ind w:left="360" w:hanging="360"/>
      </w:pPr>
      <w:r>
        <w:rPr>
          <w:rFonts w:ascii="Montserrat" w:hAnsi="Montserrat"/>
          <w:color w:val="0AB6F2"/>
          <w:sz w:val="20"/>
        </w:rPr>
        <w:t>●</w:t>
        <w:tab/>
      </w:r>
      <w:r>
        <w:rPr>
          <w:rFonts w:ascii="Montserrat" w:hAnsi="Montserrat"/>
          <w:color w:val="333333"/>
          <w:sz w:val="22"/>
        </w:rPr>
        <w:t>La centralización del catastro en el IGAC ha generado rezago estructural; la desconcentración mediante gestores catastrales y esquemas asociativos es el camino viable.</w:t>
      </w:r>
    </w:p>
    <w:p>
      <w:pPr>
        <w:spacing w:after="120"/>
        <w:ind w:left="360" w:hanging="360"/>
      </w:pPr>
      <w:r>
        <w:rPr>
          <w:rFonts w:ascii="Montserrat" w:hAnsi="Montserrat"/>
          <w:color w:val="00CC30"/>
          <w:sz w:val="20"/>
        </w:rPr>
        <w:t>●</w:t>
        <w:tab/>
      </w:r>
      <w:r>
        <w:rPr>
          <w:rFonts w:ascii="Montserrat" w:hAnsi="Montserrat"/>
          <w:color w:val="333333"/>
          <w:sz w:val="22"/>
        </w:rPr>
        <w:t>La Ley 1955 de 2019 y su Decreto 148 habilitan la desconcentración, pero requieren acompañamiento para la habilitación de municipios y provincias.</w:t>
      </w:r>
    </w:p>
    <w:p>
      <w:pPr>
        <w:spacing w:after="120"/>
        <w:ind w:left="360" w:hanging="360"/>
      </w:pPr>
      <w:r>
        <w:rPr>
          <w:rFonts w:ascii="Montserrat" w:hAnsi="Montserrat"/>
          <w:color w:val="6CD3A5"/>
          <w:sz w:val="20"/>
        </w:rPr>
        <w:t>●</w:t>
        <w:tab/>
      </w:r>
      <w:r>
        <w:rPr>
          <w:rFonts w:ascii="Montserrat" w:hAnsi="Montserrat"/>
          <w:color w:val="333333"/>
          <w:sz w:val="22"/>
        </w:rPr>
        <w:t>La falta de profesionales catastrales es un cuello de botella nacional que requiere expansión de la oferta académica y retención de talento en los territorios.</w:t>
      </w:r>
    </w:p>
    <w:p>
      <w:pPr>
        <w:spacing w:after="120"/>
        <w:ind w:left="360" w:hanging="360"/>
      </w:pPr>
      <w:r>
        <w:rPr>
          <w:rFonts w:ascii="Montserrat" w:hAnsi="Montserrat"/>
          <w:color w:val="0B43F7"/>
          <w:sz w:val="20"/>
        </w:rPr>
        <w:t>●</w:t>
        <w:tab/>
      </w:r>
      <w:r>
        <w:rPr>
          <w:rFonts w:ascii="Montserrat" w:hAnsi="Montserrat"/>
          <w:color w:val="333333"/>
          <w:sz w:val="22"/>
        </w:rPr>
        <w:t>La actualización catastral sin reforma concurrente del diseño tributario (topes de crecimiento) no resuelve ni recaudo ni equidad.</w:t>
      </w:r>
    </w:p>
    <w:p>
      <w:pPr>
        <w:pStyle w:val="Heading2"/>
      </w:pPr>
      <w:r>
        <w:t>Tensiones</w:t>
      </w:r>
    </w:p>
    <w:p>
      <w:pPr>
        <w:spacing w:after="120"/>
        <w:ind w:left="360" w:hanging="360"/>
      </w:pPr>
      <w:r>
        <w:rPr>
          <w:rFonts w:ascii="Montserrat" w:hAnsi="Montserrat"/>
          <w:color w:val="0B43F7"/>
          <w:sz w:val="20"/>
        </w:rPr>
        <w:t>●</w:t>
        <w:tab/>
      </w:r>
      <w:r>
        <w:rPr>
          <w:rFonts w:ascii="Montserrat" w:hAnsi="Montserrat"/>
          <w:color w:val="333333"/>
          <w:sz w:val="22"/>
        </w:rPr>
        <w:t>Tensión entre la ubicación del catastro en planeación (visión territorial) y su necesidad de articulación con hacienda (visión recaudatoria).</w:t>
      </w:r>
    </w:p>
    <w:p>
      <w:pPr>
        <w:spacing w:after="120"/>
        <w:ind w:left="360" w:hanging="360"/>
      </w:pPr>
      <w:r>
        <w:rPr>
          <w:rFonts w:ascii="Montserrat" w:hAnsi="Montserrat"/>
          <w:color w:val="0AB6F2"/>
          <w:sz w:val="20"/>
        </w:rPr>
        <w:t>●</w:t>
        <w:tab/>
      </w:r>
      <w:r>
        <w:rPr>
          <w:rFonts w:ascii="Montserrat" w:hAnsi="Montserrat"/>
          <w:color w:val="333333"/>
          <w:sz w:val="22"/>
        </w:rPr>
        <w:t>Tensión entre el costo fiscal de la gestión catastral propia ($5.700 millones anuales en Armenia solo en conservación) y los límites legales que impiden recuperar esa inversión vía impuesto.</w:t>
      </w:r>
    </w:p>
    <w:p>
      <w:pPr>
        <w:spacing w:after="120"/>
        <w:ind w:left="360" w:hanging="360"/>
      </w:pPr>
      <w:r>
        <w:rPr>
          <w:rFonts w:ascii="Montserrat" w:hAnsi="Montserrat"/>
          <w:color w:val="00CC30"/>
          <w:sz w:val="20"/>
        </w:rPr>
        <w:t>●</w:t>
        <w:tab/>
      </w:r>
      <w:r>
        <w:rPr>
          <w:rFonts w:ascii="Montserrat" w:hAnsi="Montserrat"/>
          <w:color w:val="333333"/>
          <w:sz w:val="22"/>
        </w:rPr>
        <w:t>Tensión entre la urgencia de desconcentrar y la capacidad técnica insuficiente de los municipios pequeños para asumir la gestión.</w:t>
      </w:r>
    </w:p>
    <w:p>
      <w:pPr>
        <w:spacing w:after="120"/>
        <w:ind w:left="360" w:hanging="360"/>
      </w:pPr>
      <w:r>
        <w:rPr>
          <w:rFonts w:ascii="Montserrat" w:hAnsi="Montserrat"/>
          <w:color w:val="6CD3A5"/>
          <w:sz w:val="20"/>
        </w:rPr>
        <w:t>●</w:t>
        <w:tab/>
      </w:r>
      <w:r>
        <w:rPr>
          <w:rFonts w:ascii="Montserrat" w:hAnsi="Montserrat"/>
          <w:color w:val="333333"/>
          <w:sz w:val="22"/>
        </w:rPr>
        <w:t>Tensión entre la política de actualización masiva y la fuga de talento formado hacia otros territorios o al sector privado.</w:t>
      </w:r>
    </w:p>
    <w:p>
      <w:pPr>
        <w:pStyle w:val="Heading2"/>
      </w:pPr>
      <w:r>
        <w:t>Insights</w:t>
      </w:r>
    </w:p>
    <w:p>
      <w:pPr>
        <w:spacing w:after="120"/>
        <w:ind w:left="360" w:hanging="360"/>
      </w:pPr>
      <w:r>
        <w:rPr>
          <w:rFonts w:ascii="Montserrat" w:hAnsi="Montserrat"/>
          <w:color w:val="0B43F7"/>
          <w:sz w:val="20"/>
        </w:rPr>
        <w:t>●</w:t>
        <w:tab/>
      </w:r>
      <w:r>
        <w:rPr>
          <w:rFonts w:ascii="Montserrat" w:hAnsi="Montserrat"/>
          <w:color w:val="333333"/>
          <w:sz w:val="22"/>
        </w:rPr>
        <w:t>La comparación IGAC (41 % actualizado) vs. Antioquia (64 % en 2 años) demuestra que la escala de gestión importa: 1 a 113 funciona mejor que 1 a 800+.</w:t>
      </w:r>
    </w:p>
    <w:p>
      <w:pPr>
        <w:spacing w:after="120"/>
        <w:ind w:left="360" w:hanging="360"/>
      </w:pPr>
      <w:r>
        <w:rPr>
          <w:rFonts w:ascii="Montserrat" w:hAnsi="Montserrat"/>
          <w:color w:val="0AB6F2"/>
          <w:sz w:val="20"/>
        </w:rPr>
        <w:t>●</w:t>
        <w:tab/>
      </w:r>
      <w:r>
        <w:rPr>
          <w:rFonts w:ascii="Montserrat" w:hAnsi="Montserrat"/>
          <w:color w:val="333333"/>
          <w:sz w:val="22"/>
        </w:rPr>
        <w:t>El caso de Guatapé ($7.000 millones anuales de un solo contribuyente) ilustra que la desactualización no es un problema técnico menor, sino de sostenibilidad fiscal.</w:t>
      </w:r>
    </w:p>
    <w:p>
      <w:pPr>
        <w:spacing w:after="120"/>
        <w:ind w:left="360" w:hanging="360"/>
      </w:pPr>
      <w:r>
        <w:rPr>
          <w:rFonts w:ascii="Montserrat" w:hAnsi="Montserrat"/>
          <w:color w:val="00CC30"/>
          <w:sz w:val="20"/>
        </w:rPr>
        <w:t>●</w:t>
        <w:tab/>
      </w:r>
      <w:r>
        <w:rPr>
          <w:rFonts w:ascii="Montserrat" w:hAnsi="Montserrat"/>
          <w:color w:val="333333"/>
          <w:sz w:val="22"/>
        </w:rPr>
        <w:t>Las leyes 44/1990 y 1955/2019 actúan como un 'techo de cristal' que neutraliza el retorno de la inversión catastral, desincentivando la gestión.</w:t>
      </w:r>
    </w:p>
    <w:p>
      <w:pPr>
        <w:spacing w:after="120"/>
        <w:ind w:left="360" w:hanging="360"/>
      </w:pPr>
      <w:r>
        <w:rPr>
          <w:rFonts w:ascii="Montserrat" w:hAnsi="Montserrat"/>
          <w:color w:val="6CD3A5"/>
          <w:sz w:val="20"/>
        </w:rPr>
        <w:t>●</w:t>
        <w:tab/>
      </w:r>
      <w:r>
        <w:rPr>
          <w:rFonts w:ascii="Montserrat" w:hAnsi="Montserrat"/>
          <w:color w:val="333333"/>
          <w:sz w:val="22"/>
        </w:rPr>
        <w:t>La fuga de talento catastral (doble/triple salario) es un mercado laboral que los municipios no pueden competir sin políticas de retención.</w:t>
      </w:r>
    </w:p>
    <w:p>
      <w:pPr>
        <w:pStyle w:val="Heading1"/>
      </w:pPr>
      <w:r>
        <w:t>EJE TEMÁTICO 2: ADMINISTRACIÓN Y RECAUDO — COBRO, CONTACTABILIDAD Y COMUNICACIÓN</w:t>
      </w:r>
    </w:p>
    <w:p>
      <w:pPr>
        <w:pStyle w:val="Heading2"/>
      </w:pPr>
      <w:r>
        <w:t>Contexto</w:t>
      </w:r>
    </w:p>
    <w:p>
      <w:pPr>
        <w:jc w:val="both"/>
      </w:pPr>
      <w:r>
        <w:rPr>
          <w:rFonts w:ascii="Montserrat" w:hAnsi="Montserrat"/>
          <w:color w:val="333333"/>
          <w:sz w:val="22"/>
        </w:rPr>
        <w:t>El segundo bloque del panel se centró en la administración del predial una vez liquidado, abordando las tasas de recaudo, los mecanismos de cobro persuasivo y coactivo, la contactabilidad de los contribuyentes y la comunicación estratégica como herramienta de cultura tributaria. Se presentaron experiencias contrastadas de Cali, Armenia y Barranquilla, que ilustran cómo la gestión de cobro puede incrementar el recaudo independientemente de la actualización catastral, aunque ambas se potencian mutuamente.</w:t>
      </w:r>
    </w:p>
    <w:p>
      <w:pPr>
        <w:pStyle w:val="Heading2"/>
      </w:pPr>
      <w:r>
        <w:t>Argumentos</w:t>
      </w:r>
    </w:p>
    <w:p>
      <w:pPr>
        <w:spacing w:before="120"/>
      </w:pPr>
      <w:r>
        <w:rPr>
          <w:rFonts w:ascii="Montserrat" w:hAnsi="Montserrat"/>
          <w:b/>
          <w:color w:val="1A1A2E"/>
          <w:sz w:val="22"/>
        </w:rPr>
        <w:t>1. De la facturación al cobro: la tasa de recaudo como indicador clave</w:t>
      </w:r>
    </w:p>
    <w:p>
      <w:pPr>
        <w:jc w:val="both"/>
      </w:pPr>
      <w:r>
        <w:rPr>
          <w:rFonts w:ascii="Montserrat" w:hAnsi="Montserrat"/>
          <w:color w:val="333333"/>
          <w:sz w:val="22"/>
        </w:rPr>
        <w:t>Jhon Quinchua, desde la Secretaría de Hacienda de Cali, presentó datos contundentes sobre gestión de cobro. Cali tenía un recaudo histórico promedio del 70 % del total facturado hasta 2023. En comparación, Bogotá tiene una tasa de evasión de apenas el 13 %, lo que situaba a Cali 'en pañales'. En los dos primeros años de la administración del alcalde Alejandro Eder (2024-2025), mediante cobro persuasivo, coactivo, acuerdos de pago y estrategias de comunicación multicanal, la tasa de recaudo subió cinco puntos porcentuales, hasta el 75 %. Para 2026 se proyecta cerrar en el 80 %. Quinchua enfatizó que 'cobrar es el principio fundamental para lograr aumentar las tasas de recaudo', independientemente de la base gravable.</w:t>
      </w:r>
    </w:p>
    <w:p>
      <w:pPr>
        <w:pStyle w:val="Quote"/>
      </w:pPr>
      <w:r>
        <w:rPr>
          <w:rFonts w:ascii="Georgia" w:hAnsi="Georgia"/>
          <w:i/>
          <w:color w:val="1A1A2E"/>
          <w:sz w:val="21"/>
        </w:rPr>
        <w:t>"Cali históricamente hasta el 2023... tenía un recaudo del Predial del 70% del total facturado en promedio en el histórico hasta el 2023... cuando uno compara eso con ciudades como Bogotá donde la tasa de evasión del Predial es de apenas el 13% pues claramente uno dice bueno Cali está en pañales"</w:t>
      </w:r>
      <w:r>
        <w:rPr>
          <w:rFonts w:ascii="Georgia" w:hAnsi="Georgia"/>
          <w:b/>
          <w:i/>
          <w:color w:val="0B43F7"/>
          <w:sz w:val="21"/>
        </w:rPr>
        <w:t xml:space="preserve"> — Jhon Quinchua</w:t>
      </w:r>
    </w:p>
    <w:p>
      <w:pPr>
        <w:pStyle w:val="Quote"/>
      </w:pPr>
      <w:r>
        <w:rPr>
          <w:rFonts w:ascii="Georgia" w:hAnsi="Georgia"/>
          <w:i/>
          <w:color w:val="1A1A2E"/>
          <w:sz w:val="21"/>
        </w:rPr>
        <w:t>"cobrar es el principio fundamental para lograr aumentar las tasas de recaudo"</w:t>
      </w:r>
      <w:r>
        <w:rPr>
          <w:rFonts w:ascii="Georgia" w:hAnsi="Georgia"/>
          <w:b/>
          <w:i/>
          <w:color w:val="0B43F7"/>
          <w:sz w:val="21"/>
        </w:rPr>
        <w:t xml:space="preserve"> — Jhon Quinchua</w:t>
      </w:r>
    </w:p>
    <w:p>
      <w:pPr>
        <w:spacing w:before="120"/>
      </w:pPr>
      <w:r>
        <w:rPr>
          <w:rFonts w:ascii="Montserrat" w:hAnsi="Montserrat"/>
          <w:b/>
          <w:color w:val="1A1A2E"/>
          <w:sz w:val="22"/>
        </w:rPr>
        <w:t>2. Cobro persuasivo, coactivo y constitución oportuna de títulos ejecutivos</w:t>
      </w:r>
    </w:p>
    <w:p>
      <w:pPr>
        <w:jc w:val="both"/>
      </w:pPr>
      <w:r>
        <w:rPr>
          <w:rFonts w:ascii="Montserrat" w:hAnsi="Montserrat"/>
          <w:color w:val="333333"/>
          <w:sz w:val="22"/>
        </w:rPr>
        <w:t>Quinchua detalló que en administraciones anteriores no se hacían embargos ni se ejecutaban acciones coactivas. Su administración decidió 'cumplir lo que dice el estatuto tributario': ejecutar todas las acciones de cobro persuasivo y coactivo, lo que ha llevado a muchos contribuyentes a suscribir acuerdos de pago. Además, subrayó la importancia de constituir títulos ejecutivos de manera oportuna, porque cuando no se hace, las facturas 'terminan con una pérdida de fuerza ejecutoria' tras el término perentorio. Esto requiere que la información catastral esté actualizada y sea interoperable con las bases de rentas: 'no puedo dejar de pensar en cómo esto afecta el recaudo'.</w:t>
      </w:r>
    </w:p>
    <w:p>
      <w:pPr>
        <w:pStyle w:val="Quote"/>
      </w:pPr>
      <w:r>
        <w:rPr>
          <w:rFonts w:ascii="Georgia" w:hAnsi="Georgia"/>
          <w:i/>
          <w:color w:val="1A1A2E"/>
          <w:sz w:val="21"/>
        </w:rPr>
        <w:t>"cuando no se constituye un título ejecutivo pues eso lo que termina pasando es que muchas facturas terminan con una pérdida de fuerza ejecutoria"</w:t>
      </w:r>
      <w:r>
        <w:rPr>
          <w:rFonts w:ascii="Georgia" w:hAnsi="Georgia"/>
          <w:b/>
          <w:i/>
          <w:color w:val="0B43F7"/>
          <w:sz w:val="21"/>
        </w:rPr>
        <w:t xml:space="preserve"> — Jhon Quinchua</w:t>
      </w:r>
    </w:p>
    <w:p>
      <w:pPr>
        <w:spacing w:before="120"/>
      </w:pPr>
      <w:r>
        <w:rPr>
          <w:rFonts w:ascii="Montserrat" w:hAnsi="Montserrat"/>
          <w:b/>
          <w:color w:val="1A1A2E"/>
          <w:sz w:val="22"/>
        </w:rPr>
        <w:t>3. Comunicación estratégica y rendición de cuentas como incentivo al pago</w:t>
      </w:r>
    </w:p>
    <w:p>
      <w:pPr>
        <w:jc w:val="both"/>
      </w:pPr>
      <w:r>
        <w:rPr>
          <w:rFonts w:ascii="Montserrat" w:hAnsi="Montserrat"/>
          <w:color w:val="333333"/>
          <w:sz w:val="22"/>
        </w:rPr>
        <w:t>Quinchua destacó que en Cali se implementaron estrategias de comunicación por canales virtuales y físicos, 'yendo al territorio a recordarle a la gente que hay que pagar el predial' y mostrando 'qué es lo que se hace con los impuestos'. Esta rendición de cuentas demostrable genera 'mayor credibilidad' y estimula el pago. Fidel Castaño reforzó esta línea señalando que hay que comunicar los efectos de la actualización antes de que llegue la factura, con datos estadísticos de cuántos predios suben, en qué proporción, y contrarrestando el ruido mediático generado por casos atípicos de incrementos del 200 % o 300 %. Advirtió que la tecnología permite enviar la liquidación por computador, pero 'la mayoría de contribuyentes no están acostumbrados a eso', por lo que se requieren procesos de divulgación de fechas de vencimiento y comunicación de efectos del no pago.</w:t>
      </w:r>
    </w:p>
    <w:p>
      <w:pPr>
        <w:pStyle w:val="Quote"/>
      </w:pPr>
      <w:r>
        <w:rPr>
          <w:rFonts w:ascii="Georgia" w:hAnsi="Georgia"/>
          <w:i/>
          <w:color w:val="1A1A2E"/>
          <w:sz w:val="21"/>
        </w:rPr>
        <w:t>"haciendo estrategias de comunicación por diferentes canales virtuales físicos yendo al territorio a recordarle a la gente que hay que pagar el predial mostrando también que se hace con los impuestos... eso también genera mayor credibilidad y eso también estimula el pago"</w:t>
      </w:r>
      <w:r>
        <w:rPr>
          <w:rFonts w:ascii="Georgia" w:hAnsi="Georgia"/>
          <w:b/>
          <w:i/>
          <w:color w:val="0B43F7"/>
          <w:sz w:val="21"/>
        </w:rPr>
        <w:t xml:space="preserve"> — Jhon Quinchua</w:t>
      </w:r>
    </w:p>
    <w:p>
      <w:pPr>
        <w:pStyle w:val="Quote"/>
      </w:pPr>
      <w:r>
        <w:rPr>
          <w:rFonts w:ascii="Georgia" w:hAnsi="Georgia"/>
          <w:i/>
          <w:color w:val="1A1A2E"/>
          <w:sz w:val="21"/>
        </w:rPr>
        <w:t>"la tecnología hoy da para que cada persona lo pueda descargar por el computador, pero yo creo que todavía la mayoría de contribuyentes no están acostumbrados a eso"</w:t>
      </w:r>
      <w:r>
        <w:rPr>
          <w:rFonts w:ascii="Georgia" w:hAnsi="Georgia"/>
          <w:b/>
          <w:i/>
          <w:color w:val="0B43F7"/>
          <w:sz w:val="21"/>
        </w:rPr>
        <w:t xml:space="preserve"> — Fidel Castaño</w:t>
      </w:r>
    </w:p>
    <w:p>
      <w:pPr>
        <w:spacing w:before="120"/>
      </w:pPr>
      <w:r>
        <w:rPr>
          <w:rFonts w:ascii="Montserrat" w:hAnsi="Montserrat"/>
          <w:b/>
          <w:color w:val="1A1A2E"/>
          <w:sz w:val="22"/>
        </w:rPr>
        <w:t>4. Contactabilidad y dispersión física de facturas</w:t>
      </w:r>
    </w:p>
    <w:p>
      <w:pPr>
        <w:jc w:val="both"/>
      </w:pPr>
      <w:r>
        <w:rPr>
          <w:rFonts w:ascii="Montserrat" w:hAnsi="Montserrat"/>
          <w:color w:val="333333"/>
          <w:sz w:val="22"/>
        </w:rPr>
        <w:t>Isabel González planteó la dificultad generalizada de mantener actualizadas las bases de datos y la contactabilidad de contribuyentes, lo que afecta la distribución física de facturas. Quinchua confirmó que en Cali todavía se dispersan físicamente las facturas entre enero y febrero, y que la eficiencia de ese proceso depende de tener identificación clara de predios, direcciones precisas y canales de entrega confiables. Cuando la información catastral no está actualizada, 'allí vamos a perder una oportunidad y es entregarle a los contribuyentes la factura'.</w:t>
      </w:r>
    </w:p>
    <w:p>
      <w:pPr>
        <w:pStyle w:val="Quote"/>
      </w:pPr>
      <w:r>
        <w:rPr>
          <w:rFonts w:ascii="Georgia" w:hAnsi="Georgia"/>
          <w:i/>
          <w:color w:val="1A1A2E"/>
          <w:sz w:val="21"/>
        </w:rPr>
        <w:t>"en Cali todavía dispersamos físicamente las facturas entre los meses de enero y febrero... Va a depender claramente que tengamos una identificación de los predios que tengamos direcciones claras"</w:t>
      </w:r>
      <w:r>
        <w:rPr>
          <w:rFonts w:ascii="Georgia" w:hAnsi="Georgia"/>
          <w:b/>
          <w:i/>
          <w:color w:val="0B43F7"/>
          <w:sz w:val="21"/>
        </w:rPr>
        <w:t xml:space="preserve"> — Jhon Quinchua</w:t>
      </w:r>
    </w:p>
    <w:p>
      <w:pPr>
        <w:spacing w:before="120"/>
      </w:pPr>
      <w:r>
        <w:rPr>
          <w:rFonts w:ascii="Montserrat" w:hAnsi="Montserrat"/>
          <w:b/>
          <w:color w:val="1A1A2E"/>
          <w:sz w:val="22"/>
        </w:rPr>
        <w:t>5. Vulnerabilidad de estratos bajos y el costo humano del impuesto</w:t>
      </w:r>
    </w:p>
    <w:p>
      <w:pPr>
        <w:jc w:val="both"/>
      </w:pPr>
      <w:r>
        <w:rPr>
          <w:rFonts w:ascii="Montserrat" w:hAnsi="Montserrat"/>
          <w:color w:val="333333"/>
          <w:sz w:val="22"/>
        </w:rPr>
        <w:t>Fidel Castaño trajo a colación un estudio realizado en Barranquilla sobre estratos 1 y 2, que mostró que 'las personas de estrato uno y dos normalmente con todos los análisis dejarían de comer durante ocho días en el año si pagan el predial'. Esto explica por qué en la mayoría de municipios estos estratos tienen el menor índice de cumplimiento. Sin embargo, advirtió que también hay que mirar que en estratos bajos 'se esconden muchos predios de altísimo valor catastral', lo que genera una distorsión de equidad cuando se usa el estrato como única variable tarifaria.</w:t>
      </w:r>
    </w:p>
    <w:p>
      <w:pPr>
        <w:pStyle w:val="Heading2"/>
      </w:pPr>
      <w:r>
        <w:t>Consensos</w:t>
      </w:r>
    </w:p>
    <w:p>
      <w:pPr>
        <w:spacing w:after="120"/>
        <w:ind w:left="360" w:hanging="360"/>
      </w:pPr>
      <w:r>
        <w:rPr>
          <w:rFonts w:ascii="Montserrat" w:hAnsi="Montserrat"/>
          <w:color w:val="0B43F7"/>
          <w:sz w:val="20"/>
        </w:rPr>
        <w:t>●</w:t>
        <w:tab/>
      </w:r>
      <w:r>
        <w:rPr>
          <w:rFonts w:ascii="Montserrat" w:hAnsi="Montserrat"/>
          <w:color w:val="333333"/>
          <w:sz w:val="22"/>
        </w:rPr>
        <w:t>El recaudo depende tanto de la base gravable como de la capacidad de cobro; una base actualizada sin gestión de cobro es insuficiente.</w:t>
      </w:r>
    </w:p>
    <w:p>
      <w:pPr>
        <w:spacing w:after="120"/>
        <w:ind w:left="360" w:hanging="360"/>
      </w:pPr>
      <w:r>
        <w:rPr>
          <w:rFonts w:ascii="Montserrat" w:hAnsi="Montserrat"/>
          <w:color w:val="0AB6F2"/>
          <w:sz w:val="20"/>
        </w:rPr>
        <w:t>●</w:t>
        <w:tab/>
      </w:r>
      <w:r>
        <w:rPr>
          <w:rFonts w:ascii="Montserrat" w:hAnsi="Montserrat"/>
          <w:color w:val="333333"/>
          <w:sz w:val="22"/>
        </w:rPr>
        <w:t>La constitución oportuna de títulos ejecutivos es una variable técnica crítica que determina la recuperabilidad de cartera.</w:t>
      </w:r>
    </w:p>
    <w:p>
      <w:pPr>
        <w:spacing w:after="120"/>
        <w:ind w:left="360" w:hanging="360"/>
      </w:pPr>
      <w:r>
        <w:rPr>
          <w:rFonts w:ascii="Montserrat" w:hAnsi="Montserrat"/>
          <w:color w:val="00CC30"/>
          <w:sz w:val="20"/>
        </w:rPr>
        <w:t>●</w:t>
        <w:tab/>
      </w:r>
      <w:r>
        <w:rPr>
          <w:rFonts w:ascii="Montserrat" w:hAnsi="Montserrat"/>
          <w:color w:val="333333"/>
          <w:sz w:val="22"/>
        </w:rPr>
        <w:t>La comunicación estratégica y la rendición de cuentas sobre el uso del predial son herramientas de cultura tributaria tan importantes como la sanción.</w:t>
      </w:r>
    </w:p>
    <w:p>
      <w:pPr>
        <w:spacing w:after="120"/>
        <w:ind w:left="360" w:hanging="360"/>
      </w:pPr>
      <w:r>
        <w:rPr>
          <w:rFonts w:ascii="Montserrat" w:hAnsi="Montserrat"/>
          <w:color w:val="6CD3A5"/>
          <w:sz w:val="20"/>
        </w:rPr>
        <w:t>●</w:t>
        <w:tab/>
      </w:r>
      <w:r>
        <w:rPr>
          <w:rFonts w:ascii="Montserrat" w:hAnsi="Montserrat"/>
          <w:color w:val="333333"/>
          <w:sz w:val="22"/>
        </w:rPr>
        <w:t>La contactabilidad y la entrega física de facturas siguen siendo relevantes en contextos de baja penetración digital.</w:t>
      </w:r>
    </w:p>
    <w:p>
      <w:pPr>
        <w:spacing w:after="120"/>
        <w:ind w:left="360" w:hanging="360"/>
      </w:pPr>
      <w:r>
        <w:rPr>
          <w:rFonts w:ascii="Montserrat" w:hAnsi="Montserrat"/>
          <w:color w:val="0B43F7"/>
          <w:sz w:val="20"/>
        </w:rPr>
        <w:t>●</w:t>
        <w:tab/>
      </w:r>
      <w:r>
        <w:rPr>
          <w:rFonts w:ascii="Montserrat" w:hAnsi="Montserrat"/>
          <w:color w:val="333333"/>
          <w:sz w:val="22"/>
        </w:rPr>
        <w:t>El diseño tarifario debe incorporar la capacidad de pago de los hogares vulnerables, pero sin sacrificar la progresividad general.</w:t>
      </w:r>
    </w:p>
    <w:p>
      <w:pPr>
        <w:pStyle w:val="Heading2"/>
      </w:pPr>
      <w:r>
        <w:t>Tensiones</w:t>
      </w:r>
    </w:p>
    <w:p>
      <w:pPr>
        <w:spacing w:after="120"/>
        <w:ind w:left="360" w:hanging="360"/>
      </w:pPr>
      <w:r>
        <w:rPr>
          <w:rFonts w:ascii="Montserrat" w:hAnsi="Montserrat"/>
          <w:color w:val="0B43F7"/>
          <w:sz w:val="20"/>
        </w:rPr>
        <w:t>●</w:t>
        <w:tab/>
      </w:r>
      <w:r>
        <w:rPr>
          <w:rFonts w:ascii="Montserrat" w:hAnsi="Montserrat"/>
          <w:color w:val="333333"/>
          <w:sz w:val="22"/>
        </w:rPr>
        <w:t>Tensión entre la necesidad de cobro coactivo para sostenibilidad fiscal y el riesgo de afectar la subsistencia de hogares de estratos 1 y 2.</w:t>
      </w:r>
    </w:p>
    <w:p>
      <w:pPr>
        <w:spacing w:after="120"/>
        <w:ind w:left="360" w:hanging="360"/>
      </w:pPr>
      <w:r>
        <w:rPr>
          <w:rFonts w:ascii="Montserrat" w:hAnsi="Montserrat"/>
          <w:color w:val="0AB6F2"/>
          <w:sz w:val="20"/>
        </w:rPr>
        <w:t>●</w:t>
        <w:tab/>
      </w:r>
      <w:r>
        <w:rPr>
          <w:rFonts w:ascii="Montserrat" w:hAnsi="Montserrat"/>
          <w:color w:val="333333"/>
          <w:sz w:val="22"/>
        </w:rPr>
        <w:t>Tensión entre la promesa de digitalización de facturas y la realidad de una población contribuyente mayoritaria no habituada a canales virtuales.</w:t>
      </w:r>
    </w:p>
    <w:p>
      <w:pPr>
        <w:spacing w:after="120"/>
        <w:ind w:left="360" w:hanging="360"/>
      </w:pPr>
      <w:r>
        <w:rPr>
          <w:rFonts w:ascii="Montserrat" w:hAnsi="Montserrat"/>
          <w:color w:val="00CC30"/>
          <w:sz w:val="20"/>
        </w:rPr>
        <w:t>●</w:t>
        <w:tab/>
      </w:r>
      <w:r>
        <w:rPr>
          <w:rFonts w:ascii="Montserrat" w:hAnsi="Montserrat"/>
          <w:color w:val="333333"/>
          <w:sz w:val="22"/>
        </w:rPr>
        <w:t>Tensión entre la transparencia en el uso de recursos (que incentiva el pago) y la práctica política de no vincular el predial con obras visibles.</w:t>
      </w:r>
    </w:p>
    <w:p>
      <w:pPr>
        <w:spacing w:after="120"/>
        <w:ind w:left="360" w:hanging="360"/>
      </w:pPr>
      <w:r>
        <w:rPr>
          <w:rFonts w:ascii="Montserrat" w:hAnsi="Montserrat"/>
          <w:color w:val="6CD3A5"/>
          <w:sz w:val="20"/>
        </w:rPr>
        <w:t>●</w:t>
        <w:tab/>
      </w:r>
      <w:r>
        <w:rPr>
          <w:rFonts w:ascii="Montserrat" w:hAnsi="Montserrat"/>
          <w:color w:val="333333"/>
          <w:sz w:val="22"/>
        </w:rPr>
        <w:t>Tensión entre la eficiencia del cobro y los costos logísticos de la dispersión física de facturas en territorios con direcciones imprecisas.</w:t>
      </w:r>
    </w:p>
    <w:p>
      <w:pPr>
        <w:pStyle w:val="Heading2"/>
      </w:pPr>
      <w:r>
        <w:t>Insights</w:t>
      </w:r>
    </w:p>
    <w:p>
      <w:pPr>
        <w:spacing w:after="120"/>
        <w:ind w:left="360" w:hanging="360"/>
      </w:pPr>
      <w:r>
        <w:rPr>
          <w:rFonts w:ascii="Montserrat" w:hAnsi="Montserrat"/>
          <w:color w:val="0B43F7"/>
          <w:sz w:val="20"/>
        </w:rPr>
        <w:t>●</w:t>
        <w:tab/>
      </w:r>
      <w:r>
        <w:rPr>
          <w:rFonts w:ascii="Montserrat" w:hAnsi="Montserrat"/>
          <w:color w:val="333333"/>
          <w:sz w:val="22"/>
        </w:rPr>
        <w:t>Cali demuestra que es posible incrementar 5-10 puntos porcentuales el recaudo en dos años solo con gestión de cobro, sin esperar a que la actualización catastral madure.</w:t>
      </w:r>
    </w:p>
    <w:p>
      <w:pPr>
        <w:spacing w:after="120"/>
        <w:ind w:left="360" w:hanging="360"/>
      </w:pPr>
      <w:r>
        <w:rPr>
          <w:rFonts w:ascii="Montserrat" w:hAnsi="Montserrat"/>
          <w:color w:val="0AB6F2"/>
          <w:sz w:val="20"/>
        </w:rPr>
        <w:t>●</w:t>
        <w:tab/>
      </w:r>
      <w:r>
        <w:rPr>
          <w:rFonts w:ascii="Montserrat" w:hAnsi="Montserrat"/>
          <w:color w:val="333333"/>
          <w:sz w:val="22"/>
        </w:rPr>
        <w:t>La pérdida de fuerza ejecutoria por omisión en la constitución de títulos es una fuga de recursos invisible pero cuantiosa.</w:t>
      </w:r>
    </w:p>
    <w:p>
      <w:pPr>
        <w:spacing w:after="120"/>
        <w:ind w:left="360" w:hanging="360"/>
      </w:pPr>
      <w:r>
        <w:rPr>
          <w:rFonts w:ascii="Montserrat" w:hAnsi="Montserrat"/>
          <w:color w:val="00CC30"/>
          <w:sz w:val="20"/>
        </w:rPr>
        <w:t>●</w:t>
        <w:tab/>
      </w:r>
      <w:r>
        <w:rPr>
          <w:rFonts w:ascii="Montserrat" w:hAnsi="Montserrat"/>
          <w:color w:val="333333"/>
          <w:sz w:val="22"/>
        </w:rPr>
        <w:t>El estudio de Barranquilla sobre estratos 1-2 desmonta la idea de que la baja recaudo en estratos bajos es solo evasión: en muchos casos es incapacidad de pago real.</w:t>
      </w:r>
    </w:p>
    <w:p>
      <w:pPr>
        <w:spacing w:after="120"/>
        <w:ind w:left="360" w:hanging="360"/>
      </w:pPr>
      <w:r>
        <w:rPr>
          <w:rFonts w:ascii="Montserrat" w:hAnsi="Montserrat"/>
          <w:color w:val="6CD3A5"/>
          <w:sz w:val="20"/>
        </w:rPr>
        <w:t>●</w:t>
        <w:tab/>
      </w:r>
      <w:r>
        <w:rPr>
          <w:rFonts w:ascii="Montserrat" w:hAnsi="Montserrat"/>
          <w:color w:val="333333"/>
          <w:sz w:val="22"/>
        </w:rPr>
        <w:t>La comunicación previa a la facturación (simulaciones, estadísticas de impacto) puede reducir el costo político de las actualizaciones catastrales.</w:t>
      </w:r>
    </w:p>
    <w:p>
      <w:pPr>
        <w:pStyle w:val="Heading1"/>
      </w:pPr>
      <w:r>
        <w:t>EJE TEMÁTICO 3: DISEÑO TRIBUTARIO, TARIFAS Y EQUIDAD — MÁS ALLÁ DEL ESTRATO</w:t>
      </w:r>
    </w:p>
    <w:p>
      <w:pPr>
        <w:pStyle w:val="Heading2"/>
      </w:pPr>
      <w:r>
        <w:t>Contexto</w:t>
      </w:r>
    </w:p>
    <w:p>
      <w:pPr>
        <w:jc w:val="both"/>
      </w:pPr>
      <w:r>
        <w:rPr>
          <w:rFonts w:ascii="Montserrat" w:hAnsi="Montserrat"/>
          <w:color w:val="333333"/>
          <w:sz w:val="22"/>
        </w:rPr>
        <w:t>El tercer bloque abordó el diseño del impuesto predial como instrumento de política pública, no solo como fuente de recursos. Se discutió la insuficiencia del estrato socioeconómico como única variable tarifaria, la necesidad de matrices híbridas que combinen avalúo catastral y capacidad de pago, y la experiencia de Armenia y Cali en la construcción de paquetes de incentivos que mitiguen el impacto de la actualización. También se exploró el predial como 'ordenador del suelo' cuando se vincula con el POT y el uso adecuado del territorio.</w:t>
      </w:r>
    </w:p>
    <w:p>
      <w:pPr>
        <w:pStyle w:val="Heading2"/>
      </w:pPr>
      <w:r>
        <w:t>Argumentos</w:t>
      </w:r>
    </w:p>
    <w:p>
      <w:pPr>
        <w:spacing w:before="120"/>
      </w:pPr>
      <w:r>
        <w:rPr>
          <w:rFonts w:ascii="Montserrat" w:hAnsi="Montserrat"/>
          <w:b/>
          <w:color w:val="1A1A2E"/>
          <w:sz w:val="22"/>
        </w:rPr>
        <w:t>1. El estrato socioeconómico como herramienta imperfecta</w:t>
      </w:r>
    </w:p>
    <w:p>
      <w:pPr>
        <w:jc w:val="both"/>
      </w:pPr>
      <w:r>
        <w:rPr>
          <w:rFonts w:ascii="Montserrat" w:hAnsi="Montserrat"/>
          <w:color w:val="333333"/>
          <w:sz w:val="22"/>
        </w:rPr>
        <w:t>Jhon Quinchua lanzó una propuesta explícita: 'el estrato socioeconómico como herramienta para definir política tributaria... debería acabarse'. Argumentó que es una herramienta 'demasiado imperfecta' para focalización social y tributaria. Señaló que la mayoría de entidades territoriales en Colombia define las tarifas del predial usando el estrato, lo que genera distorsiones graves: en estratos bajos se esconden predios de altísimo valor catastral que tributan tarifas iguales a predios de $60 millones, mientras existen predios de más de $1.000 millones que por estar en estrato bajo pagan tarifas reducidas. Cali, en su nuevo estatuto tributario aprobado en julio de 2026, optó por un punto medio: una matriz híbrida que combina estrato socioeconómico con rangos de avalúo catastral.</w:t>
      </w:r>
    </w:p>
    <w:p>
      <w:pPr>
        <w:pStyle w:val="Quote"/>
      </w:pPr>
      <w:r>
        <w:rPr>
          <w:rFonts w:ascii="Georgia" w:hAnsi="Georgia"/>
          <w:i/>
          <w:color w:val="1A1A2E"/>
          <w:sz w:val="21"/>
        </w:rPr>
        <w:t>"en los estratos bajos en estratos uno y dos se esconden muchos predios de altísimo valor catastral, que están tributando tarifas iguales a un predio no sé de 60 millones de pesos... no tiene sentido que tributen la misma tarifa de un predio que tiene un valor catastral mayor a mil millones de pesos"</w:t>
      </w:r>
      <w:r>
        <w:rPr>
          <w:rFonts w:ascii="Georgia" w:hAnsi="Georgia"/>
          <w:b/>
          <w:i/>
          <w:color w:val="0B43F7"/>
          <w:sz w:val="21"/>
        </w:rPr>
        <w:t xml:space="preserve"> — Jhon Quinchua</w:t>
      </w:r>
    </w:p>
    <w:p>
      <w:pPr>
        <w:spacing w:before="120"/>
      </w:pPr>
      <w:r>
        <w:rPr>
          <w:rFonts w:ascii="Montserrat" w:hAnsi="Montserrat"/>
          <w:b/>
          <w:color w:val="1A1A2E"/>
          <w:sz w:val="22"/>
        </w:rPr>
        <w:t>2. Matriz híbrida de Cali: estrato + rangos de avalúo</w:t>
      </w:r>
    </w:p>
    <w:p>
      <w:pPr>
        <w:jc w:val="both"/>
      </w:pPr>
      <w:r>
        <w:rPr>
          <w:rFonts w:ascii="Montserrat" w:hAnsi="Montserrat"/>
          <w:color w:val="333333"/>
          <w:sz w:val="22"/>
        </w:rPr>
        <w:t>Quinchua explicó que en Cali se construyó una matriz donde a menor estrato socioeconómico y menor avalúo, menor tarifa. Concretamente, en estrato 1, los predios entre 0 y 20 salarios mínimos legales mensuales vigentes (aproximadamente $35 millones) tienen tarifa cero. A partir de allí, se establecieron rangos progresivos que reconocen la heterogeneidad dentro de cada estrato. Esta decisión, admitió Quinchua, tuvo un 'costo político altísimo' porque la actualización catastral es 'una de las cosas más impopulares', pero fue posible porque el alcalde la definió como prioridad desde el primer día de gobierno y porque se acompañó de una reducción en tarifas generales.</w:t>
      </w:r>
    </w:p>
    <w:p>
      <w:pPr>
        <w:pStyle w:val="Quote"/>
      </w:pPr>
      <w:r>
        <w:rPr>
          <w:rFonts w:ascii="Georgia" w:hAnsi="Georgia"/>
          <w:i/>
          <w:color w:val="1A1A2E"/>
          <w:sz w:val="21"/>
        </w:rPr>
        <w:t>"no hay cosa más impopular que eso pero es pero también es una de las cosas más responsables en términos de sostenibilidad fiscal"</w:t>
      </w:r>
      <w:r>
        <w:rPr>
          <w:rFonts w:ascii="Georgia" w:hAnsi="Georgia"/>
          <w:b/>
          <w:i/>
          <w:color w:val="0B43F7"/>
          <w:sz w:val="21"/>
        </w:rPr>
        <w:t xml:space="preserve"> — Jhon Quinchua</w:t>
      </w:r>
    </w:p>
    <w:p>
      <w:pPr>
        <w:spacing w:before="120"/>
      </w:pPr>
      <w:r>
        <w:rPr>
          <w:rFonts w:ascii="Montserrat" w:hAnsi="Montserrat"/>
          <w:b/>
          <w:color w:val="1A1A2E"/>
          <w:sz w:val="22"/>
        </w:rPr>
        <w:t>3. Paquete de incentivos de Armenia: mitigación con datos y gobernanza</w:t>
      </w:r>
    </w:p>
    <w:p>
      <w:pPr>
        <w:jc w:val="both"/>
      </w:pPr>
      <w:r>
        <w:rPr>
          <w:rFonts w:ascii="Montserrat" w:hAnsi="Montserrat"/>
          <w:color w:val="333333"/>
          <w:sz w:val="22"/>
        </w:rPr>
        <w:t>Yeison Pérez describió la estrategia de Armenia tras la actualización catastral de 2022. En 2023 implementó un límite generalizado del 35 % de crecimiento del impuesto para todos los predios, regulando el primer impacto. En 2025, mediante el Acuerdo 342 de 2025, diseñó un paquete de incentivos focalizado: (i) para lotes urbanizables no urbanizados, se redujo la tarifa del 33 % al 20 %; (ii) para constructores que desarrollaran lotes con licencia de obra nueva posterior al acuerdo, se otorgó exoneración del 50 % del predial y del 70 % del ICA, atado a incremento en el número de empleos; (iii) para predios en área de expansión urbana que mantuvieran vocación agrícola o pecuaria, se aplicó tarifa agrícola con descuento del 50 %, evitando el salto a tarifa de lote urbanizable. Pérez enfatizó que estas decisiones se tomaron con datos precisos: se sabía que los principales incrementos afectaban estratos 4, 5 y 6, destinación comercial y sector inmobiliario constructor.</w:t>
      </w:r>
    </w:p>
    <w:p>
      <w:pPr>
        <w:pStyle w:val="Quote"/>
      </w:pPr>
      <w:r>
        <w:rPr>
          <w:rFonts w:ascii="Georgia" w:hAnsi="Georgia"/>
          <w:i/>
          <w:color w:val="1A1A2E"/>
          <w:sz w:val="21"/>
        </w:rPr>
        <w:t>"nosotros con esa información sabíamos que los principales incrementos los teníamos en el estrato cuatro cinco y seis en el destinación comercial y con un impacto muy fuerte al sector inmobiliario y constructor"</w:t>
      </w:r>
      <w:r>
        <w:rPr>
          <w:rFonts w:ascii="Georgia" w:hAnsi="Georgia"/>
          <w:b/>
          <w:i/>
          <w:color w:val="0B43F7"/>
          <w:sz w:val="21"/>
        </w:rPr>
        <w:t xml:space="preserve"> — Yeison Pérez</w:t>
      </w:r>
    </w:p>
    <w:p>
      <w:pPr>
        <w:pStyle w:val="Quote"/>
      </w:pPr>
      <w:r>
        <w:rPr>
          <w:rFonts w:ascii="Georgia" w:hAnsi="Georgia"/>
          <w:i/>
          <w:color w:val="1A1A2E"/>
          <w:sz w:val="21"/>
        </w:rPr>
        <w:t>"cuando tú te enfrentas con la población que está directamente afectada pues tienes que generar soluciones no problemas"</w:t>
      </w:r>
      <w:r>
        <w:rPr>
          <w:rFonts w:ascii="Georgia" w:hAnsi="Georgia"/>
          <w:b/>
          <w:i/>
          <w:color w:val="0B43F7"/>
          <w:sz w:val="21"/>
        </w:rPr>
        <w:t xml:space="preserve"> — Yeison Pérez</w:t>
      </w:r>
    </w:p>
    <w:p>
      <w:pPr>
        <w:spacing w:before="120"/>
      </w:pPr>
      <w:r>
        <w:rPr>
          <w:rFonts w:ascii="Montserrat" w:hAnsi="Montserrat"/>
          <w:b/>
          <w:color w:val="1A1A2E"/>
          <w:sz w:val="22"/>
        </w:rPr>
        <w:t>4. El predial como ordenador del suelo</w:t>
      </w:r>
    </w:p>
    <w:p>
      <w:pPr>
        <w:jc w:val="both"/>
      </w:pPr>
      <w:r>
        <w:rPr>
          <w:rFonts w:ascii="Montserrat" w:hAnsi="Montserrat"/>
          <w:color w:val="333333"/>
          <w:sz w:val="22"/>
        </w:rPr>
        <w:t>Yeison Miranda presentó el caso del municipio de San Carlos, donde un señor con una finca de valor comercial cercano a $1.000 millones tenía un avalúo catastral de $250.000 (datos de hace 30 años) y pagaba $250.000 pesos anuales de predial. El contribuyente, relató Miranda, llevaba 4 o 5 años sin pagar porque temía que le llegara una factura de $2.000.000 o $3.000.000 por los intereses moratorios. Este caso ilustra que 'muchas veces la gente no paga es porque le cobran muy poquito y otras veces no paga porque le cobran demasiado'. A partir de esta lógica, Miranda defendió el predial como 'el instrumento ordenador del suelo más fuerte que puede tener un municipio', siempre que se articule con el POT y se usen los beneficios tributarios para incentivar el uso adecuado del suelo. Describió cómo en Antioquia, en los 88 estatutos tributarios construidos con Valor Público/EAFIT, se incluyó un artículo que permite a los municipios otorgar tarifas reducidas (por ejemplo, del 12 por mil al 2 por mil) a predios productivos que garanticen soberanía alimentaria, compatibilizados con el Plan de Ordenamiento Territorial Agropecuario (POTA) y los POT municipales.</w:t>
      </w:r>
    </w:p>
    <w:p>
      <w:pPr>
        <w:pStyle w:val="Quote"/>
      </w:pPr>
      <w:r>
        <w:rPr>
          <w:rFonts w:ascii="Georgia" w:hAnsi="Georgia"/>
          <w:i/>
          <w:color w:val="1A1A2E"/>
          <w:sz w:val="21"/>
        </w:rPr>
        <w:t>"el impuesto predial es el instrumento ordenador del suelo más fuerte que puede tener un municipio"</w:t>
      </w:r>
      <w:r>
        <w:rPr>
          <w:rFonts w:ascii="Georgia" w:hAnsi="Georgia"/>
          <w:b/>
          <w:i/>
          <w:color w:val="0B43F7"/>
          <w:sz w:val="21"/>
        </w:rPr>
        <w:t xml:space="preserve"> — Yeison Miranda</w:t>
      </w:r>
    </w:p>
    <w:p>
      <w:pPr>
        <w:spacing w:before="120"/>
      </w:pPr>
      <w:r>
        <w:rPr>
          <w:rFonts w:ascii="Montserrat" w:hAnsi="Montserrat"/>
          <w:b/>
          <w:color w:val="1A1A2E"/>
          <w:sz w:val="22"/>
        </w:rPr>
        <w:t>5. Rangos tarifarios en UVT vs. pesos estáticos</w:t>
      </w:r>
    </w:p>
    <w:p>
      <w:pPr>
        <w:jc w:val="both"/>
      </w:pPr>
      <w:r>
        <w:rPr>
          <w:rFonts w:ascii="Montserrat" w:hAnsi="Montserrat"/>
          <w:color w:val="333333"/>
          <w:sz w:val="22"/>
        </w:rPr>
        <w:t>Isabel González planteó la necesidad de que los rangos de avalúo no se definan en pesos estáticos, sino en Unidades de Valor Tributario (UVT), porque las dinámicas de actualización catastral mueven los avalúos y los rangos en pesos quedan obsoletos rápidamente. Esta propuesta técnica no fue discutida en profundidad por los panelistas, pero quedó registrada como una recomendación metodológica para la modernización de estatutos tributarios.</w:t>
      </w:r>
    </w:p>
    <w:p>
      <w:pPr>
        <w:pStyle w:val="Heading2"/>
      </w:pPr>
      <w:r>
        <w:t>Consensos</w:t>
      </w:r>
    </w:p>
    <w:p>
      <w:pPr>
        <w:spacing w:after="120"/>
        <w:ind w:left="360" w:hanging="360"/>
      </w:pPr>
      <w:r>
        <w:rPr>
          <w:rFonts w:ascii="Montserrat" w:hAnsi="Montserrat"/>
          <w:color w:val="0B43F7"/>
          <w:sz w:val="20"/>
        </w:rPr>
        <w:t>●</w:t>
        <w:tab/>
      </w:r>
      <w:r>
        <w:rPr>
          <w:rFonts w:ascii="Montserrat" w:hAnsi="Montserrat"/>
          <w:color w:val="333333"/>
          <w:sz w:val="22"/>
        </w:rPr>
        <w:t>El estrato socioeconómico, en su forma actual, es una herramienta imperfecta para el diseño tarifario del predial y debería evolucionar hacia matrices que incorporen el avalúo catastral.</w:t>
      </w:r>
    </w:p>
    <w:p>
      <w:pPr>
        <w:spacing w:after="120"/>
        <w:ind w:left="360" w:hanging="360"/>
      </w:pPr>
      <w:r>
        <w:rPr>
          <w:rFonts w:ascii="Montserrat" w:hAnsi="Montserrat"/>
          <w:color w:val="0AB6F2"/>
          <w:sz w:val="20"/>
        </w:rPr>
        <w:t>●</w:t>
        <w:tab/>
      </w:r>
      <w:r>
        <w:rPr>
          <w:rFonts w:ascii="Montserrat" w:hAnsi="Montserrat"/>
          <w:color w:val="333333"/>
          <w:sz w:val="22"/>
        </w:rPr>
        <w:t>Es posible diseñar paquetes de incentivos que mitiguen el impacto de la actualización catastral sin sacrificar la progresividad ni el recaudo.</w:t>
      </w:r>
    </w:p>
    <w:p>
      <w:pPr>
        <w:spacing w:after="120"/>
        <w:ind w:left="360" w:hanging="360"/>
      </w:pPr>
      <w:r>
        <w:rPr>
          <w:rFonts w:ascii="Montserrat" w:hAnsi="Montserrat"/>
          <w:color w:val="00CC30"/>
          <w:sz w:val="20"/>
        </w:rPr>
        <w:t>●</w:t>
        <w:tab/>
      </w:r>
      <w:r>
        <w:rPr>
          <w:rFonts w:ascii="Montserrat" w:hAnsi="Montserrat"/>
          <w:color w:val="333333"/>
          <w:sz w:val="22"/>
        </w:rPr>
        <w:t>La comunicación basada en datos (saber a quién se le incrementa, cuánto y por qué) es condición de viabilidad política para cualquier reforma tarifaria.</w:t>
      </w:r>
    </w:p>
    <w:p>
      <w:pPr>
        <w:spacing w:after="120"/>
        <w:ind w:left="360" w:hanging="360"/>
      </w:pPr>
      <w:r>
        <w:rPr>
          <w:rFonts w:ascii="Montserrat" w:hAnsi="Montserrat"/>
          <w:color w:val="6CD3A5"/>
          <w:sz w:val="20"/>
        </w:rPr>
        <w:t>●</w:t>
        <w:tab/>
      </w:r>
      <w:r>
        <w:rPr>
          <w:rFonts w:ascii="Montserrat" w:hAnsi="Montserrat"/>
          <w:color w:val="333333"/>
          <w:sz w:val="22"/>
        </w:rPr>
        <w:t>El predial puede ser un instrumento de ordenamiento territorial si se vincula con el POT y se usan beneficios tributarios para el uso productivo del suelo.</w:t>
      </w:r>
    </w:p>
    <w:p>
      <w:pPr>
        <w:spacing w:after="120"/>
        <w:ind w:left="360" w:hanging="360"/>
      </w:pPr>
      <w:r>
        <w:rPr>
          <w:rFonts w:ascii="Montserrat" w:hAnsi="Montserrat"/>
          <w:color w:val="0B43F7"/>
          <w:sz w:val="20"/>
        </w:rPr>
        <w:t>●</w:t>
        <w:tab/>
      </w:r>
      <w:r>
        <w:rPr>
          <w:rFonts w:ascii="Montserrat" w:hAnsi="Montserrat"/>
          <w:color w:val="333333"/>
          <w:sz w:val="22"/>
        </w:rPr>
        <w:t>Las tarifas y rangos deben revisarse periódicamente, preferiblemente indexados en UVT para evitar obsolescencia.</w:t>
      </w:r>
    </w:p>
    <w:p>
      <w:pPr>
        <w:pStyle w:val="Heading2"/>
      </w:pPr>
      <w:r>
        <w:t>Tensiones</w:t>
      </w:r>
    </w:p>
    <w:p>
      <w:pPr>
        <w:spacing w:after="120"/>
        <w:ind w:left="360" w:hanging="360"/>
      </w:pPr>
      <w:r>
        <w:rPr>
          <w:rFonts w:ascii="Montserrat" w:hAnsi="Montserrat"/>
          <w:color w:val="0B43F7"/>
          <w:sz w:val="20"/>
        </w:rPr>
        <w:t>●</w:t>
        <w:tab/>
      </w:r>
      <w:r>
        <w:rPr>
          <w:rFonts w:ascii="Montserrat" w:hAnsi="Montserrat"/>
          <w:color w:val="333333"/>
          <w:sz w:val="22"/>
        </w:rPr>
        <w:t>Tensión entre la eliminación del estrato como variable tarifaria (propuesta técnica) y su resistencia política (Quinchua: 'por razones de orden político es todavía muy difícil').</w:t>
      </w:r>
    </w:p>
    <w:p>
      <w:pPr>
        <w:spacing w:after="120"/>
        <w:ind w:left="360" w:hanging="360"/>
      </w:pPr>
      <w:r>
        <w:rPr>
          <w:rFonts w:ascii="Montserrat" w:hAnsi="Montserrat"/>
          <w:color w:val="0AB6F2"/>
          <w:sz w:val="20"/>
        </w:rPr>
        <w:t>●</w:t>
        <w:tab/>
      </w:r>
      <w:r>
        <w:rPr>
          <w:rFonts w:ascii="Montserrat" w:hAnsi="Montserrat"/>
          <w:color w:val="333333"/>
          <w:sz w:val="22"/>
        </w:rPr>
        <w:t>Tensión entre la necesidad de tarifa cero para estratos bajos de bajo avalúo y el riesgo de condonación implícita para predios de alto valor en estratos bajos.</w:t>
      </w:r>
    </w:p>
    <w:p>
      <w:pPr>
        <w:spacing w:after="120"/>
        <w:ind w:left="360" w:hanging="360"/>
      </w:pPr>
      <w:r>
        <w:rPr>
          <w:rFonts w:ascii="Montserrat" w:hAnsi="Montserrat"/>
          <w:color w:val="00CC30"/>
          <w:sz w:val="20"/>
        </w:rPr>
        <w:t>●</w:t>
        <w:tab/>
      </w:r>
      <w:r>
        <w:rPr>
          <w:rFonts w:ascii="Montserrat" w:hAnsi="Montserrat"/>
          <w:color w:val="333333"/>
          <w:sz w:val="22"/>
        </w:rPr>
        <w:t>Tensión entre los incentivos al desarrollo inmobiliario (exoneraciones) y la necesidad de recaudo inmediato para sostenibilidad fiscal.</w:t>
      </w:r>
    </w:p>
    <w:p>
      <w:pPr>
        <w:spacing w:after="120"/>
        <w:ind w:left="360" w:hanging="360"/>
      </w:pPr>
      <w:r>
        <w:rPr>
          <w:rFonts w:ascii="Montserrat" w:hAnsi="Montserrat"/>
          <w:color w:val="6CD3A5"/>
          <w:sz w:val="20"/>
        </w:rPr>
        <w:t>●</w:t>
        <w:tab/>
      </w:r>
      <w:r>
        <w:rPr>
          <w:rFonts w:ascii="Montserrat" w:hAnsi="Montserrat"/>
          <w:color w:val="333333"/>
          <w:sz w:val="22"/>
        </w:rPr>
        <w:t>Tensión entre el uso del predial como ordenador del suelo (visión de largo plazo) y su uso como recaudo de libre destinación (visión de corto plazo).</w:t>
      </w:r>
    </w:p>
    <w:p>
      <w:pPr>
        <w:spacing w:after="120"/>
        <w:ind w:left="360" w:hanging="360"/>
      </w:pPr>
      <w:r>
        <w:rPr>
          <w:rFonts w:ascii="Montserrat" w:hAnsi="Montserrat"/>
          <w:color w:val="0B43F7"/>
          <w:sz w:val="20"/>
        </w:rPr>
        <w:t>●</w:t>
        <w:tab/>
      </w:r>
      <w:r>
        <w:rPr>
          <w:rFonts w:ascii="Montserrat" w:hAnsi="Montserrat"/>
          <w:color w:val="333333"/>
          <w:sz w:val="22"/>
        </w:rPr>
        <w:t>Tensión entre la actualización catastral (que genera datos precisos) y los topes legales que impiden que esos datos se traduzcan en recaudo o equidad.</w:t>
      </w:r>
    </w:p>
    <w:p>
      <w:pPr>
        <w:pStyle w:val="Heading2"/>
      </w:pPr>
      <w:r>
        <w:t>Insights</w:t>
      </w:r>
    </w:p>
    <w:p>
      <w:pPr>
        <w:spacing w:after="120"/>
        <w:ind w:left="360" w:hanging="360"/>
      </w:pPr>
      <w:r>
        <w:rPr>
          <w:rFonts w:ascii="Montserrat" w:hAnsi="Montserrat"/>
          <w:color w:val="0B43F7"/>
          <w:sz w:val="20"/>
        </w:rPr>
        <w:t>●</w:t>
        <w:tab/>
      </w:r>
      <w:r>
        <w:rPr>
          <w:rFonts w:ascii="Montserrat" w:hAnsi="Montserrat"/>
          <w:color w:val="333333"/>
          <w:sz w:val="22"/>
        </w:rPr>
        <w:t>La matriz híbrida de Cali (estrato + avalúo) es una solución de transición políticamente viable entre el status quo del estrato y un sistema puramente catastral.</w:t>
      </w:r>
    </w:p>
    <w:p>
      <w:pPr>
        <w:spacing w:after="120"/>
        <w:ind w:left="360" w:hanging="360"/>
      </w:pPr>
      <w:r>
        <w:rPr>
          <w:rFonts w:ascii="Montserrat" w:hAnsi="Montserrat"/>
          <w:color w:val="0AB6F2"/>
          <w:sz w:val="20"/>
        </w:rPr>
        <w:t>●</w:t>
        <w:tab/>
      </w:r>
      <w:r>
        <w:rPr>
          <w:rFonts w:ascii="Montserrat" w:hAnsi="Montserrat"/>
          <w:color w:val="333333"/>
          <w:sz w:val="22"/>
        </w:rPr>
        <w:t>El paquete de incentivos de Armenia demuestra que la actualización catastral puede ser políticamente sostenible si se acompaña de un diseño tributario que premie el desarrollo productivo y el empleo.</w:t>
      </w:r>
    </w:p>
    <w:p>
      <w:pPr>
        <w:spacing w:after="120"/>
        <w:ind w:left="360" w:hanging="360"/>
      </w:pPr>
      <w:r>
        <w:rPr>
          <w:rFonts w:ascii="Montserrat" w:hAnsi="Montserrat"/>
          <w:color w:val="00CC30"/>
          <w:sz w:val="20"/>
        </w:rPr>
        <w:t>●</w:t>
        <w:tab/>
      </w:r>
      <w:r>
        <w:rPr>
          <w:rFonts w:ascii="Montserrat" w:hAnsi="Montserrat"/>
          <w:color w:val="333333"/>
          <w:sz w:val="22"/>
        </w:rPr>
        <w:t>El caso de San Carlos (finca de $1.000 millones pagando $250/año) es una metáfora del sistema: la desactualización beneficia a quienes más tienen y deslegitima el impuesto ante quienes menos tienen.</w:t>
      </w:r>
    </w:p>
    <w:p>
      <w:pPr>
        <w:spacing w:after="120"/>
        <w:ind w:left="360" w:hanging="360"/>
      </w:pPr>
      <w:r>
        <w:rPr>
          <w:rFonts w:ascii="Montserrat" w:hAnsi="Montserrat"/>
          <w:color w:val="6CD3A5"/>
          <w:sz w:val="20"/>
        </w:rPr>
        <w:t>●</w:t>
        <w:tab/>
      </w:r>
      <w:r>
        <w:rPr>
          <w:rFonts w:ascii="Montserrat" w:hAnsi="Montserrat"/>
          <w:color w:val="333333"/>
          <w:sz w:val="22"/>
        </w:rPr>
        <w:t>Los 88 estatutos tributarios de Antioquia con artículos de incentivo por uso del suelo representan una innovación institucional replicable: norma local como herramienta de política territorial.</w:t>
      </w:r>
    </w:p>
    <w:p>
      <w:pPr>
        <w:pStyle w:val="Heading1"/>
      </w:pPr>
      <w:r>
        <w:t>EJE TEMÁTICO 4: FIGURAS JURÍDICAS ESPECIALES, RETENCIÓN Y AUTODECLARACIÓN</w:t>
      </w:r>
    </w:p>
    <w:p>
      <w:pPr>
        <w:pStyle w:val="Heading2"/>
      </w:pPr>
      <w:r>
        <w:t>Contexto</w:t>
      </w:r>
    </w:p>
    <w:p>
      <w:pPr>
        <w:jc w:val="both"/>
      </w:pPr>
      <w:r>
        <w:rPr>
          <w:rFonts w:ascii="Montserrat" w:hAnsi="Montserrat"/>
          <w:color w:val="333333"/>
          <w:sz w:val="22"/>
        </w:rPr>
        <w:t>El cierre del panel se dedicó a figuras jurídicas y mecanismos de recaudo que trascienden la liquidación tradicional: la retención en fuente del predial, el tratamiento de fiducias y patrimonios autónomos como sujetos pasivos, la auto-declaración como alternativa a la facturación, y la necesidad de armonizar normas conexas (impuesto de registro, patrimonio, renta, compensaciones por embalses). Los panelistas coincidieron en que el sistema de facturación es el más eficiente, pero que existen nichos donde la retención y la ampliación de sujeto pasivo pueden mejorar el recaudo significativamente.</w:t>
      </w:r>
    </w:p>
    <w:p>
      <w:pPr>
        <w:pStyle w:val="Heading2"/>
      </w:pPr>
      <w:r>
        <w:t>Argumentos</w:t>
      </w:r>
    </w:p>
    <w:p>
      <w:pPr>
        <w:spacing w:before="120"/>
      </w:pPr>
      <w:r>
        <w:rPr>
          <w:rFonts w:ascii="Montserrat" w:hAnsi="Montserrat"/>
          <w:b/>
          <w:color w:val="1A1A2E"/>
          <w:sz w:val="22"/>
        </w:rPr>
        <w:t>1. Retención en fuente del predial: viabilidad y focos puntuales</w:t>
      </w:r>
    </w:p>
    <w:p>
      <w:pPr>
        <w:jc w:val="both"/>
      </w:pPr>
      <w:r>
        <w:rPr>
          <w:rFonts w:ascii="Montserrat" w:hAnsi="Montserrat"/>
          <w:color w:val="333333"/>
          <w:sz w:val="22"/>
        </w:rPr>
        <w:t>Fidel Castaño planteó la necesidad de explorar un esquema de retención en la fuente para el predial, dado que la administración no tiene capacidad de llegar a todos los contribuyentes. Propuso dos esquemas: (i) que las entidades financieras, al otorgar préstamos de vivienda o fomento agropecuario, incluyan el predial dentro de la amortización del crédito, distribuyéndolo en el plazo del préstamo (15 años en promedio); la entidad financiera, con la identificación del predio, entregaría al municipio la liquidación correspondiente. (ii) Que las empresas que tengan predios en arrendamiento retengan el predial al propietario y lo consignen a la administración. Castaño reconoció que hay que mirarlo 'desde el punto de vista técnico administrativo', pero consideró que es una forma viable de disminuir el número de contribuyentes que escapan al cobro directo.</w:t>
      </w:r>
    </w:p>
    <w:p>
      <w:pPr>
        <w:pStyle w:val="Quote"/>
      </w:pPr>
      <w:r>
        <w:rPr>
          <w:rFonts w:ascii="Georgia" w:hAnsi="Georgia"/>
          <w:i/>
          <w:color w:val="1A1A2E"/>
          <w:sz w:val="21"/>
        </w:rPr>
        <w:t>"uno tiene que crear un esquema sencillo y fácil... las entidades financieras cuando hay préstamo de vivienda o préstamo de fomento agrícola o ganadero... dentro de la amortización del préstamo está incluido el impuesto predial"</w:t>
      </w:r>
      <w:r>
        <w:rPr>
          <w:rFonts w:ascii="Georgia" w:hAnsi="Georgia"/>
          <w:b/>
          <w:i/>
          <w:color w:val="0B43F7"/>
          <w:sz w:val="21"/>
        </w:rPr>
        <w:t xml:space="preserve"> — Fidel Castaño</w:t>
      </w:r>
    </w:p>
    <w:p>
      <w:pPr>
        <w:pStyle w:val="Quote"/>
      </w:pPr>
      <w:r>
        <w:rPr>
          <w:rFonts w:ascii="Georgia" w:hAnsi="Georgia"/>
          <w:i/>
          <w:color w:val="1A1A2E"/>
          <w:sz w:val="21"/>
        </w:rPr>
        <w:t>"las empresas que tengan en arrendamiento un predio puedan también de hacer una retención al propietario del bien del inmueble y consigne a la administración"</w:t>
      </w:r>
      <w:r>
        <w:rPr>
          <w:rFonts w:ascii="Georgia" w:hAnsi="Georgia"/>
          <w:b/>
          <w:i/>
          <w:color w:val="0B43F7"/>
          <w:sz w:val="21"/>
        </w:rPr>
        <w:t xml:space="preserve"> — Fidel Castaño</w:t>
      </w:r>
    </w:p>
    <w:p>
      <w:pPr>
        <w:spacing w:before="120"/>
      </w:pPr>
      <w:r>
        <w:rPr>
          <w:rFonts w:ascii="Montserrat" w:hAnsi="Montserrat"/>
          <w:b/>
          <w:color w:val="1A1A2E"/>
          <w:sz w:val="22"/>
        </w:rPr>
        <w:t>2. Patrimonios autónomos y fiducias: el problema de la sujeción pasiva</w:t>
      </w:r>
    </w:p>
    <w:p>
      <w:pPr>
        <w:jc w:val="both"/>
      </w:pPr>
      <w:r>
        <w:rPr>
          <w:rFonts w:ascii="Montserrat" w:hAnsi="Montserrat"/>
          <w:color w:val="333333"/>
          <w:sz w:val="22"/>
        </w:rPr>
        <w:t>Isabel González planteó la dificultad que representan los patrimonios autónomos, que desde la base catastral se vuelven 'invisibles' para las administraciones: no se sabe quiénes son los beneficiarios o comitentes, lo que dificulta el cobro coactivo. Jhon Quinchua confirmó que en Cali la liquidación a predios en fiducias o patrimonios autónomos era de aproximadamente $30.000 millones, pero en 2025 solo se habían pagado $1.000 millones. El nuevo estatuto tributario de Cali, aprobado en julio de 2026, corrigió esta situación habilitando a las fiducias, fideicomitentes y fiduciarias como sujetos pasivos del predial. Adicionalmente, Cali implementó este año acciones específicas de cobro identificando estos predios, logrando 'aumentar significativamente' la tasa de recaudo en esta categoría. Yeison Pérez confirmó que Armenia tiene una situación similar con patrimonios autónomos vinculados.</w:t>
      </w:r>
    </w:p>
    <w:p>
      <w:pPr>
        <w:spacing w:before="120"/>
      </w:pPr>
      <w:r>
        <w:rPr>
          <w:rFonts w:ascii="Montserrat" w:hAnsi="Montserrat"/>
          <w:b/>
          <w:color w:val="1A1A2E"/>
          <w:sz w:val="22"/>
        </w:rPr>
        <w:t>3. Auto-declaración vs. facturación: eficiencia administrativa</w:t>
      </w:r>
    </w:p>
    <w:p>
      <w:pPr>
        <w:jc w:val="both"/>
      </w:pPr>
      <w:r>
        <w:rPr>
          <w:rFonts w:ascii="Montserrat" w:hAnsi="Montserrat"/>
          <w:color w:val="333333"/>
          <w:sz w:val="22"/>
        </w:rPr>
        <w:t>Yeison Pérez se manifestó partidario de una 'mixtura' entre facturación y auto-declaración, pero consideró que la auto-declaración pura 'se convierte un asunto complejo desde el punto de vista administrativo, costoso, engorroso desde la capacidad técnica que tienen los entes territoriales'. Sostuvo que el mecanismo de facturación 'es el que la mayoría utilizamos y porque es tal vez el más eficiente', especialmente para la constitución oportuna del título ejecutivo. Esta posición fue compartida tácitamente por los demás panelistas, quienes no defendieron la auto-declaración como reemplazo de la facturación.</w:t>
      </w:r>
    </w:p>
    <w:p>
      <w:pPr>
        <w:spacing w:before="120"/>
      </w:pPr>
      <w:r>
        <w:rPr>
          <w:rFonts w:ascii="Montserrat" w:hAnsi="Montserrat"/>
          <w:b/>
          <w:color w:val="1A1A2E"/>
          <w:sz w:val="22"/>
        </w:rPr>
        <w:t>4. Armonización normativa conexa: más allá del predial</w:t>
      </w:r>
    </w:p>
    <w:p>
      <w:pPr>
        <w:jc w:val="both"/>
      </w:pPr>
      <w:r>
        <w:rPr>
          <w:rFonts w:ascii="Montserrat" w:hAnsi="Montserrat"/>
          <w:color w:val="333333"/>
          <w:sz w:val="22"/>
        </w:rPr>
        <w:t>Yeison Miranda amplió la mirada más allá del predial, señalando que la actualización catastral obliga a revisar toda una batería de normas conexas. Mencionó específicamente: el impuesto de registro (cuyos ingresos crecen con la actualización y podrían financiar la gestión catastral mediante esquemas asociativos); el impuesto al patrimonio (Ley 2277); la declaración de renta; las compensaciones a municipios con asentamientos de embalses (Ley 56, que tiene dificultades de liquidación); y las sobretasas ambientales y bomberiles. Miranda enfatizó que 'la dificultad que ha tenido el catastro en la historia es precisamente la dificultad de estas mismas normas que se tienen que revisar y armonizar'. Hizo un llamado a los asistentes, muchos de ellos cercanos a congresistas y ministros, para que estas revisiones sean técnicas y no solo políticas.</w:t>
      </w:r>
    </w:p>
    <w:p>
      <w:pPr>
        <w:pStyle w:val="Quote"/>
      </w:pPr>
      <w:r>
        <w:rPr>
          <w:rFonts w:ascii="Georgia" w:hAnsi="Georgia"/>
          <w:i/>
          <w:color w:val="1A1A2E"/>
          <w:sz w:val="21"/>
        </w:rPr>
        <w:t>"una cosa es que la construyan los que hacen la política, otra cosa importante que la construyan los técnicos, los financieros, los tributaristas"</w:t>
      </w:r>
      <w:r>
        <w:rPr>
          <w:rFonts w:ascii="Georgia" w:hAnsi="Georgia"/>
          <w:b/>
          <w:i/>
          <w:color w:val="0B43F7"/>
          <w:sz w:val="21"/>
        </w:rPr>
        <w:t xml:space="preserve"> — Yeison Miranda</w:t>
      </w:r>
    </w:p>
    <w:p>
      <w:pPr>
        <w:spacing w:before="120"/>
      </w:pPr>
      <w:r>
        <w:rPr>
          <w:rFonts w:ascii="Montserrat" w:hAnsi="Montserrat"/>
          <w:b/>
          <w:color w:val="1A1A2E"/>
          <w:sz w:val="22"/>
        </w:rPr>
        <w:t>5. Llamado a la acción: dejar el diagnóstico y proponer artículos concretos</w:t>
      </w:r>
    </w:p>
    <w:p>
      <w:pPr>
        <w:jc w:val="both"/>
      </w:pPr>
      <w:r>
        <w:rPr>
          <w:rFonts w:ascii="Montserrat" w:hAnsi="Montserrat"/>
          <w:color w:val="333333"/>
          <w:sz w:val="22"/>
        </w:rPr>
        <w:t>Fidel Castaño cerró el panel con una intervención programática. Sostuvo que Colombia está 'sobre diagnosticado' y que no se pueden seguir haciendo propuestas generales. Llamó a los actores presentes —Federación de Municipios, Asocapitales, Suintermedias, alcaldes, gobernadores— a producir 'un artículo que solucione el problema de los patrimonios autónomos' con 'exposición de motivos' y 'estudio técnico'. Propuso concentrarse en predial e industria y comercio, que representan el 80 % del recaudo municipal. Estableció tres condiciones para avanzar: voluntad de hacerlo, respaldo político y apoyo administrativo a los territorios. Finalmente, advirtió que los catastros no pueden seguir haciendo procesos de actualización sin un posterior mantenimiento continuo.</w:t>
      </w:r>
    </w:p>
    <w:p>
      <w:pPr>
        <w:pStyle w:val="Quote"/>
      </w:pPr>
      <w:r>
        <w:rPr>
          <w:rFonts w:ascii="Georgia" w:hAnsi="Georgia"/>
          <w:i/>
          <w:color w:val="1A1A2E"/>
          <w:sz w:val="21"/>
        </w:rPr>
        <w:t>"estamos sobre diagnosticados en toda la problemática tributaria... no podemos seguir hablando de propuestas"</w:t>
      </w:r>
      <w:r>
        <w:rPr>
          <w:rFonts w:ascii="Georgia" w:hAnsi="Georgia"/>
          <w:b/>
          <w:i/>
          <w:color w:val="0B43F7"/>
          <w:sz w:val="21"/>
        </w:rPr>
        <w:t xml:space="preserve"> — Fidel Castaño</w:t>
      </w:r>
    </w:p>
    <w:p>
      <w:pPr>
        <w:pStyle w:val="Quote"/>
      </w:pPr>
      <w:r>
        <w:rPr>
          <w:rFonts w:ascii="Georgia" w:hAnsi="Georgia"/>
          <w:i/>
          <w:color w:val="1A1A2E"/>
          <w:sz w:val="21"/>
        </w:rPr>
        <w:t>"aquí debía de salir un artículo que solucione el problema de los patrimonios autónomos... escrito con una exposición de motivos en donde se diga exactamente esta es la solución"</w:t>
      </w:r>
      <w:r>
        <w:rPr>
          <w:rFonts w:ascii="Georgia" w:hAnsi="Georgia"/>
          <w:b/>
          <w:i/>
          <w:color w:val="0B43F7"/>
          <w:sz w:val="21"/>
        </w:rPr>
        <w:t xml:space="preserve"> — Fidel Castaño</w:t>
      </w:r>
    </w:p>
    <w:p>
      <w:pPr>
        <w:jc w:val="both"/>
      </w:pPr>
      <w:r>
        <w:rPr>
          <w:rFonts w:ascii="Montserrat" w:hAnsi="Montserrat"/>
          <w:color w:val="333333"/>
          <w:sz w:val="22"/>
        </w:rPr>
        <w:t>Jhon Quinchua añadió una conclusión transversal: 'hay que ponerle cuidado al gasto'. Señaló que como secretarios de hacienda esas conversaciones difíciles hay que forzarlas, porque 'el gasto se tiene que controlar y se tiene que reducir' para tener sostenibilidad fiscal. 'Uno no tiene que ponerle la lupa solamente a los ingresos', concluyó.</w:t>
      </w:r>
    </w:p>
    <w:p>
      <w:pPr>
        <w:pStyle w:val="Quote"/>
      </w:pPr>
      <w:r>
        <w:rPr>
          <w:rFonts w:ascii="Georgia" w:hAnsi="Georgia"/>
          <w:i/>
          <w:color w:val="1A1A2E"/>
          <w:sz w:val="21"/>
        </w:rPr>
        <w:t>"hay que ponerle cuidado al gasto... el gasto se tiene que controlar y se tiene que reducir... uno no tiene que ponerle la lupa solamente a los ingresos"</w:t>
      </w:r>
      <w:r>
        <w:rPr>
          <w:rFonts w:ascii="Georgia" w:hAnsi="Georgia"/>
          <w:b/>
          <w:i/>
          <w:color w:val="0B43F7"/>
          <w:sz w:val="21"/>
        </w:rPr>
        <w:t xml:space="preserve"> — Jhon Quinchua</w:t>
      </w:r>
    </w:p>
    <w:p>
      <w:pPr>
        <w:pStyle w:val="Heading2"/>
      </w:pPr>
      <w:r>
        <w:t>Consensos</w:t>
      </w:r>
    </w:p>
    <w:p>
      <w:pPr>
        <w:spacing w:after="120"/>
        <w:ind w:left="360" w:hanging="360"/>
      </w:pPr>
      <w:r>
        <w:rPr>
          <w:rFonts w:ascii="Montserrat" w:hAnsi="Montserrat"/>
          <w:color w:val="0B43F7"/>
          <w:sz w:val="20"/>
        </w:rPr>
        <w:t>●</w:t>
        <w:tab/>
      </w:r>
      <w:r>
        <w:rPr>
          <w:rFonts w:ascii="Montserrat" w:hAnsi="Montserrat"/>
          <w:color w:val="333333"/>
          <w:sz w:val="22"/>
        </w:rPr>
        <w:t>La retención en fuente del predial es viable en nichos específicos (créditos hipotecarios, arrendamientos) donde la sujeción pasiva es difícil de establecer directamente.</w:t>
      </w:r>
    </w:p>
    <w:p>
      <w:pPr>
        <w:spacing w:after="120"/>
        <w:ind w:left="360" w:hanging="360"/>
      </w:pPr>
      <w:r>
        <w:rPr>
          <w:rFonts w:ascii="Montserrat" w:hAnsi="Montserrat"/>
          <w:color w:val="0AB6F2"/>
          <w:sz w:val="20"/>
        </w:rPr>
        <w:t>●</w:t>
        <w:tab/>
      </w:r>
      <w:r>
        <w:rPr>
          <w:rFonts w:ascii="Montserrat" w:hAnsi="Montserrat"/>
          <w:color w:val="333333"/>
          <w:sz w:val="22"/>
        </w:rPr>
        <w:t>Las fiducias y patrimonios autónomos deben ser incorporados explícitamente como sujetos pasivos en los estatutos tributarios territoriales.</w:t>
      </w:r>
    </w:p>
    <w:p>
      <w:pPr>
        <w:spacing w:after="120"/>
        <w:ind w:left="360" w:hanging="360"/>
      </w:pPr>
      <w:r>
        <w:rPr>
          <w:rFonts w:ascii="Montserrat" w:hAnsi="Montserrat"/>
          <w:color w:val="00CC30"/>
          <w:sz w:val="20"/>
        </w:rPr>
        <w:t>●</w:t>
        <w:tab/>
      </w:r>
      <w:r>
        <w:rPr>
          <w:rFonts w:ascii="Montserrat" w:hAnsi="Montserrat"/>
          <w:color w:val="333333"/>
          <w:sz w:val="22"/>
        </w:rPr>
        <w:t>La auto-declaración pura es administrativamente compleja y costosa para la mayoría de entidades territoriales; el mecanismo de facturación sigue siendo el más eficiente.</w:t>
      </w:r>
    </w:p>
    <w:p>
      <w:pPr>
        <w:spacing w:after="120"/>
        <w:ind w:left="360" w:hanging="360"/>
      </w:pPr>
      <w:r>
        <w:rPr>
          <w:rFonts w:ascii="Montserrat" w:hAnsi="Montserrat"/>
          <w:color w:val="6CD3A5"/>
          <w:sz w:val="20"/>
        </w:rPr>
        <w:t>●</w:t>
        <w:tab/>
      </w:r>
      <w:r>
        <w:rPr>
          <w:rFonts w:ascii="Montserrat" w:hAnsi="Montserrat"/>
          <w:color w:val="333333"/>
          <w:sz w:val="22"/>
        </w:rPr>
        <w:t>La actualización catastral obliga a una revisión integral del entorno normativo: registro, patrimonio, renta, compensaciones y sobretasas.</w:t>
      </w:r>
    </w:p>
    <w:p>
      <w:pPr>
        <w:spacing w:after="120"/>
        <w:ind w:left="360" w:hanging="360"/>
      </w:pPr>
      <w:r>
        <w:rPr>
          <w:rFonts w:ascii="Montserrat" w:hAnsi="Montserrat"/>
          <w:color w:val="0B43F7"/>
          <w:sz w:val="20"/>
        </w:rPr>
        <w:t>●</w:t>
        <w:tab/>
      </w:r>
      <w:r>
        <w:rPr>
          <w:rFonts w:ascii="Montserrat" w:hAnsi="Montserrat"/>
          <w:color w:val="333333"/>
          <w:sz w:val="22"/>
        </w:rPr>
        <w:t>El momento político (nuevo gobierno con discurso regionalista) es una ventana para pasar del diagnóstico a propuestas normativas artículo por artículo.</w:t>
      </w:r>
    </w:p>
    <w:p>
      <w:pPr>
        <w:pStyle w:val="Heading2"/>
      </w:pPr>
      <w:r>
        <w:t>Tensiones</w:t>
      </w:r>
    </w:p>
    <w:p>
      <w:pPr>
        <w:spacing w:after="120"/>
        <w:ind w:left="360" w:hanging="360"/>
      </w:pPr>
      <w:r>
        <w:rPr>
          <w:rFonts w:ascii="Montserrat" w:hAnsi="Montserrat"/>
          <w:color w:val="0B43F7"/>
          <w:sz w:val="20"/>
        </w:rPr>
        <w:t>●</w:t>
        <w:tab/>
      </w:r>
      <w:r>
        <w:rPr>
          <w:rFonts w:ascii="Montserrat" w:hAnsi="Montserrat"/>
          <w:color w:val="333333"/>
          <w:sz w:val="22"/>
        </w:rPr>
        <w:t>Tensión entre la conveniencia técnica de la retención en fuente y la resistencia del sistema financiero a asumir roles de recaudo.</w:t>
      </w:r>
    </w:p>
    <w:p>
      <w:pPr>
        <w:spacing w:after="120"/>
        <w:ind w:left="360" w:hanging="360"/>
      </w:pPr>
      <w:r>
        <w:rPr>
          <w:rFonts w:ascii="Montserrat" w:hAnsi="Montserrat"/>
          <w:color w:val="0AB6F2"/>
          <w:sz w:val="20"/>
        </w:rPr>
        <w:t>●</w:t>
        <w:tab/>
      </w:r>
      <w:r>
        <w:rPr>
          <w:rFonts w:ascii="Montserrat" w:hAnsi="Montserrat"/>
          <w:color w:val="333333"/>
          <w:sz w:val="22"/>
        </w:rPr>
        <w:t>Tensión entre la ampliación de sujeto pasivo a fiducias (que da 'más dientes' al cobro) y el riesgo de que estas figuras se reconfiguren para eludir la nueva norma.</w:t>
      </w:r>
    </w:p>
    <w:p>
      <w:pPr>
        <w:spacing w:after="120"/>
        <w:ind w:left="360" w:hanging="360"/>
      </w:pPr>
      <w:r>
        <w:rPr>
          <w:rFonts w:ascii="Montserrat" w:hAnsi="Montserrat"/>
          <w:color w:val="00CC30"/>
          <w:sz w:val="20"/>
        </w:rPr>
        <w:t>●</w:t>
        <w:tab/>
      </w:r>
      <w:r>
        <w:rPr>
          <w:rFonts w:ascii="Montserrat" w:hAnsi="Montserrat"/>
          <w:color w:val="333333"/>
          <w:sz w:val="22"/>
        </w:rPr>
        <w:t>Tensión entre la especialización técnica requerida para armonizar normas conexas y la lógica política del Congreso, que tiende a legislar por iniciativas aisladas.</w:t>
      </w:r>
    </w:p>
    <w:p>
      <w:pPr>
        <w:spacing w:after="120"/>
        <w:ind w:left="360" w:hanging="360"/>
      </w:pPr>
      <w:r>
        <w:rPr>
          <w:rFonts w:ascii="Montserrat" w:hAnsi="Montserrat"/>
          <w:color w:val="6CD3A5"/>
          <w:sz w:val="20"/>
        </w:rPr>
        <w:t>●</w:t>
        <w:tab/>
      </w:r>
      <w:r>
        <w:rPr>
          <w:rFonts w:ascii="Montserrat" w:hAnsi="Montserrat"/>
          <w:color w:val="333333"/>
          <w:sz w:val="22"/>
        </w:rPr>
        <w:t>Tensión entre la urgencia de mantener el catastro actualizado (mantenimiento continuo) y la discontinuidad de las administraciones territoriales.</w:t>
      </w:r>
    </w:p>
    <w:p>
      <w:pPr>
        <w:spacing w:after="120"/>
        <w:ind w:left="360" w:hanging="360"/>
      </w:pPr>
      <w:r>
        <w:rPr>
          <w:rFonts w:ascii="Montserrat" w:hAnsi="Montserrat"/>
          <w:color w:val="0B43F7"/>
          <w:sz w:val="20"/>
        </w:rPr>
        <w:t>●</w:t>
        <w:tab/>
      </w:r>
      <w:r>
        <w:rPr>
          <w:rFonts w:ascii="Montserrat" w:hAnsi="Montserrat"/>
          <w:color w:val="333333"/>
          <w:sz w:val="22"/>
        </w:rPr>
        <w:t>Tensión entre el control del gasto (necesario para sostenibilidad) y la presión política por mantener o expandir la planta y las transferencias.</w:t>
      </w:r>
    </w:p>
    <w:p>
      <w:pPr>
        <w:pStyle w:val="Heading2"/>
      </w:pPr>
      <w:r>
        <w:t>Insights</w:t>
      </w:r>
    </w:p>
    <w:p>
      <w:pPr>
        <w:spacing w:after="120"/>
        <w:ind w:left="360" w:hanging="360"/>
      </w:pPr>
      <w:r>
        <w:rPr>
          <w:rFonts w:ascii="Montserrat" w:hAnsi="Montserrat"/>
          <w:color w:val="0B43F7"/>
          <w:sz w:val="20"/>
        </w:rPr>
        <w:t>●</w:t>
        <w:tab/>
      </w:r>
      <w:r>
        <w:rPr>
          <w:rFonts w:ascii="Montserrat" w:hAnsi="Montserrat"/>
          <w:color w:val="333333"/>
          <w:sz w:val="22"/>
        </w:rPr>
        <w:t>Cali demostró que un estatuto tributario puede corregir en un mes una fuga de $29.000 millones anuales (fiducias), si se tiene voluntad política y se acompaña de acciones de cobro.</w:t>
      </w:r>
    </w:p>
    <w:p>
      <w:pPr>
        <w:spacing w:after="120"/>
        <w:ind w:left="360" w:hanging="360"/>
      </w:pPr>
      <w:r>
        <w:rPr>
          <w:rFonts w:ascii="Montserrat" w:hAnsi="Montserrat"/>
          <w:color w:val="0AB6F2"/>
          <w:sz w:val="20"/>
        </w:rPr>
        <w:t>●</w:t>
        <w:tab/>
      </w:r>
      <w:r>
        <w:rPr>
          <w:rFonts w:ascii="Montserrat" w:hAnsi="Montserrat"/>
          <w:color w:val="333333"/>
          <w:sz w:val="22"/>
        </w:rPr>
        <w:t>La propuesta de retención en préstamos hipotecarios es técnicamente viable porque la entidad financiera ya tiene el predio como garantía y el flujo de caja del deudor está estructurado.</w:t>
      </w:r>
    </w:p>
    <w:p>
      <w:pPr>
        <w:spacing w:after="120"/>
        <w:ind w:left="360" w:hanging="360"/>
      </w:pPr>
      <w:r>
        <w:rPr>
          <w:rFonts w:ascii="Montserrat" w:hAnsi="Montserrat"/>
          <w:color w:val="00CC30"/>
          <w:sz w:val="20"/>
        </w:rPr>
        <w:t>●</w:t>
        <w:tab/>
      </w:r>
      <w:r>
        <w:rPr>
          <w:rFonts w:ascii="Montserrat" w:hAnsi="Montserrat"/>
          <w:color w:val="333333"/>
          <w:sz w:val="22"/>
        </w:rPr>
        <w:t>La auto-declaración, aunque teóricamente atractiva para ciertos sectores, no es escalable en municipios con baja capacidad institucional.</w:t>
      </w:r>
    </w:p>
    <w:p>
      <w:pPr>
        <w:spacing w:after="120"/>
        <w:ind w:left="360" w:hanging="360"/>
      </w:pPr>
      <w:r>
        <w:rPr>
          <w:rFonts w:ascii="Montserrat" w:hAnsi="Montserrat"/>
          <w:color w:val="6CD3A5"/>
          <w:sz w:val="20"/>
        </w:rPr>
        <w:t>●</w:t>
        <w:tab/>
      </w:r>
      <w:r>
        <w:rPr>
          <w:rFonts w:ascii="Montserrat" w:hAnsi="Montserrat"/>
          <w:color w:val="333333"/>
          <w:sz w:val="22"/>
        </w:rPr>
        <w:t>El llamado de Fidel Castaño a un 'artículo concreto' por foro representa una metodología de incidencia política: salir con texto legal listo para radicar, no solo con diagnósticos.</w:t>
      </w:r>
    </w:p>
    <w:p>
      <w:pPr>
        <w:spacing w:after="120"/>
        <w:ind w:left="360" w:hanging="360"/>
      </w:pPr>
      <w:r>
        <w:rPr>
          <w:rFonts w:ascii="Montserrat" w:hAnsi="Montserrat"/>
          <w:color w:val="0B43F7"/>
          <w:sz w:val="20"/>
        </w:rPr>
        <w:t>●</w:t>
        <w:tab/>
      </w:r>
      <w:r>
        <w:rPr>
          <w:rFonts w:ascii="Montserrat" w:hAnsi="Montserrat"/>
          <w:color w:val="333333"/>
          <w:sz w:val="22"/>
        </w:rPr>
        <w:t>La relación entre actualización catastral y normas conexas (registro, patrimonio, renta) es un ecosistema normativo: mover una pieza sin las otras genera fricción o elusión.</w:t>
      </w:r>
    </w:p>
    <w:p>
      <w:pPr>
        <w:pStyle w:val="Heading1"/>
      </w:pPr>
      <w:r>
        <w:t>IMPLICACIONES PARA POLÍTICA PÚBLICA</w:t>
      </w:r>
    </w:p>
    <w:p>
      <w:pPr>
        <w:jc w:val="both"/>
      </w:pPr>
      <w:r>
        <w:rPr>
          <w:rFonts w:ascii="Montserrat" w:hAnsi="Montserrat"/>
          <w:color w:val="333333"/>
          <w:sz w:val="22"/>
        </w:rPr>
        <w:t>El panel deja una agenda de política pública con implicaciones directas para las administraciones territoriales. Primero, en gestión catastral: los municipios deben evaluar la viabilidad de habilitarse como gestores catastrales o conformar esquemas asociativos (provincias, áreas metropolitanas) bajo la Ley 1955 de 2019 y su Decreto 148, dado que la centralización del IGAC ha demostrado ser insuficiente para mantener la actualización. Esto requiere inversión en capital humano, tecnología y articulación con la Gobernación. Segundo, en recaudo: las entidades territoriales deben fortalecer la gestión de cobro persuasivo y coactivo, constituir títulos ejecutivos de manera oportuna, y diversificar los canales de contactabilidad, reconociendo que el recaudo es una función administrativa independiente de la base gravable. Tercero, en diseño tributario: los estatutos tributarios deben migrar hacia matrices híbridas que combinen estrato y avalúo catastral, establecer rangos en UVT, y diseñar paquetes de incentivos focalizados que mitiguen el impacto de la actualización sin quebrar la progresividad. Cuarto, en normatividad: los estatutos deben ampliar explícitamente el sujeto pasivo a fiducias, fideicomitentes y fiduciarias, y explorar figuras de retención en nichos específicos. Quinto, en articulación institucional: las Secretarías de Hacienda, Catastro, Planeación, Registro y Notariado deben establecer flujos automáticos de información mensual para garantizar que el territorio no avance más rápido que la capacidad institucional de registrarlo y gravarlo.</w:t>
      </w:r>
    </w:p>
    <w:p>
      <w:pPr>
        <w:pStyle w:val="Heading1"/>
      </w:pPr>
      <w:r>
        <w:t>IMPLICACIONES ESPECÍFICAS PARA POLÍTICA NACIONAL</w:t>
      </w:r>
    </w:p>
    <w:p>
      <w:pPr>
        <w:jc w:val="both"/>
      </w:pPr>
      <w:r>
        <w:rPr>
          <w:rFonts w:ascii="Montserrat" w:hAnsi="Montserrat"/>
          <w:color w:val="333333"/>
          <w:sz w:val="22"/>
        </w:rPr>
        <w:t>Desde la perspectiva del nivel nacional, el panel señala cinco frentes prioritarios. Primero, la reforma de las Leyes 44 de 1990 y 1955 de 2019 es una deuda estructural: los límites de crecimiento del impuesto predial neutralizan el retorno de la inversión en actualización catastral y perpetúan la inequidad. El Congreso y el Gobierno Nacional deben revisar estos topes, diferenciando entre protección al contribuyente vulnerable (que puede hacerse por rangos de avalúo) y congelamiento generalizado que desfinancia a los municipios gestores catastrales. Segundo, el IGAC debe acelerar la política de habilitación de gestores catastrales y operadores, pero también transferir conocimiento y acompañamiento técnico, no solo delegar la función. Tercero, el Ministerio de Hacienda y el Ministerio de Educación deben articularse para expandir la oferta de formación en ingeniería catastral y gestión territorial, incluyendo programas de retención de talento en los territorios. Cuarto, el nuevo Gobierno Nacional, dado su discurso regionalista, tiene una ventana para impulsar una reforma tributaria territorial que armonice predial, registro, patrimonio, renta y compensaciones, evitando que cada norma avance de forma aislada. Quinto, las asociaciones de municipios y departamentos deben asumir la producción de textos legales concretos —artículos, exposiciones de motivos, estudios técnicos— para dejar de ser receptores pasivos de reformas y convertirse en proponentes activas, concentrándose en predial e industria y comercio como los dos tributos que concentran el 80 % del recaudo municipal.</w:t>
      </w:r>
    </w:p>
    <w:sectPr>
      <w:headerReference r:id="rId7" w:type="default"/>
      <w:footerReference r:id="rId8" w:type="default"/>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8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Pr>
      <w:drawing>
        <wp:inline distB="0" distT="0" distL="114300" distR="114300">
          <wp:extent cx="5029200" cy="24681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29200" cy="2468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40" w:lineRule="auto"/>
      <w:jc w:val="center"/>
      <w:rPr/>
    </w:pPr>
    <w:r w:rsidDel="00000000" w:rsidR="00000000" w:rsidRPr="00000000">
      <w:rPr>
        <w:rFonts w:ascii="Montserrat" w:cs="Montserrat" w:eastAsia="Montserrat" w:hAnsi="Montserrat"/>
        <w:b w:val="0"/>
        <w:bCs w:val="0"/>
        <w:i w:val="0"/>
        <w:iCs w:val="0"/>
        <w:color w:val="4a4a5a"/>
        <w:sz w:val="16"/>
        <w:szCs w:val="16"/>
        <w:rtl w:val="0"/>
      </w:rPr>
      <w:t xml:space="preserve">Sistematización FPT 2026 </w:t>
    </w:r>
    <w:r w:rsidDel="00000000" w:rsidR="00000000" w:rsidRPr="00000000">
      <w:rPr>
        <w:color w:val="4a4a5a"/>
        <w:sz w:val="16"/>
        <w:szCs w:val="16"/>
        <w:rtl w:val="0"/>
      </w:rPr>
      <w:t xml:space="preserve"> | </w:t>
    </w:r>
    <w:r w:rsidDel="00000000" w:rsidR="00000000" w:rsidRPr="00000000">
      <w:rPr>
        <w:rFonts w:ascii="Montserrat" w:cs="Montserrat" w:eastAsia="Montserrat" w:hAnsi="Montserrat"/>
        <w:b w:val="0"/>
        <w:bCs w:val="0"/>
        <w:i w:val="0"/>
        <w:iCs w:val="0"/>
        <w:color w:val="4a4a5a"/>
        <w:sz w:val="16"/>
        <w:szCs w:val="16"/>
        <w:rtl w:val="0"/>
      </w:rPr>
      <w:t xml:space="preserve">GOBS Estrategias Públicas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tl w:val="0"/>
      </w:rPr>
    </w:r>
  </w:p>
  <w:tbl>
    <w:tblPr>
      <w:tblStyle w:val="Table3"/>
      <w:tblW w:w="9359.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4"/>
      <w:gridCol w:w="3312"/>
      <w:gridCol w:w="3024"/>
      <w:tblGridChange w:id="0">
        <w:tblGrid>
          <w:gridCol w:w="3024"/>
          <w:gridCol w:w="3312"/>
          <w:gridCol w:w="3024"/>
        </w:tblGrid>
      </w:tblGridChange>
    </w:tblGrid>
    <w:tr>
      <w:trPr>
        <w:cantSplit w:val="0"/>
        <w:tblHeader w:val="0"/>
      </w:trPr>
      <w:tc>
        <w:tcPr>
          <w:vAlign w:val="center"/>
        </w:tcPr>
        <w:p w:rsidR="00000000" w:rsidDel="00000000" w:rsidP="00000000" w:rsidRDefault="00000000" w:rsidRPr="00000000" w14:paraId="00000016">
          <w:pPr>
            <w:jc w:val="left"/>
            <w:rPr/>
          </w:pPr>
          <w:r w:rsidDel="00000000" w:rsidR="00000000" w:rsidRPr="00000000">
            <w:rPr/>
            <w:drawing>
              <wp:inline distB="0" distT="0" distL="114300" distR="114300">
                <wp:extent cx="1463040" cy="822960"/>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63040" cy="82296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7">
          <w:pPr>
            <w:jc w:val="center"/>
            <w:rPr/>
          </w:pPr>
          <w:r w:rsidDel="00000000" w:rsidR="00000000" w:rsidRPr="00000000">
            <w:rPr/>
            <w:drawing>
              <wp:inline distB="0" distT="0" distL="114300" distR="114300">
                <wp:extent cx="1280160" cy="1005459"/>
                <wp:effectExtent b="0" l="0" r="0" t="0"/>
                <wp:docPr id="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280160" cy="100545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8">
          <w:pPr>
            <w:jc w:val="right"/>
            <w:rPr/>
          </w:pPr>
          <w:r w:rsidDel="00000000" w:rsidR="00000000" w:rsidRPr="00000000">
            <w:rPr/>
            <w:drawing>
              <wp:inline distB="0" distT="0" distL="114300" distR="114300">
                <wp:extent cx="1645920" cy="423907"/>
                <wp:effectExtent b="0" l="0" r="0" t="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45920" cy="4239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spacing w:before="40" w:lineRule="auto"/>
      <w:jc w:val="center"/>
      <w:rPr/>
    </w:pPr>
    <w:r w:rsidDel="00000000" w:rsidR="00000000" w:rsidRPr="00000000">
      <w:rPr>
        <w:rFonts w:ascii="Montserrat" w:cs="Montserrat" w:eastAsia="Montserrat" w:hAnsi="Montserrat"/>
        <w:b w:val="0"/>
        <w:bCs w:val="0"/>
        <w:i w:val="0"/>
        <w:iCs w:val="0"/>
        <w:color w:val="e0e0e0"/>
        <w:sz w:val="12"/>
        <w:szCs w:val="12"/>
        <w:rtl w:val="0"/>
      </w:rPr>
      <w:t xml:space="preserve">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33333"/>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rFonts w:ascii="Georgia" w:cs="Georgia" w:eastAsia="Georgia" w:hAnsi="Georgia"/>
      <w:b w:val="1"/>
      <w:bCs w:val="1"/>
      <w:color w:val="000000"/>
      <w:sz w:val="40"/>
      <w:szCs w:val="40"/>
    </w:rPr>
  </w:style>
  <w:style w:type="paragraph" w:styleId="Heading2">
    <w:name w:val="heading 2"/>
    <w:basedOn w:val="Normal"/>
    <w:next w:val="Normal"/>
    <w:pPr>
      <w:keepNext w:val="1"/>
      <w:keepLines w:val="1"/>
      <w:spacing w:after="160" w:before="360" w:lineRule="auto"/>
    </w:pPr>
    <w:rPr>
      <w:rFonts w:ascii="Georgia" w:cs="Georgia" w:eastAsia="Georgia" w:hAnsi="Georgia"/>
      <w:b w:val="1"/>
      <w:bCs w:val="1"/>
      <w:color w:val="0b43f7"/>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80"/>
      <w:ind w:left="360"/>
      <w:contextualSpacing w:val="1"/>
    </w:pPr>
    <w:rPr>
      <w:rFonts w:ascii="Montserrat" w:hAnsi="Montserrat"/>
      <w:color w:val="333333"/>
      <w:sz w:val="22"/>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pPr>
      <w:spacing w:after="240" w:before="240"/>
      <w:ind w:left="432" w:right="432"/>
    </w:pPr>
    <w:rPr>
      <w:rFonts w:ascii="Georgia" w:hAnsi="Georgia"/>
      <w:i w:val="1"/>
      <w:iCs w:val="1"/>
      <w:color w:val="1a1a2e"/>
      <w:sz w:val="2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Mq/R98wWnvN5Q+kTqFynqfo6w==">CgMxLjA4AHIhMTF3TzRPc2ZwbXo3bkNOb1g2cHpQTC0xNEhjeENrT2xR</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37805B645B9F6D4AAE37A606DA50903E" ma:contentTypeVersion="11" ma:contentTypeDescription="Crear nuevo documento." ma:contentTypeScope="" ma:versionID="68755bfd00ca2faee2ff3c3f2064c56a">
  <xsd:schema xmlns:xsd="http://www.w3.org/2001/XMLSchema" xmlns:xs="http://www.w3.org/2001/XMLSchema" xmlns:p="http://schemas.microsoft.com/office/2006/metadata/properties" xmlns:ns2="023d7147-4be6-4e0d-8f05-dc9e9205fc32" targetNamespace="http://schemas.microsoft.com/office/2006/metadata/properties" ma:root="true" ma:fieldsID="498324d5e3d86292511aabc7aae72a74" ns2:_="">
    <xsd:import namespace="023d7147-4be6-4e0d-8f05-dc9e9205fc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3d7147-4be6-4e0d-8f05-dc9e9205fc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49598450-0857-47c5-a5a7-a06b719eef98"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23d7147-4be6-4e0d-8f05-dc9e9205fc3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723BB971-AF7A-4B70-8386-44897E5F9145}"/>
</file>

<file path=customXML/itemProps3.xml><?xml version="1.0" encoding="utf-8"?>
<ds:datastoreItem xmlns:ds="http://schemas.openxmlformats.org/officeDocument/2006/customXml" ds:itemID="{C30FC7BB-6A7B-46DF-90EC-03455D6111B2}"/>
</file>

<file path=customXML/itemProps4.xml><?xml version="1.0" encoding="utf-8"?>
<ds:datastoreItem xmlns:ds="http://schemas.openxmlformats.org/officeDocument/2006/customXml" ds:itemID="{D9EF3CAF-FBF2-40B7-9565-03711FC9FC51}"/>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2013-12-23T23:15:00Z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0x01010037805B645B9F6D4AAE37A606DA50903E</vt:lpwstr>
  </property>
</Properties>
</file>