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Montserrat-bold.ttf" ContentType="application/x-font-ttf"/>
  <Override PartName="/word/fonts/Montserrat-boldItalic.ttf" ContentType="application/x-font-ttf"/>
  <Override PartName="/word/fonts/Montserrat-italic.ttf" ContentType="application/x-font-ttf"/>
  <Override PartName="/word/fonts/Montserrat-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Heading1"/>
      </w:pPr>
      <w:r>
        <w:t>Relatoría Estratégica — Panel 4</w:t>
      </w:r>
    </w:p>
    <w:p>
      <w:pPr>
        <w:spacing w:after="80"/>
      </w:pPr>
      <w:r>
        <w:rPr>
          <w:rFonts w:ascii="Georgia" w:hAnsi="Georgia"/>
          <w:i/>
          <w:color w:val="4A4A5A"/>
          <w:sz w:val="24"/>
        </w:rPr>
        <w:t>Congreso de Finanzas Públicas Territoriales 2026 · Evaluación y análisis crítico del Impuesto de Industria y Comercio (ICA)</w:t>
      </w:r>
    </w:p>
    <w:p>
      <w:pPr>
        <w:spacing w:after="80"/>
      </w:pPr>
      <w:r>
        <w:rPr>
          <w:rFonts w:ascii="Georgia" w:hAnsi="Georgia"/>
          <w:i/>
          <w:color w:val="666666"/>
          <w:sz w:val="18"/>
        </w:rPr>
        <w:t>───────────────────────────────────</w:t>
      </w:r>
      <w:r>
        <w:br/>
      </w:r>
      <w:r>
        <w:rPr>
          <w:rFonts w:ascii="Georgia" w:hAnsi="Georgia"/>
          <w:i/>
          <w:color w:val="666666"/>
          <w:sz w:val="18"/>
        </w:rPr>
        <w:t>Ficha técnica</w:t>
      </w:r>
      <w:r>
        <w:br/>
      </w:r>
      <w:r>
        <w:rPr>
          <w:rFonts w:ascii="Georgia" w:hAnsi="Georgia"/>
          <w:i/>
          <w:color w:val="666666"/>
          <w:sz w:val="18"/>
        </w:rPr>
        <w:t>Fecha del evento: 5-6 de Agosto 2026</w:t>
        <w:br/>
        <w:t>Panel: Panel 4 -- Evaluación y análisis crítico del Impuesto de Industria y Comercio (ICA)</w:t>
        <w:br/>
        <w:t>Actores principales: Elena Lucía Henao -- Secretaría de Hacienda de Bogotá; Juan Carlos Becerra -- Experto jurídico-tributario; Liliana Zapata -- Panelista inscrita</w:t>
        <w:br/>
        <w:t>Instituciones: Secretaría de Hacienda del Distrito Capital; Consultoría independiente en derecho tributario</w:t>
        <w:br/>
        <w:t>Codificación: Fiscalidad territorial | Tributación municipal | Economía digital | Reforma estructural | Costos de cumplimiento | Autonomía tributaria | Litigiosidad</w:t>
      </w:r>
    </w:p>
    <w:p>
      <w:pPr>
        <w:spacing w:after="320"/>
      </w:pPr>
      <w:r>
        <w:rPr>
          <w:rFonts w:ascii="Montserrat" w:hAnsi="Montserrat"/>
          <w:color w:val="0B43F7"/>
          <w:sz w:val="20"/>
        </w:rPr>
        <w:t>───────────────────────────────────</w:t>
      </w:r>
    </w:p>
    <w:p>
      <w:pPr>
        <w:pStyle w:val="Heading2"/>
      </w:pPr>
      <w:r>
        <w:t>1. CONTEXTO Y ANCLAJE POLÍTICO</w:t>
      </w:r>
    </w:p>
    <w:p>
      <w:pPr>
        <w:jc w:val="both"/>
      </w:pPr>
      <w:r>
        <w:rPr>
          <w:rFonts w:ascii="Montserrat" w:hAnsi="Montserrat"/>
          <w:color w:val="333333"/>
          <w:sz w:val="22"/>
        </w:rPr>
        <w:t>La intervención se enmarca en el Panel 4 del Congreso de Finanzas Públicas Territoriales 2026, organizado por GOBS, dedicado a la evaluación crítica del Impuesto de Industria y Comercio (ICA), el principal tributo de las entidades territoriales colombianas. El diálogo, conducido por un moderador no identificado en acta, articula la visión de dos panelistas con trayectorias complementarias: Elena Lucía Henao, desde la gestión operativa de la mayor administración tributaria municipal del país (Bogotá), y Juan Carlos Becerra, desde el análisis jurídico-normativo de la estructura del impuesto. La conversación se sitúa en un momento de alta tensión fiscal territorial, donde la promesa de autonomía municipal choca con la rigidez de un impuesto diseñado en 1983 para una economía presencial, mientras la economía digital y los conflictos de territorialidad erosionan la base recaudatoria y multiplican la litigiosidad.</w:t>
      </w:r>
    </w:p>
    <w:p>
      <w:pPr>
        <w:jc w:val="both"/>
      </w:pPr>
      <w:r>
        <w:rPr>
          <w:rFonts w:ascii="Montserrat" w:hAnsi="Montserrat"/>
          <w:color w:val="333333"/>
          <w:sz w:val="22"/>
        </w:rPr>
        <w:t>El anclaje político del panel no es meramente descriptivo: el moderador convoca explícitamente a los asistentes a distinguir entre problemas estructurales del impuesto y problemas generados por la propia gestión territorial. Esta convocatoria performativa establece el tono de urgencia y la legitimidad epistémica del evento, posicionando la discusión no como un ejercicio de queja sino como una reconstrucción crítica orientada a la acción.</w:t>
      </w:r>
    </w:p>
    <w:p>
      <w:pPr>
        <w:pStyle w:val="Quote"/>
      </w:pPr>
      <w:r>
        <w:rPr>
          <w:rFonts w:ascii="Georgia" w:hAnsi="Georgia"/>
          <w:i/>
          <w:color w:val="1A1A2E"/>
          <w:sz w:val="21"/>
        </w:rPr>
        <w:t>como entidades territoriales porque siento que tenemos una posición digamos de dominio frente a los contribuyentes, yo creo que hoy es buscar espacios, buscar en todos los espacios cuál es ese ICA que hoy estamos administrando y que los contribuyentes hoy están sufriendo</w:t>
      </w:r>
    </w:p>
    <w:p>
      <w:pPr>
        <w:jc w:val="both"/>
      </w:pPr>
      <w:r>
        <w:rPr>
          <w:rFonts w:ascii="Montserrat" w:hAnsi="Montserrat"/>
          <w:color w:val="333333"/>
          <w:sz w:val="22"/>
        </w:rPr>
        <w:t>El problema público central que articula el panel es la desconexión entre la estructura normativa del ICA y la realidad económica contemporánea. Esta desconexión se manifiesta en cinco dimensiones interconectadas: una base gravable que castiga actividades de bajo margen; una territorialidad diseñada para la materialidad física que no resuelve el comercio digital; una dispersión normativa que genera incertidumbre jurídica; costos de cumplimiento que crecen geométricamente con la multiplicidad de administraciones; y una asimetría de capacidad institucional que condena a los municipios pequeños a la irrelevancia recaudatoria o al litigio.</w:t>
      </w:r>
    </w:p>
    <w:p>
      <w:pPr>
        <w:pStyle w:val="Heading2"/>
      </w:pPr>
      <w:r>
        <w:rPr>
          <w:color w:val="0B43F7"/>
        </w:rPr>
        <w:t>Problemas identificados</w:t>
      </w:r>
    </w:p>
    <w:p>
      <w:pPr>
        <w:jc w:val="both"/>
      </w:pPr>
      <w:r>
        <w:rPr>
          <w:rFonts w:ascii="Montserrat" w:hAnsi="Montserrat"/>
          <w:color w:val="333333"/>
          <w:sz w:val="22"/>
        </w:rPr>
        <w:t>El discurso articula un diagnóstico estructural en ocho problemas interconectados que configuran una crisis de sostenibilidad y legitimidad del ICA. El primero de ellos ---la base gravable antitécnica--- no se presenta como un dato aislado, sino como una condición que redefine la equidad del sistema tributario territorial.</w:t>
      </w:r>
    </w:p>
    <w:p>
      <w:pPr>
        <w:spacing w:before="120"/>
      </w:pPr>
      <w:r>
        <w:rPr>
          <w:rFonts w:ascii="Montserrat" w:hAnsi="Montserrat"/>
          <w:b/>
          <w:color w:val="1A1A2E"/>
          <w:sz w:val="22"/>
        </w:rPr>
        <w:t>Eje A. Base gravable antitécnica: el ingreso bruto como anclaje problemático</w:t>
      </w:r>
    </w:p>
    <w:p>
      <w:pPr>
        <w:jc w:val="both"/>
      </w:pPr>
      <w:r>
        <w:rPr>
          <w:rFonts w:ascii="Montserrat" w:hAnsi="Montserrat"/>
          <w:color w:val="333333"/>
          <w:sz w:val="22"/>
        </w:rPr>
        <w:t>El panel coincide en que la base gravable del ICA ---los ingresos brutos--- constituye un diagnóstico acertado de la Comisión de Expertos, pero discrepan en las implicaciones. Elena Henao sostiene que, si bien es una base problemática, ello no significa que sea el presupuesto para prescindir de un impuesto que es tan importante para los municipios. Identifica un efecto cascada implícito en la estructura: al ser una tarifa igual para todos sin importar el margen de utilidad, castiga las actividades de bajo margen. Propone, como contraparte técnica, un esquema de tarifas progresivas.</w:t>
      </w:r>
    </w:p>
    <w:p>
      <w:pPr>
        <w:pStyle w:val="Quote"/>
      </w:pPr>
      <w:r>
        <w:rPr>
          <w:rFonts w:ascii="Georgia" w:hAnsi="Georgia"/>
          <w:i/>
          <w:color w:val="1A1A2E"/>
          <w:sz w:val="21"/>
        </w:rPr>
        <w:t>el impuesto de industria y comercio es un impuesto que está totalmente desactualizado y siempre lo que se ha mantenido vigente como elemento diferenciador de este impuesto es que todo el mundo lo asocia con una base gravable antitécnica y que le genera una cantidad de problemas a los contribuyentes</w:t>
      </w:r>
    </w:p>
    <w:p>
      <w:pPr>
        <w:pStyle w:val="Quote"/>
      </w:pPr>
      <w:r>
        <w:rPr>
          <w:rFonts w:ascii="Georgia" w:hAnsi="Georgia"/>
          <w:i/>
          <w:color w:val="1A1A2E"/>
          <w:sz w:val="21"/>
        </w:rPr>
        <w:t>el diagnóstico que hace la comisión para mí es acertado definitivamente: la base gravable del impuesto de industria y comercio es una base problemática. Pero no, por eso, significa que se deba prescindir del impuesto</w:t>
      </w:r>
    </w:p>
    <w:p>
      <w:pPr>
        <w:jc w:val="both"/>
      </w:pPr>
      <w:r>
        <w:rPr>
          <w:rFonts w:ascii="Montserrat" w:hAnsi="Montserrat"/>
          <w:color w:val="333333"/>
          <w:sz w:val="22"/>
        </w:rPr>
        <w:t>Juan Carlos Becerra matiza el diagnóstico desde la historia institucional. Recuerda que la Misión Westner, origen de la Ley 14 de 1983, privilegió la administrabilidad sobre la técnica pura, ante una realidad de mil ciento tres municipios donde apenas cuarenta o cincuenta sobrepasan los cien mil habitantes. Señala una regla técnica olvidada en el discurso público: cuando las bases gravables son altas, las tarifas son pequeñas. Las tarifas del ICA están en miles, con un tope del 3 % para capitales. Es decir, la aparente agresividad de la base se compensa con la baja tarifa, pero el contribuyente percibe solo la primera.</w:t>
      </w:r>
    </w:p>
    <w:p>
      <w:pPr>
        <w:spacing w:before="120"/>
      </w:pPr>
      <w:r>
        <w:rPr>
          <w:rFonts w:ascii="Montserrat" w:hAnsi="Montserrat"/>
          <w:b/>
          <w:color w:val="1A1A2E"/>
          <w:sz w:val="22"/>
        </w:rPr>
        <w:t>Eje B. Territorialidad insuficiente: de la materialidad a la virtualidad</w:t>
      </w:r>
    </w:p>
    <w:p>
      <w:pPr>
        <w:jc w:val="both"/>
      </w:pPr>
      <w:r>
        <w:rPr>
          <w:rFonts w:ascii="Montserrat" w:hAnsi="Montserrat"/>
          <w:color w:val="333333"/>
          <w:sz w:val="22"/>
        </w:rPr>
        <w:t>Para Elena, la territorialidad es el problema estructural número uno. Las reglas del artículo 433 de la Ley 1819 de 2016, aunque mitigan de forma importante los conflictos, fueron pensadas para actividades con materialidad física. El moderador introduce la pregunta directa sobre cómo se adapta el ICA a las nuevas economías. Elena ilustra la brecha con ejemplos concretos: nadie en ese momento sabía qué era un influencer. La regla de donde se ejecute la prestación del servicio genera incertidumbre para administraciones y contribuyentes.</w:t>
      </w:r>
    </w:p>
    <w:p>
      <w:pPr>
        <w:jc w:val="both"/>
      </w:pPr>
      <w:r>
        <w:rPr>
          <w:rFonts w:ascii="Montserrat" w:hAnsi="Montserrat"/>
          <w:color w:val="333333"/>
          <w:sz w:val="22"/>
        </w:rPr>
        <w:t>Juan Carlos complementa desde la rigidez normativa: el hecho generador es demasiado estático, es rígido. La ley no dice que es eso y punto. Advierte que las competencias derivadas de los municipios impiden adaptar el hecho generador a nuevas actividades, dejando a las entidades territoriales con las manos atadas. La economía digital, describe, tiene una estructura de datos en un lugar en Japón y capacidad de migrar en microsegundos, lo cual desafía la lógica territorial del ICA.</w:t>
      </w:r>
    </w:p>
    <w:p>
      <w:pPr>
        <w:spacing w:before="120"/>
      </w:pPr>
      <w:r>
        <w:rPr>
          <w:rFonts w:ascii="Montserrat" w:hAnsi="Montserrat"/>
          <w:b/>
          <w:color w:val="1A1A2E"/>
          <w:sz w:val="22"/>
        </w:rPr>
        <w:t>Eje C. Dispersión normativa y multiplicidad de regímenes</w:t>
      </w:r>
    </w:p>
    <w:p>
      <w:pPr>
        <w:jc w:val="both"/>
      </w:pPr>
      <w:r>
        <w:rPr>
          <w:rFonts w:ascii="Montserrat" w:hAnsi="Montserrat"/>
          <w:color w:val="333333"/>
          <w:sz w:val="22"/>
        </w:rPr>
        <w:t>Juan Carlos caracteriza el ICA como un impuesto Frankenstein ---hoy un venerable anciano que está pasado de moda--- porque su origen fue la copia de ordenamientos municipiales grandes sin coherencia sistémica. Identifica tres regímenes superpuestos: el del Distrito Capital, el de ciudades capitales (que pueden acoger el régimen de Bogotá) y el régimen nacional. La Ley 1819 de 2016 intentó copiar la base gravable del Decreto 1421 de Bogotá, pero quedó distinta, generando que en Bogotá resulta que uno domina frente a lo que tiene en Cali. Esta dispersión produce una jurisprudencia que a nosotros nos parezca que hasta contradictoria.</w:t>
      </w:r>
    </w:p>
    <w:p>
      <w:pPr>
        <w:spacing w:before="120"/>
      </w:pPr>
      <w:r>
        <w:rPr>
          <w:rFonts w:ascii="Montserrat" w:hAnsi="Montserrat"/>
          <w:b/>
          <w:color w:val="1A1A2E"/>
          <w:sz w:val="22"/>
        </w:rPr>
        <w:t>Eje D. Costos de cumplimiento: la carga oculta del sistema</w:t>
      </w:r>
    </w:p>
    <w:p>
      <w:pPr>
        <w:jc w:val="both"/>
      </w:pPr>
      <w:r>
        <w:rPr>
          <w:rFonts w:ascii="Montserrat" w:hAnsi="Montserrat"/>
          <w:color w:val="333333"/>
          <w:sz w:val="22"/>
        </w:rPr>
        <w:t>Los panelistas coinciden en que el contribuyente no distingue cuándo es una dificultad normativa y cuándo es una carga administrativa. Juan Carlos describe un caso extremo de una ferretería en un pueblo a la que le han pedido información a través de requerimientos ordinarios de por lo menos 50 municipios de Colombia: Putumayo, Atlántico, Antioquia, Risaralda. Elena introduce una comparación internacional: en Estados Unidos se cuantifican los costos de cumplimiento en horas-hombre, mientras que en Colombia no se mide el costo ante mil ciento tres administraciones tributarias.</w:t>
      </w:r>
    </w:p>
    <w:p>
      <w:pPr>
        <w:jc w:val="both"/>
      </w:pPr>
      <w:r>
        <w:rPr>
          <w:rFonts w:ascii="Montserrat" w:hAnsi="Montserrat"/>
          <w:color w:val="333333"/>
          <w:sz w:val="22"/>
        </w:rPr>
        <w:t>Bogotá, aunque tiene oficinas virtuales y plataformas digitales, sufre el peso del volumen: cuatro millones de contribuyentes que pueden ser en cualquier momento cuatro millones de problemas. Las épocas de cumplimiento primario son, internamente, épocas en las que por dentro se sufre.</w:t>
      </w:r>
    </w:p>
    <w:p>
      <w:pPr>
        <w:spacing w:before="120"/>
      </w:pPr>
      <w:r>
        <w:rPr>
          <w:rFonts w:ascii="Montserrat" w:hAnsi="Montserrat"/>
          <w:b/>
          <w:color w:val="1A1A2E"/>
          <w:sz w:val="22"/>
        </w:rPr>
        <w:t>Eje E. Asimetría de capacidad institucional y tecnológica</w:t>
      </w:r>
    </w:p>
    <w:p>
      <w:pPr>
        <w:jc w:val="both"/>
      </w:pPr>
      <w:r>
        <w:rPr>
          <w:rFonts w:ascii="Montserrat" w:hAnsi="Montserrat"/>
          <w:color w:val="333333"/>
          <w:sz w:val="22"/>
        </w:rPr>
        <w:t>Elena enfatiza que el ICA no tiene el mismo impacto en ciudades con recaudos grandes que ciudades con recaudos pequeños, por lo que no puede hacerse un análisis estándar del ICA. Bogotá cuenta con una subdirección de planeación e inteligencia tributaria que está llena de economistas de las más altas calidades, mientras que muchos municipios solo tienen el secretario de Hacienda y si tiene suerte un profesional especializado. Medellín, por su parte, tiene un área de inteligencia fiscal en la subsecretaría de ingresos, pero esto es excepcional.</w:t>
      </w:r>
    </w:p>
    <w:p>
      <w:pPr>
        <w:spacing w:before="120"/>
      </w:pPr>
      <w:r>
        <w:rPr>
          <w:rFonts w:ascii="Montserrat" w:hAnsi="Montserrat"/>
          <w:b/>
          <w:color w:val="1A1A2E"/>
          <w:sz w:val="22"/>
        </w:rPr>
        <w:t>Eje F. Retención y autorretención: eficiencia recaudatoria versus litigiosidad</w:t>
      </w:r>
    </w:p>
    <w:p>
      <w:pPr>
        <w:jc w:val="both"/>
      </w:pPr>
      <w:r>
        <w:rPr>
          <w:rFonts w:ascii="Montserrat" w:hAnsi="Montserrat"/>
          <w:color w:val="333333"/>
          <w:sz w:val="22"/>
        </w:rPr>
        <w:t>La retención en la fuente es leída de manera ambivalente. Por un lado, Medellín celebra el éxito recaudatorio de la autorretención (75-80 % del recaudo) mediante 1.600 agentes. Por otro, Juan Carlos advierte que la figura implica una sanción tremenda y un delito vinculado a no practicar las retenciones, lo que genera que los asesores tributarios, ante la duda, respondan automáticamente: retenga. La solidaridad del retenedor, obligado a operar un sistema que desconoce, se convierte en fuente de litigiosidad.</w:t>
      </w:r>
    </w:p>
    <w:p>
      <w:pPr>
        <w:spacing w:before="120"/>
      </w:pPr>
      <w:r>
        <w:rPr>
          <w:rFonts w:ascii="Montserrat" w:hAnsi="Montserrat"/>
          <w:b/>
          <w:color w:val="1A1A2E"/>
          <w:sz w:val="22"/>
        </w:rPr>
        <w:t>Eje G. Régimen Simple de Tributación: autonomía formal versus dependencia real</w:t>
      </w:r>
    </w:p>
    <w:p>
      <w:pPr>
        <w:jc w:val="both"/>
      </w:pPr>
      <w:r>
        <w:rPr>
          <w:rFonts w:ascii="Montserrat" w:hAnsi="Montserrat"/>
          <w:color w:val="333333"/>
          <w:sz w:val="22"/>
        </w:rPr>
        <w:t>Elena señala que, si bien la Corte Constitucional declaró que la autonomía territorial no se pierde con el Régimen Simple porque el municipio conserva la titularidad del impuesto, en la práctica yo siendo dueño del ingreso dependo de que un funcionario de otra entidad le dé prioridad a los procesos que son tuyos. La DIAN no remite oportunamente la información, y las entidades financieras han dejado de enviar las partidas identificadas, generando anticipos que no pueden ser ejecutados en el gasto.</w:t>
      </w:r>
    </w:p>
    <w:p>
      <w:pPr>
        <w:pStyle w:val="Heading2"/>
      </w:pPr>
      <w:r>
        <w:rPr>
          <w:color w:val="0AB6F2"/>
        </w:rPr>
        <w:t>Retos que dificultan la solución</w:t>
      </w:r>
    </w:p>
    <w:p>
      <w:pPr>
        <w:jc w:val="both"/>
      </w:pPr>
      <w:r>
        <w:rPr>
          <w:rFonts w:ascii="Montserrat" w:hAnsi="Montserrat"/>
          <w:color w:val="333333"/>
          <w:sz w:val="22"/>
        </w:rPr>
        <w:t>Los retos identificados en el discurso no son meras dificultades operativas, sino barreras estructurales que condicionan la viabilidad de cualquier reforma fiscal territorial. El primero ---actualizar el diseño estructural del ICA--- emerge como una condición necesaria pero no suficiente para la autonomía.</w:t>
      </w:r>
    </w:p>
    <w:p>
      <w:pPr>
        <w:spacing w:after="120"/>
        <w:ind w:left="360" w:hanging="360"/>
      </w:pPr>
      <w:r>
        <w:rPr>
          <w:rFonts w:ascii="Montserrat" w:hAnsi="Montserrat"/>
          <w:color w:val="0B43F7"/>
          <w:sz w:val="20"/>
        </w:rPr>
        <w:t>●</w:t>
        <w:tab/>
      </w:r>
      <w:r>
        <w:rPr>
          <w:rFonts w:ascii="Montserrat" w:hAnsi="Montserrat"/>
          <w:color w:val="333333"/>
          <w:sz w:val="22"/>
        </w:rPr>
        <w:t>Actualizar el diseño estructural del ICA sin desarticular su importancia recaudatoria ni la administrabilidad municipal. Barrera normativa y técnica, identificada por ambos panelistas, de impacto transversal alto.</w:t>
      </w:r>
    </w:p>
    <w:p>
      <w:pPr>
        <w:spacing w:after="120"/>
        <w:ind w:left="360" w:hanging="360"/>
      </w:pPr>
      <w:r>
        <w:rPr>
          <w:rFonts w:ascii="Montserrat" w:hAnsi="Montserrat"/>
          <w:color w:val="0AB6F2"/>
          <w:sz w:val="20"/>
        </w:rPr>
        <w:t>●</w:t>
        <w:tab/>
      </w:r>
      <w:r>
        <w:rPr>
          <w:rFonts w:ascii="Montserrat" w:hAnsi="Montserrat"/>
          <w:color w:val="333333"/>
          <w:sz w:val="22"/>
        </w:rPr>
        <w:t>Definir territorialidad para servicios digitales, plataformas y actividades sin presencia física, superando la rigidez del artículo 433 de la Ley 1819/2016. Barrera normativa, identificada por Elena y Juan Carlos, de impacto territorializado alto.</w:t>
      </w:r>
    </w:p>
    <w:p>
      <w:pPr>
        <w:spacing w:after="120"/>
        <w:ind w:left="360" w:hanging="360"/>
      </w:pPr>
      <w:r>
        <w:rPr>
          <w:rFonts w:ascii="Montserrat" w:hAnsi="Montserrat"/>
          <w:color w:val="00CC30"/>
          <w:sz w:val="20"/>
        </w:rPr>
        <w:t>●</w:t>
        <w:tab/>
      </w:r>
      <w:r>
        <w:rPr>
          <w:rFonts w:ascii="Montserrat" w:hAnsi="Montserrat"/>
          <w:color w:val="333333"/>
          <w:sz w:val="22"/>
        </w:rPr>
        <w:t>Reducir la dispersión normativa entre Bogotá, ciudades capitales y régimen nacional para disminuir incertidumbre y conflictos de interpretación. Barrera normativa, identificada por Juan Carlos, de impacto transversal alto.</w:t>
      </w:r>
    </w:p>
    <w:p>
      <w:pPr>
        <w:spacing w:after="120"/>
        <w:ind w:left="360" w:hanging="360"/>
      </w:pPr>
      <w:r>
        <w:rPr>
          <w:rFonts w:ascii="Montserrat" w:hAnsi="Montserrat"/>
          <w:color w:val="6CD3A5"/>
          <w:sz w:val="20"/>
        </w:rPr>
        <w:t>●</w:t>
        <w:tab/>
      </w:r>
      <w:r>
        <w:rPr>
          <w:rFonts w:ascii="Montserrat" w:hAnsi="Montserrat"/>
          <w:color w:val="333333"/>
          <w:sz w:val="22"/>
        </w:rPr>
        <w:t>Simplificar el cumplimiento: multiplicidad de declaraciones, retenciones, información exógena y calendarios tributarios dispares. Barrera administrativa, identificada por ambos, de impacto transversal alto.</w:t>
      </w:r>
    </w:p>
    <w:p>
      <w:pPr>
        <w:spacing w:after="120"/>
        <w:ind w:left="360" w:hanging="360"/>
      </w:pPr>
      <w:r>
        <w:rPr>
          <w:rFonts w:ascii="Montserrat" w:hAnsi="Montserrat"/>
          <w:color w:val="0B43F7"/>
          <w:sz w:val="20"/>
        </w:rPr>
        <w:t>●</w:t>
        <w:tab/>
      </w:r>
      <w:r>
        <w:rPr>
          <w:rFonts w:ascii="Montserrat" w:hAnsi="Montserrat"/>
          <w:color w:val="333333"/>
          <w:sz w:val="22"/>
        </w:rPr>
        <w:t>Fortalecer capacidades municipales en tecnología, datos y equipos técnicos, evitando que la reforma se traduzca en mayor centralización del recaudo. Barrera institucional y tecnológica, identificada por Elena, de impacto territorializado crítico.</w:t>
      </w:r>
    </w:p>
    <w:p>
      <w:pPr>
        <w:spacing w:after="120"/>
        <w:ind w:left="360" w:hanging="360"/>
      </w:pPr>
      <w:r>
        <w:rPr>
          <w:rFonts w:ascii="Montserrat" w:hAnsi="Montserrat"/>
          <w:color w:val="0AB6F2"/>
          <w:sz w:val="20"/>
        </w:rPr>
        <w:t>●</w:t>
        <w:tab/>
      </w:r>
      <w:r>
        <w:rPr>
          <w:rFonts w:ascii="Montserrat" w:hAnsi="Montserrat"/>
          <w:color w:val="333333"/>
          <w:sz w:val="22"/>
        </w:rPr>
        <w:t>Adaptar la fiscalización a la economía digital sin violar el debido proceso ni generar requerimientos masivos inasumibles para pequeños contribuyentes. Barrera tecnológica y jurídica, identificada por ambos, de impacto territorializado alto.</w:t>
      </w:r>
    </w:p>
    <w:p>
      <w:pPr>
        <w:spacing w:after="120"/>
        <w:ind w:left="360" w:hanging="360"/>
      </w:pPr>
      <w:r>
        <w:rPr>
          <w:rFonts w:ascii="Montserrat" w:hAnsi="Montserrat"/>
          <w:color w:val="00CC30"/>
          <w:sz w:val="20"/>
        </w:rPr>
        <w:t>●</w:t>
        <w:tab/>
      </w:r>
      <w:r>
        <w:rPr>
          <w:rFonts w:ascii="Montserrat" w:hAnsi="Montserrat"/>
          <w:color w:val="333333"/>
          <w:sz w:val="22"/>
        </w:rPr>
        <w:t>Equilibrar control y carga: asegurar que retención y autorretención aporten flujo de caja y fiscalización sin convertir al contribuyente en rehén del sistema. Barrera administrativa y jurídica, identificada por Juan Carlos y Elena (matizada), de impacto transversal medio-alto.</w:t>
      </w:r>
    </w:p>
    <w:p>
      <w:pPr>
        <w:pStyle w:val="Heading2"/>
      </w:pPr>
      <w:r>
        <w:rPr>
          <w:color w:val="00CC30"/>
        </w:rPr>
        <w:t>Soluciones y propuestas</w:t>
      </w:r>
    </w:p>
    <w:p>
      <w:pPr>
        <w:jc w:val="both"/>
      </w:pPr>
      <w:r>
        <w:rPr>
          <w:rFonts w:ascii="Montserrat" w:hAnsi="Montserrat"/>
          <w:color w:val="333333"/>
          <w:sz w:val="22"/>
        </w:rPr>
        <w:t>Las propuestas emergen de la intersección entre el diagnóstico técnico y la experiencia operativa, configurando un menú de reformas que van desde la estructura normativa hasta la gestión del relacionamiento con el contribuyente.</w:t>
      </w:r>
    </w:p>
    <w:p>
      <w:pPr>
        <w:spacing w:after="120"/>
        <w:ind w:left="360" w:hanging="360"/>
      </w:pPr>
      <w:r>
        <w:rPr>
          <w:rFonts w:ascii="Montserrat" w:hAnsi="Montserrat"/>
          <w:color w:val="0B43F7"/>
          <w:sz w:val="20"/>
        </w:rPr>
        <w:t>●</w:t>
        <w:tab/>
      </w:r>
      <w:r>
        <w:rPr>
          <w:rFonts w:ascii="Montserrat" w:hAnsi="Montserrat"/>
          <w:color w:val="333333"/>
          <w:sz w:val="22"/>
        </w:rPr>
        <w:t>Reforma estructural integral del ICA: revisar base gravable, tarifas y hecho generador para adecuarlo a la economía actual, sin eliminarlo. Propuesta de Elena y Juan Carlos, de replicabilidad dependiente de reforma legislativa nacional.</w:t>
      </w:r>
    </w:p>
    <w:p>
      <w:pPr>
        <w:spacing w:after="120"/>
        <w:ind w:left="360" w:hanging="360"/>
      </w:pPr>
      <w:r>
        <w:rPr>
          <w:rFonts w:ascii="Montserrat" w:hAnsi="Montserrat"/>
          <w:color w:val="0AB6F2"/>
          <w:sz w:val="20"/>
        </w:rPr>
        <w:t>●</w:t>
        <w:tab/>
      </w:r>
      <w:r>
        <w:rPr>
          <w:rFonts w:ascii="Montserrat" w:hAnsi="Montserrat"/>
          <w:color w:val="333333"/>
          <w:sz w:val="22"/>
        </w:rPr>
        <w:t>Tarifas progresivas o diferenciadas que reconozcan márgenes de utilidad distintos por actividad, acotadas a la realidad municipal. Propuesta de Elena, de baja replicabilidad inmediata por requerir capacidad técnica.</w:t>
      </w:r>
    </w:p>
    <w:p>
      <w:pPr>
        <w:spacing w:after="120"/>
        <w:ind w:left="360" w:hanging="360"/>
      </w:pPr>
      <w:r>
        <w:rPr>
          <w:rFonts w:ascii="Montserrat" w:hAnsi="Montserrat"/>
          <w:color w:val="00CC30"/>
          <w:sz w:val="20"/>
        </w:rPr>
        <w:t>●</w:t>
        <w:tab/>
      </w:r>
      <w:r>
        <w:rPr>
          <w:rFonts w:ascii="Montserrat" w:hAnsi="Montserrat"/>
          <w:color w:val="333333"/>
          <w:sz w:val="22"/>
        </w:rPr>
        <w:t>Clarificación normativa de territorialidad para servicios digitales y plataformas, posiblemente aprendiendo de la solución dada primero a impuestos nacionales. Propuesta de Elena, de replicabilidad media.</w:t>
      </w:r>
    </w:p>
    <w:p>
      <w:pPr>
        <w:spacing w:after="120"/>
        <w:ind w:left="360" w:hanging="360"/>
      </w:pPr>
      <w:r>
        <w:rPr>
          <w:rFonts w:ascii="Montserrat" w:hAnsi="Montserrat"/>
          <w:color w:val="6CD3A5"/>
          <w:sz w:val="20"/>
        </w:rPr>
        <w:t>●</w:t>
        <w:tab/>
      </w:r>
      <w:r>
        <w:rPr>
          <w:rFonts w:ascii="Montserrat" w:hAnsi="Montserrat"/>
          <w:color w:val="333333"/>
          <w:sz w:val="22"/>
        </w:rPr>
        <w:t>Unificación de criterios normativos entre regímenes para reducir conflictos de interpretación y litigiosidad. Propuesta de Juan Carlos, de alta replicabilidad si hay voluntad legislativa.</w:t>
      </w:r>
    </w:p>
    <w:p>
      <w:pPr>
        <w:spacing w:after="120"/>
        <w:ind w:left="360" w:hanging="360"/>
      </w:pPr>
      <w:r>
        <w:rPr>
          <w:rFonts w:ascii="Montserrat" w:hAnsi="Montserrat"/>
          <w:color w:val="0B43F7"/>
          <w:sz w:val="20"/>
        </w:rPr>
        <w:t>●</w:t>
        <w:tab/>
      </w:r>
      <w:r>
        <w:rPr>
          <w:rFonts w:ascii="Montserrat" w:hAnsi="Montserrat"/>
          <w:color w:val="333333"/>
          <w:sz w:val="22"/>
        </w:rPr>
        <w:t>Modernización de la gestión tributaria: oficinas virtuales, autogestión, publicación de acuerdos distritales con relatorías, inteligencia fiscal. Evidencia en Bogotá (oficina virtual, declaraciones sin papel) y Medellín (inteligencia fiscal + autorretención).</w:t>
      </w:r>
    </w:p>
    <w:p>
      <w:pPr>
        <w:spacing w:after="120"/>
        <w:ind w:left="360" w:hanging="360"/>
      </w:pPr>
      <w:r>
        <w:rPr>
          <w:rFonts w:ascii="Montserrat" w:hAnsi="Montserrat"/>
          <w:color w:val="0AB6F2"/>
          <w:sz w:val="20"/>
        </w:rPr>
        <w:t>●</w:t>
        <w:tab/>
      </w:r>
      <w:r>
        <w:rPr>
          <w:rFonts w:ascii="Montserrat" w:hAnsi="Montserrat"/>
          <w:color w:val="333333"/>
          <w:sz w:val="22"/>
        </w:rPr>
        <w:t>Racionalización de cargas formales: simplificar declaraciones, reportes y requerimientos; evitar pedidos masivos de información exógena a pequeños contribuyentes. Propuesta de Juan Carlos, de alta replicabilidad.</w:t>
      </w:r>
    </w:p>
    <w:p>
      <w:pPr>
        <w:spacing w:after="120"/>
        <w:ind w:left="360" w:hanging="360"/>
      </w:pPr>
      <w:r>
        <w:rPr>
          <w:rFonts w:ascii="Montserrat" w:hAnsi="Montserrat"/>
          <w:color w:val="00CC30"/>
          <w:sz w:val="20"/>
        </w:rPr>
        <w:t>●</w:t>
        <w:tab/>
      </w:r>
      <w:r>
        <w:rPr>
          <w:rFonts w:ascii="Montserrat" w:hAnsi="Montserrat"/>
          <w:color w:val="333333"/>
          <w:sz w:val="22"/>
        </w:rPr>
        <w:t>Mejorar el protocolo de información del Régimen Simple: garantizar que la DIAN transfiera datos oportunamente y que los bancos distribuyan las partidas correctamente. Funcionó hasta hace seis meses; actualmente en crisis.</w:t>
      </w:r>
    </w:p>
    <w:p>
      <w:pPr>
        <w:spacing w:after="120"/>
        <w:ind w:left="360" w:hanging="360"/>
      </w:pPr>
      <w:r>
        <w:rPr>
          <w:rFonts w:ascii="Montserrat" w:hAnsi="Montserrat"/>
          <w:color w:val="6CD3A5"/>
          <w:sz w:val="20"/>
        </w:rPr>
        <w:t>●</w:t>
        <w:tab/>
      </w:r>
      <w:r>
        <w:rPr>
          <w:rFonts w:ascii="Montserrat" w:hAnsi="Montserrat"/>
          <w:color w:val="333333"/>
          <w:sz w:val="22"/>
        </w:rPr>
        <w:t>Relación pedagógica con el contribuyente: reconocimiento público, transparencia en el uso de recursos, eventos como el Día del Contribuyente. Evidencia en Medellín (Acuerdo 038/2025): análisis de datos + evento de reconocimiento.</w:t>
      </w:r>
    </w:p>
    <w:p>
      <w:pPr>
        <w:spacing w:after="120"/>
        <w:ind w:left="360" w:hanging="360"/>
      </w:pPr>
      <w:r>
        <w:rPr>
          <w:rFonts w:ascii="Montserrat" w:hAnsi="Montserrat"/>
          <w:color w:val="0B43F7"/>
          <w:sz w:val="20"/>
        </w:rPr>
        <w:t>●</w:t>
        <w:tab/>
      </w:r>
      <w:r>
        <w:rPr>
          <w:rFonts w:ascii="Montserrat" w:hAnsi="Montserrat"/>
          <w:color w:val="333333"/>
          <w:sz w:val="22"/>
        </w:rPr>
        <w:t>Alianzas con Cámaras de Comercio para conocer el tejido empresarial local y mejorar la segmentación de contribuyentes. Propuesta de Elena, de alta replicabilidad.</w:t>
      </w:r>
    </w:p>
    <w:p>
      <w:pPr>
        <w:spacing w:after="120"/>
        <w:ind w:left="360" w:hanging="360"/>
      </w:pPr>
      <w:r>
        <w:rPr>
          <w:rFonts w:ascii="Montserrat" w:hAnsi="Montserrat"/>
          <w:color w:val="0AB6F2"/>
          <w:sz w:val="20"/>
        </w:rPr>
        <w:t>●</w:t>
        <w:tab/>
      </w:r>
      <w:r>
        <w:rPr>
          <w:rFonts w:ascii="Montserrat" w:hAnsi="Montserrat"/>
          <w:color w:val="333333"/>
          <w:sz w:val="22"/>
        </w:rPr>
        <w:t>Equipos de análisis de datos e inteligencia fiscal en entidades territoriales, replicables al menos en ciudades intermedias. Evidencia en Medellín (subsecretaría de ingresos) y Bogotá (subdirección de planeación).</w:t>
      </w:r>
    </w:p>
    <w:p>
      <w:pPr>
        <w:pStyle w:val="Heading2"/>
      </w:pPr>
      <w:r>
        <w:rPr>
          <w:color w:val="6CD3A5"/>
        </w:rPr>
        <w:t>Sinergias interinstitucionales</w:t>
      </w:r>
    </w:p>
    <w:p>
      <w:pPr>
        <w:jc w:val="both"/>
      </w:pPr>
      <w:r>
        <w:rPr>
          <w:rFonts w:ascii="Montserrat" w:hAnsi="Montserrat"/>
          <w:color w:val="333333"/>
          <w:sz w:val="22"/>
        </w:rPr>
        <w:t>El discurso revela un ecosistema de articulaciones que opera en tres planos simultáneos: el horizontal territorial, el vertical legislativo-normativo y el de conocimiento y política pública.</w:t>
      </w:r>
    </w:p>
    <w:p>
      <w:pPr>
        <w:jc w:val="both"/>
      </w:pPr>
      <w:r>
        <w:rPr>
          <w:rFonts w:ascii="Montserrat" w:hAnsi="Montserrat"/>
          <w:color w:val="333333"/>
          <w:sz w:val="22"/>
        </w:rPr>
        <w:t>En el plano horizontal territorial, la relación entre administración y contribuyente emerge como una sinergia por construir. Elena insiste en que el incumplimiento tributario tiene muchas causas y tiene que ser atacadas de forma diferente, una de ellas siendo la falta de facilidad en el cumplimiento. La transparencia y el reconocimiento público ---como el Día del Contribuyente de Medellín--- operan como palancas de legitimidad.</w:t>
      </w:r>
    </w:p>
    <w:p>
      <w:pPr>
        <w:pStyle w:val="Quote"/>
      </w:pPr>
      <w:r>
        <w:rPr>
          <w:rFonts w:ascii="Georgia" w:hAnsi="Georgia"/>
          <w:i/>
          <w:color w:val="1A1A2E"/>
          <w:sz w:val="21"/>
        </w:rPr>
        <w:t>cuando usted entiende cuál es el propósito de pagar sus impuestos, usted entiende por qué es tan importante pagar y por qué la ciudad empieza a tener confianza y empieza a sentirse tranquila de pagar sus impuestos</w:t>
      </w:r>
    </w:p>
    <w:p>
      <w:pPr>
        <w:jc w:val="both"/>
      </w:pPr>
      <w:r>
        <w:rPr>
          <w:rFonts w:ascii="Montserrat" w:hAnsi="Montserrat"/>
          <w:color w:val="333333"/>
          <w:sz w:val="22"/>
        </w:rPr>
        <w:t>En el plano vertical, la relación Nación-territorios se presenta como una tensión estructural. Elena señala que somos el gran olvidado en las reformas tributarias del orden nacional. La sinergia requerida no es meramente consultiva: implica incluir un componente territorial robusto cada vez que haya un trámite de reforma tributaria en el Congreso.</w:t>
      </w:r>
    </w:p>
    <w:p>
      <w:pPr>
        <w:pStyle w:val="Quote"/>
      </w:pPr>
      <w:r>
        <w:rPr>
          <w:rFonts w:ascii="Georgia" w:hAnsi="Georgia"/>
          <w:i/>
          <w:color w:val="1A1A2E"/>
          <w:sz w:val="21"/>
        </w:rPr>
        <w:t>el ICA no puede ser abordado por el legislador una vez cada 100 años... cada vez que haya un trámite de reforma de los tributos en el Congreso tiene que haber un componente territorial y no lo que usualmente vemos: tres artículos tienen tres artículos y ya, y el resto es nacional</w:t>
      </w:r>
    </w:p>
    <w:p>
      <w:pPr>
        <w:jc w:val="both"/>
      </w:pPr>
      <w:r>
        <w:rPr>
          <w:rFonts w:ascii="Montserrat" w:hAnsi="Montserrat"/>
          <w:color w:val="333333"/>
          <w:sz w:val="22"/>
        </w:rPr>
        <w:t>En el plano de conocimiento, la articulación entre expertos y gestores públicos permite distinguir qué problemas son normativos y cuáles son de gestión. El moderador insiste en esta distinción: ¿el problema es el impuesto realmente o es la forma en que administramos este impuesto? Los panelistas resisten la reducción, mostrando que en el ICA la ley y la gestión son inseparables.</w:t>
      </w:r>
    </w:p>
    <w:p>
      <w:pPr>
        <w:jc w:val="both"/>
      </w:pPr>
      <w:r>
        <w:rPr>
          <w:rFonts w:ascii="Montserrat" w:hAnsi="Montserrat"/>
          <w:color w:val="333333"/>
          <w:sz w:val="22"/>
        </w:rPr>
        <w:t>Finalmente, la sinergia entre tecnología y gestión tributaria se presenta como condición necesaria pero no suficiente. Bogotá y Medellín han invertido en oficinas virtuales e inteligencia fiscal, pero la brecha digital entre municipios grandes y pequeños constituye una barrera de entrada que reproduce la asimetría.</w:t>
      </w:r>
    </w:p>
    <w:p>
      <w:pPr>
        <w:pStyle w:val="Heading2"/>
      </w:pPr>
      <w:r>
        <w:t>2. SÍNTESIS ESTRATÉGICA Y HALLAZGOS PRINCIPALES</w:t>
      </w:r>
    </w:p>
    <w:p>
      <w:pPr>
        <w:jc w:val="both"/>
      </w:pPr>
      <w:r>
        <w:rPr>
          <w:rFonts w:ascii="Montserrat" w:hAnsi="Montserrat"/>
          <w:color w:val="333333"/>
          <w:sz w:val="22"/>
        </w:rPr>
        <w:t>La intervención de los panelistas constituye un diagnóstico de política pública que articula cinco niveles de análisis: (1) una lectura técnica de la base gravable y sus distorsiones; (2) una evaluación normativa de la rigidez y dispersión del marco legal; (3) un análisis territorial de la asimetría entre municipios; (4) una propuesta de modernización administrativa con evidencia de Bogotá y Medellín; y (5) una convocatoria a la coordinación nacional-territorial como condición de viabilidad de cualquier reforma.</w:t>
      </w:r>
    </w:p>
    <w:p>
      <w:pPr>
        <w:jc w:val="both"/>
      </w:pPr>
      <w:r>
        <w:rPr>
          <w:rFonts w:ascii="Montserrat" w:hAnsi="Montserrat"/>
          <w:color w:val="333333"/>
          <w:sz w:val="22"/>
        </w:rPr>
        <w:t>El hallazgo principal es que la crisis del ICA no es un problema de insuficiencia de recaudo, sino de arquitectura institucional: se diseñó un impuesto simple para municipios simples, pero hoy los municipios simples no pueden administrarlo y los municipios complejos lo necesitan más sofisticado. La simplicidad original se petrificó en rigidez. El contribuyente no paga solo un impuesto; paga el costo de la generalización territorial ---la imposibilidad de que 1.103 universos normativos actúen como si fueran uno solo, sin que exista una instancia de coordinación que internalice esa externalidad.</w:t>
      </w:r>
    </w:p>
    <w:p>
      <w:pPr>
        <w:jc w:val="both"/>
      </w:pPr>
      <w:r>
        <w:rPr>
          <w:rFonts w:ascii="Montserrat" w:hAnsi="Montserrat"/>
          <w:color w:val="333333"/>
          <w:sz w:val="22"/>
        </w:rPr>
        <w:t>El segundo hallazgo es la existencia de una tensión no resuelta entre la lógica técnico-tributaria (progresividad, base técnica, territorialidad precisa) y la lógica administrativo-territorial (simplicidad para 1.103 municipios). Cualquier reforma que ignore esta tensión reproducirá el Frankenstein actual bajo otra forma. Elena prioriza la territorialidad como necesidad inmediata; Juan Carlos enfatiza la dispersión normativa y el diseño estructural. La tensión refleja una diferencia de enfoque: Elena habla desde la operación diaria de una gran administración que sufre la incertidumbre jurídica; Juan Carlos desde el análisis normativo que ve contradicciones de origen.</w:t>
      </w:r>
    </w:p>
    <w:p>
      <w:pPr>
        <w:jc w:val="both"/>
      </w:pPr>
      <w:r>
        <w:rPr>
          <w:rFonts w:ascii="Montserrat" w:hAnsi="Montserrat"/>
          <w:color w:val="333333"/>
          <w:sz w:val="22"/>
        </w:rPr>
        <w:t>El tercer hallazgo es que la brecha entre Bogotá/Medellín y el resto del país es abismal. Una reforma del ICA que exija mayor sofisticación técnica o tecnológica sin una estrategia de asistencia técnica y transferencia de capacidades consolidará la centralización recaudatoria en las grandes ciudades y dejará a los municipios pequeños con menos recursos y mayores costos de cumplimiento. La ferretería de un pueblo que debe responder a 50 municipios es la metonimia de un sistema que penaliza la dispersión territorial sin ofrecer mecanismos de coordinación.</w:t>
      </w:r>
    </w:p>
    <w:p>
      <w:pPr>
        <w:jc w:val="both"/>
      </w:pPr>
      <w:r>
        <w:rPr>
          <w:rFonts w:ascii="Montserrat" w:hAnsi="Montserrat"/>
          <w:color w:val="333333"/>
          <w:sz w:val="22"/>
        </w:rPr>
        <w:t>El cuarto hallazgo es la ambivalencia estructural de la retención y autorretención. Medellín celebra el éxito recaudatorio (75-80 % del ICA mediante 1.600 agentes de autorretención), pero Juan Carlos advierte que la figura es demasiado compleja para nosotros, un cumpleaños para los particulares. La tensión entre eficiencia fiscal y costo jurídico-administrativo no se resuelve en el panel, dejando una pregunta pendiente: ¿es posible diseñar una figura de intermediación recaudatoria que no convierta al retenedor en rehén del sistema?</w:t>
      </w:r>
    </w:p>
    <w:p>
      <w:pPr>
        <w:jc w:val="both"/>
      </w:pPr>
      <w:r>
        <w:rPr>
          <w:rFonts w:ascii="Montserrat" w:hAnsi="Montserrat"/>
          <w:color w:val="333333"/>
          <w:sz w:val="22"/>
        </w:rPr>
        <w:t>El quinto hallazgo es la paradoja del Régimen Simple: la autonomía formal del municipio sobre el impuesto se contradice con la dependencia real de la DIAN y de las entidades financieras para la información y la transferencia de recursos. La titularidad jurídica no garantiza la titularidad operativa, generando un vacío de gobernanza que afecta la capacidad de gasto territorial.</w:t>
      </w:r>
    </w:p>
    <w:p>
      <w:pPr>
        <w:pStyle w:val="Heading2"/>
      </w:pPr>
      <w:r>
        <w:t>3. IMPLICACIONES PARA POLÍTICA PÚBLICA</w:t>
      </w:r>
    </w:p>
    <w:p>
      <w:pPr>
        <w:spacing w:before="120"/>
      </w:pPr>
      <w:r>
        <w:rPr>
          <w:rFonts w:ascii="Montserrat" w:hAnsi="Montserrat"/>
          <w:b/>
          <w:color w:val="1A1A2E"/>
          <w:sz w:val="22"/>
        </w:rPr>
        <w:t>Nacional</w:t>
      </w:r>
    </w:p>
    <w:p>
      <w:pPr>
        <w:jc w:val="both"/>
      </w:pPr>
      <w:r>
        <w:rPr>
          <w:rFonts w:ascii="Montserrat" w:hAnsi="Montserrat"/>
          <w:color w:val="333333"/>
          <w:sz w:val="22"/>
        </w:rPr>
        <w:t>La propuesta de reforma estructural del ICA requiere evaluación técnica por parte del Ministerio de Hacienda y Crédito Público, el DNP y el Ministerio del Interior para determinar su viabilidad fiscal y su coherencia con el marco de reglas fiscales. El impacto de una tarifa progresiva o de una redefinición de la territorialidad debe contrastarse con las proyecciones de sostenibilidad de la deuda pública a mediano plazo y con la capacidad recaudatoria de los municipios pequeños. La inclusión de un componente territorial robusto en cada reforma tributaria nacional no es un lujo institucional sino una condición de legitimidad del sistema: si el ICA sigue siendo el gran olvidado, la desconexión entre norma nacional y realidad territorial se profundizará.</w:t>
      </w:r>
    </w:p>
    <w:p>
      <w:pPr>
        <w:spacing w:before="120"/>
      </w:pPr>
      <w:r>
        <w:rPr>
          <w:rFonts w:ascii="Montserrat" w:hAnsi="Montserrat"/>
          <w:b/>
          <w:color w:val="1A1A2E"/>
          <w:sz w:val="22"/>
        </w:rPr>
        <w:t>Territorial</w:t>
      </w:r>
    </w:p>
    <w:p>
      <w:pPr>
        <w:jc w:val="both"/>
      </w:pPr>
      <w:r>
        <w:rPr>
          <w:rFonts w:ascii="Montserrat" w:hAnsi="Montserrat"/>
          <w:color w:val="333333"/>
          <w:sz w:val="22"/>
        </w:rPr>
        <w:t>Los departamentos y municipios deben evaluar sus capacidades institucionales para asumir las reformas propuestas, particularmente en materia de gestión del riesgo fiscal, planeación del gasto y evaluación de resultados. La propuesta no es automáticamente beneficiosa para todos los territorios si no se acompaña de fortalecimiento institucional. Las experiencias de Bogotá (oficinas virtuales, inteligencia tributaria) y Medellín (autorretención masiva, inteligencia fiscal) deben sistematizarse como modelos de cooperación técnica horizontal para municipios intermedios y pequeños, evitando el paternalismo y reconociendo las diferencias de escala.</w:t>
      </w:r>
    </w:p>
    <w:p>
      <w:pPr>
        <w:spacing w:before="120"/>
      </w:pPr>
      <w:r>
        <w:rPr>
          <w:rFonts w:ascii="Montserrat" w:hAnsi="Montserrat"/>
          <w:b/>
          <w:color w:val="1A1A2E"/>
          <w:sz w:val="22"/>
        </w:rPr>
        <w:t>Sectorial</w:t>
      </w:r>
    </w:p>
    <w:p>
      <w:pPr>
        <w:jc w:val="both"/>
      </w:pPr>
      <w:r>
        <w:rPr>
          <w:rFonts w:ascii="Montserrat" w:hAnsi="Montserrat"/>
          <w:color w:val="333333"/>
          <w:sz w:val="22"/>
        </w:rPr>
        <w:t>Los sectores de comercio, servicios digitales y plataformas tecnológicas deben analizar cómo una redefinición de la territorialidad y de la base gravable afectaría sus costos de cumplimiento y su estructura de competencia. La economía digital, descrita en el panel como una actividad sin estado que migra datos en microsegundos entre jurisdicciones, requiere un marco normativo que no solo grave sino que facilite el cumplimiento. La Cámara de Comercio de Bogotá y los gremios sectoriales tienen un rol clave en la construcción de un sistema de información que reduzca la asimetría entre administraciones y contribuyentes.</w:t>
      </w:r>
    </w:p>
    <w:p>
      <w:pPr>
        <w:pStyle w:val="Heading2"/>
      </w:pPr>
      <w:r>
        <w:t>4. PRÓXIMOS PASOS Y RECOMENDACIONES DE INCIDENCIA</w:t>
      </w:r>
    </w:p>
    <w:p>
      <w:pPr>
        <w:spacing w:after="120"/>
        <w:ind w:left="360" w:hanging="360"/>
      </w:pPr>
      <w:r>
        <w:rPr>
          <w:rFonts w:ascii="Montserrat" w:hAnsi="Montserrat"/>
          <w:color w:val="0B43F7"/>
          <w:sz w:val="20"/>
        </w:rPr>
        <w:t>●</w:t>
        <w:tab/>
      </w:r>
      <w:r>
        <w:rPr>
          <w:rFonts w:ascii="Montserrat" w:hAnsi="Montserrat"/>
          <w:color w:val="333333"/>
          <w:sz w:val="22"/>
        </w:rPr>
        <w:t>Análisis jurídico de la viabilidad constitucional de una reforma integral del ICA (artículos 300, 356 y siguientes) y de su articulación con el régimen de reglas fiscales, el Sistema General de Participaciones y la Ley 1819 de 2016.</w:t>
      </w:r>
    </w:p>
    <w:p>
      <w:pPr>
        <w:spacing w:after="120"/>
        <w:ind w:left="360" w:hanging="360"/>
      </w:pPr>
      <w:r>
        <w:rPr>
          <w:rFonts w:ascii="Montserrat" w:hAnsi="Montserrat"/>
          <w:color w:val="0AB6F2"/>
          <w:sz w:val="20"/>
        </w:rPr>
        <w:t>●</w:t>
        <w:tab/>
      </w:r>
      <w:r>
        <w:rPr>
          <w:rFonts w:ascii="Montserrat" w:hAnsi="Montserrat"/>
          <w:color w:val="333333"/>
          <w:sz w:val="22"/>
        </w:rPr>
        <w:t>Mapeo de la coalición parlamentaria y territorial: identificación de congresistas, gobernadores y alcaldes interesados en incluir un componente territorial robusto en la próxima reforma tributaria, con estrategia de ampliación de respaldo legislativo.</w:t>
      </w:r>
    </w:p>
    <w:p>
      <w:pPr>
        <w:spacing w:after="120"/>
        <w:ind w:left="360" w:hanging="360"/>
      </w:pPr>
      <w:r>
        <w:rPr>
          <w:rFonts w:ascii="Montserrat" w:hAnsi="Montserrat"/>
          <w:color w:val="00CC30"/>
          <w:sz w:val="20"/>
        </w:rPr>
        <w:t>●</w:t>
        <w:tab/>
      </w:r>
      <w:r>
        <w:rPr>
          <w:rFonts w:ascii="Montserrat" w:hAnsi="Montserrat"/>
          <w:color w:val="333333"/>
          <w:sz w:val="22"/>
        </w:rPr>
        <w:t>Diálogo intergubernamental estructurado entre la Nación, gobernaciones y alcaldías para definir un mapa de competencias claras en materia de ICA que preceda o acompañe cualquier reforma de distribución de recursos o de base gravable.</w:t>
      </w:r>
    </w:p>
    <w:p>
      <w:pPr>
        <w:spacing w:after="120"/>
        <w:ind w:left="360" w:hanging="360"/>
      </w:pPr>
      <w:r>
        <w:rPr>
          <w:rFonts w:ascii="Montserrat" w:hAnsi="Montserrat"/>
          <w:color w:val="6CD3A5"/>
          <w:sz w:val="20"/>
        </w:rPr>
        <w:t>●</w:t>
        <w:tab/>
      </w:r>
      <w:r>
        <w:rPr>
          <w:rFonts w:ascii="Montserrat" w:hAnsi="Montserrat"/>
          <w:color w:val="333333"/>
          <w:sz w:val="22"/>
        </w:rPr>
        <w:t>Documentación de casos de modernización tributaria territorial exitosos en Colombia (Bogotá: oficinas virtuales, declaraciones sin papel, relatorías de acuerdos; Medellín: inteligencia fiscal, autorretención masiva, Día del Contribuyente) como evidencia interna de viabilidad que complemente los referentes internacionales.</w:t>
      </w:r>
    </w:p>
    <w:p>
      <w:pPr>
        <w:spacing w:after="120"/>
        <w:ind w:left="360" w:hanging="360"/>
      </w:pPr>
      <w:r>
        <w:rPr>
          <w:rFonts w:ascii="Montserrat" w:hAnsi="Montserrat"/>
          <w:color w:val="0B43F7"/>
          <w:sz w:val="20"/>
        </w:rPr>
        <w:t>●</w:t>
        <w:tab/>
      </w:r>
      <w:r>
        <w:rPr>
          <w:rFonts w:ascii="Montserrat" w:hAnsi="Montserrat"/>
          <w:color w:val="333333"/>
          <w:sz w:val="22"/>
        </w:rPr>
        <w:t>Diseño de un protocolo vinculante de transferencia de información DIAN-territorios dentro del Régimen Simple, que garantice autonomía real y no solo formal, con mecanismos de resarcimiento por demoras en la entrega de información o en la transferencia de recursos.</w:t>
      </w:r>
    </w:p>
    <w:p>
      <w:pPr>
        <w:spacing w:after="120"/>
        <w:ind w:left="360" w:hanging="360"/>
      </w:pPr>
      <w:r>
        <w:rPr>
          <w:rFonts w:ascii="Montserrat" w:hAnsi="Montserrat"/>
          <w:color w:val="0AB6F2"/>
          <w:sz w:val="20"/>
        </w:rPr>
        <w:t>●</w:t>
        <w:tab/>
      </w:r>
      <w:r>
        <w:rPr>
          <w:rFonts w:ascii="Montserrat" w:hAnsi="Montserrat"/>
          <w:color w:val="333333"/>
          <w:sz w:val="22"/>
        </w:rPr>
        <w:t>Evaluación económica del costo de cumplimiento del ICA en Colombia, replicando la metodología de horas-hombre utilizada en Estados Unidos, para cuantificar la carga que impone la multiplicidad de 1.103 administraciones tributarias sobre un mismo contribuyente.</w:t>
      </w:r>
    </w:p>
    <w:p>
      <w:pPr>
        <w:spacing w:after="120"/>
        <w:ind w:left="360" w:hanging="360"/>
      </w:pPr>
      <w:r>
        <w:rPr>
          <w:rFonts w:ascii="Montserrat" w:hAnsi="Montserrat"/>
          <w:color w:val="00CC30"/>
          <w:sz w:val="20"/>
        </w:rPr>
        <w:t>●</w:t>
        <w:tab/>
      </w:r>
      <w:r>
        <w:rPr>
          <w:rFonts w:ascii="Montserrat" w:hAnsi="Montserrat"/>
          <w:color w:val="333333"/>
          <w:sz w:val="22"/>
        </w:rPr>
        <w:t>Construcción de una estrategia de cooperación técnica horizontal entre grandes ciudades (Bogotá, Medellín, Cali, Barranquilla) y municipios pequeños para la transferencia de capacidades en gestión tributaria, tecnología e inteligencia fiscal.</w:t>
      </w:r>
    </w:p>
    <w:sectPr>
      <w:headerReference r:id="rId7" w:type="default"/>
      <w:footerReference r:id="rId8" w:type="default"/>
      <w:pgSz w:h="15840" w:w="12240" w:orient="portrait"/>
      <w:pgMar w:bottom="1152"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80" w:before="0" w:line="240" w:lineRule="auto"/>
      <w:ind w:left="0" w:right="0" w:firstLine="0"/>
      <w:jc w:val="center"/>
      <w:rPr>
        <w:rFonts w:ascii="Montserrat" w:cs="Montserrat" w:eastAsia="Montserrat" w:hAnsi="Montserrat"/>
        <w:b w:val="0"/>
        <w:bCs w:val="0"/>
        <w:i w:val="0"/>
        <w:iCs w:val="0"/>
        <w:smallCaps w:val="0"/>
        <w:strike w:val="0"/>
        <w:color w:val="333333"/>
        <w:sz w:val="22"/>
        <w:szCs w:val="22"/>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33333"/>
        <w:sz w:val="22"/>
        <w:szCs w:val="22"/>
        <w:u w:val="none"/>
        <w:shd w:fill="auto" w:val="clear"/>
        <w:vertAlign w:val="baseline"/>
      </w:rPr>
      <w:drawing>
        <wp:inline distB="0" distT="0" distL="114300" distR="114300">
          <wp:extent cx="5029200" cy="246810"/>
          <wp:effectExtent b="0" l="0" r="0" t="0"/>
          <wp:docPr id="7"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5029200" cy="24681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before="40" w:lineRule="auto"/>
      <w:jc w:val="center"/>
      <w:rPr/>
    </w:pPr>
    <w:r w:rsidDel="00000000" w:rsidR="00000000" w:rsidRPr="00000000">
      <w:rPr>
        <w:rFonts w:ascii="Montserrat" w:cs="Montserrat" w:eastAsia="Montserrat" w:hAnsi="Montserrat"/>
        <w:b w:val="0"/>
        <w:bCs w:val="0"/>
        <w:i w:val="0"/>
        <w:iCs w:val="0"/>
        <w:color w:val="4a4a5a"/>
        <w:sz w:val="16"/>
        <w:szCs w:val="16"/>
        <w:rtl w:val="0"/>
      </w:rPr>
      <w:t xml:space="preserve">Sistematización FPT 2026 </w:t>
    </w:r>
    <w:r w:rsidDel="00000000" w:rsidR="00000000" w:rsidRPr="00000000">
      <w:rPr>
        <w:color w:val="4a4a5a"/>
        <w:sz w:val="16"/>
        <w:szCs w:val="16"/>
        <w:rtl w:val="0"/>
      </w:rPr>
      <w:t xml:space="preserve"> | </w:t>
    </w:r>
    <w:r w:rsidDel="00000000" w:rsidR="00000000" w:rsidRPr="00000000">
      <w:rPr>
        <w:rFonts w:ascii="Montserrat" w:cs="Montserrat" w:eastAsia="Montserrat" w:hAnsi="Montserrat"/>
        <w:b w:val="0"/>
        <w:bCs w:val="0"/>
        <w:i w:val="0"/>
        <w:iCs w:val="0"/>
        <w:color w:val="4a4a5a"/>
        <w:sz w:val="16"/>
        <w:szCs w:val="16"/>
        <w:rtl w:val="0"/>
      </w:rPr>
      <w:t xml:space="preserve">GOBS Estrategias Públicas</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Montserrat" w:cs="Montserrat" w:eastAsia="Montserrat" w:hAnsi="Montserrat"/>
        <w:b w:val="0"/>
        <w:bCs w:val="0"/>
        <w:i w:val="0"/>
        <w:iCs w:val="0"/>
        <w:smallCaps w:val="0"/>
        <w:strike w:val="0"/>
        <w:color w:val="333333"/>
        <w:sz w:val="22"/>
        <w:szCs w:val="22"/>
        <w:u w:val="none"/>
        <w:shd w:fill="auto" w:val="clear"/>
        <w:vertAlign w:val="baseline"/>
      </w:rPr>
    </w:pPr>
    <w:r w:rsidDel="00000000" w:rsidR="00000000" w:rsidRPr="00000000">
      <w:rPr>
        <w:rtl w:val="0"/>
      </w:rPr>
    </w:r>
  </w:p>
  <w:tbl>
    <w:tblPr>
      <w:tblStyle w:val="Table3"/>
      <w:tblW w:w="9359.999999999998"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024"/>
      <w:gridCol w:w="3312"/>
      <w:gridCol w:w="3024"/>
      <w:tblGridChange w:id="0">
        <w:tblGrid>
          <w:gridCol w:w="3024"/>
          <w:gridCol w:w="3312"/>
          <w:gridCol w:w="3024"/>
        </w:tblGrid>
      </w:tblGridChange>
    </w:tblGrid>
    <w:tr>
      <w:trPr>
        <w:cantSplit w:val="0"/>
        <w:tblHeader w:val="0"/>
      </w:trPr>
      <w:tc>
        <w:tcPr>
          <w:vAlign w:val="center"/>
        </w:tcPr>
        <w:p w:rsidR="00000000" w:rsidDel="00000000" w:rsidP="00000000" w:rsidRDefault="00000000" w:rsidRPr="00000000" w14:paraId="00000016">
          <w:pPr>
            <w:jc w:val="left"/>
            <w:rPr/>
          </w:pPr>
          <w:r w:rsidDel="00000000" w:rsidR="00000000" w:rsidRPr="00000000">
            <w:rPr/>
            <w:drawing>
              <wp:inline distB="0" distT="0" distL="114300" distR="114300">
                <wp:extent cx="1463040" cy="822960"/>
                <wp:effectExtent b="0" l="0" r="0" t="0"/>
                <wp:docPr id="4"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1463040" cy="82296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17">
          <w:pPr>
            <w:jc w:val="center"/>
            <w:rPr/>
          </w:pPr>
          <w:r w:rsidDel="00000000" w:rsidR="00000000" w:rsidRPr="00000000">
            <w:rPr/>
            <w:drawing>
              <wp:inline distB="0" distT="0" distL="114300" distR="114300">
                <wp:extent cx="1280160" cy="1005459"/>
                <wp:effectExtent b="0" l="0" r="0" t="0"/>
                <wp:docPr id="6"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280160" cy="1005459"/>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18">
          <w:pPr>
            <w:jc w:val="right"/>
            <w:rPr/>
          </w:pPr>
          <w:r w:rsidDel="00000000" w:rsidR="00000000" w:rsidRPr="00000000">
            <w:rPr/>
            <w:drawing>
              <wp:inline distB="0" distT="0" distL="114300" distR="114300">
                <wp:extent cx="1645920" cy="423907"/>
                <wp:effectExtent b="0" l="0" r="0" t="0"/>
                <wp:docPr id="5" name="image1.png"/>
                <a:graphic>
                  <a:graphicData uri="http://schemas.openxmlformats.org/drawingml/2006/picture">
                    <pic:pic>
                      <pic:nvPicPr>
                        <pic:cNvPr id="0" name="image1.png"/>
                        <pic:cNvPicPr preferRelativeResize="0"/>
                      </pic:nvPicPr>
                      <pic:blipFill>
                        <a:blip r:embed="rId3"/>
                        <a:srcRect b="0" l="0" r="0" t="0"/>
                        <a:stretch>
                          <a:fillRect/>
                        </a:stretch>
                      </pic:blipFill>
                      <pic:spPr>
                        <a:xfrm>
                          <a:off x="0" y="0"/>
                          <a:ext cx="1645920" cy="4239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19">
    <w:pPr>
      <w:spacing w:before="40" w:lineRule="auto"/>
      <w:jc w:val="center"/>
      <w:rPr/>
    </w:pPr>
    <w:r w:rsidDel="00000000" w:rsidR="00000000" w:rsidRPr="00000000">
      <w:rPr>
        <w:rFonts w:ascii="Montserrat" w:cs="Montserrat" w:eastAsia="Montserrat" w:hAnsi="Montserrat"/>
        <w:b w:val="0"/>
        <w:bCs w:val="0"/>
        <w:i w:val="0"/>
        <w:iCs w:val="0"/>
        <w:color w:val="e0e0e0"/>
        <w:sz w:val="12"/>
        <w:szCs w:val="12"/>
        <w:rtl w:val="0"/>
      </w:rPr>
      <w:t xml:space="preserve">__________________________________________________________________________________________</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ontserrat" w:cs="Montserrat" w:eastAsia="Montserrat" w:hAnsi="Montserrat"/>
        <w:color w:val="333333"/>
        <w:sz w:val="22"/>
        <w:szCs w:val="22"/>
        <w:lang w:val="en"/>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480" w:lineRule="auto"/>
    </w:pPr>
    <w:rPr>
      <w:rFonts w:ascii="Georgia" w:cs="Georgia" w:eastAsia="Georgia" w:hAnsi="Georgia"/>
      <w:b w:val="1"/>
      <w:bCs w:val="1"/>
      <w:color w:val="000000"/>
      <w:sz w:val="40"/>
      <w:szCs w:val="40"/>
    </w:rPr>
  </w:style>
  <w:style w:type="paragraph" w:styleId="Heading2">
    <w:name w:val="heading 2"/>
    <w:basedOn w:val="Normal"/>
    <w:next w:val="Normal"/>
    <w:pPr>
      <w:keepNext w:val="1"/>
      <w:keepLines w:val="1"/>
      <w:spacing w:after="160" w:before="360" w:lineRule="auto"/>
    </w:pPr>
    <w:rPr>
      <w:rFonts w:ascii="Georgia" w:cs="Georgia" w:eastAsia="Georgia" w:hAnsi="Georgia"/>
      <w:b w:val="1"/>
      <w:bCs w:val="1"/>
      <w:color w:val="0b43f7"/>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spacing w:after="80"/>
      <w:ind w:left="360"/>
      <w:contextualSpacing w:val="1"/>
    </w:pPr>
    <w:rPr>
      <w:rFonts w:ascii="Montserrat" w:hAnsi="Montserrat"/>
      <w:color w:val="333333"/>
      <w:sz w:val="22"/>
    </w:r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pPr>
      <w:spacing w:after="240" w:before="240"/>
      <w:ind w:left="432" w:right="432"/>
    </w:pPr>
    <w:rPr>
      <w:rFonts w:ascii="Georgia" w:hAnsi="Georgia"/>
      <w:i w:val="1"/>
      <w:iCs w:val="1"/>
      <w:color w:val="1a1a2e"/>
      <w:sz w:val="2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 Id="rId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HMq/R98wWnvN5Q+kTqFynqfo6w==">CgMxLjA4AHIhMTF3TzRPc2ZwbXo3bkNOb1g2cHpQTC0xNEhjeENrT2xR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