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RELATORÍA ESTRATÉGICA -- PANEL 5</w:t>
      </w:r>
    </w:p>
    <w:p>
      <w:pPr>
        <w:spacing w:after="80"/>
      </w:pPr>
      <w:r>
        <w:rPr>
          <w:rFonts w:ascii="Georgia" w:hAnsi="Georgia"/>
          <w:i/>
          <w:color w:val="4A4A5A"/>
          <w:sz w:val="24"/>
        </w:rPr>
        <w:t>Congreso de Finanzas Públicas Territoriales 2026</w:t>
      </w:r>
    </w:p>
    <w:p>
      <w:pPr>
        <w:spacing w:after="80"/>
      </w:pPr>
      <w:r>
        <w:rPr>
          <w:rFonts w:ascii="Georgia" w:hAnsi="Georgia"/>
          <w:i/>
          <w:color w:val="666666"/>
          <w:sz w:val="18"/>
        </w:rPr>
        <w:t>Fecha del evento: 5-6 de Agosto 2026</w:t>
      </w:r>
      <w:r>
        <w:br/>
      </w:r>
      <w:r>
        <w:rPr>
          <w:rFonts w:ascii="Georgia" w:hAnsi="Georgia"/>
          <w:i/>
          <w:color w:val="666666"/>
          <w:sz w:val="18"/>
        </w:rPr>
        <w:t>Panel: Panel 5 -- Evolución y análisis crítico del modelo actual</w:t>
      </w:r>
      <w:r>
        <w:br/>
      </w:r>
      <w:r>
        <w:rPr>
          <w:rFonts w:ascii="Georgia" w:hAnsi="Georgia"/>
          <w:i/>
          <w:color w:val="666666"/>
          <w:sz w:val="18"/>
        </w:rPr>
        <w:t>Actores principales: Santiago Leyva -- Profesor universitario, experto en descentralización; Eugenio Prieto -- Gobernación de Antioquia / Experto territorial; Claudia García -- Moderadora</w:t>
      </w:r>
      <w:r>
        <w:br/>
      </w:r>
      <w:r>
        <w:rPr>
          <w:rFonts w:ascii="Georgia" w:hAnsi="Georgia"/>
          <w:i/>
          <w:color w:val="666666"/>
          <w:sz w:val="18"/>
        </w:rPr>
        <w:t>Instituciones: Universidad colombiana; Gobernación de Antioquia; GOBS</w:t>
      </w:r>
      <w:r>
        <w:br/>
      </w:r>
      <w:r>
        <w:rPr>
          <w:rFonts w:ascii="Georgia" w:hAnsi="Georgia"/>
          <w:i/>
          <w:color w:val="666666"/>
          <w:sz w:val="18"/>
        </w:rPr>
        <w:t>Codificación: Descentralización | Autonomía territorial | Centralismo fiscal | Capacidades institucionales | Reforma tributaria territorial | Ordenamiento territorial | Finanzas climáticas | Sistema de participaciones</w:t>
      </w:r>
    </w:p>
    <w:p>
      <w:pPr>
        <w:spacing w:after="320"/>
      </w:pPr>
      <w:r>
        <w:rPr>
          <w:rFonts w:ascii="Montserrat" w:hAnsi="Montserrat"/>
          <w:color w:val="0B43F7"/>
          <w:sz w:val="20"/>
        </w:rPr>
        <w:t>───────────────────────────────────</w:t>
      </w:r>
    </w:p>
    <w:p>
      <w:pPr>
        <w:pStyle w:val="Heading1"/>
      </w:pPr>
      <w:r>
        <w:t>1. CONTEXTO Y ANCLAJE POLÍTICO</w:t>
      </w:r>
    </w:p>
    <w:p>
      <w:pPr>
        <w:jc w:val="both"/>
      </w:pPr>
      <w:r>
        <w:rPr>
          <w:rFonts w:ascii="Montserrat" w:hAnsi="Montserrat"/>
          <w:color w:val="333333"/>
          <w:sz w:val="22"/>
        </w:rPr>
        <w:t>La intervención se enmarca en el Panel 5 del Congreso de Finanzas Públicas Territoriales 2026, organizado por GOBS, dedicado a la evolución y análisis crítico del modelo de descentralización colombiano. El diálogo, conducido por Claudia García, articula la visión de dos panelistas con trayectorias complementarias: Santiago Leyva, desde la academia y la medición de capacidades territoriales, y Eugenio Prieto, desde la gestión política y la experiencia departamental de Antioquia. La conversación se sitúa en un momento de inflexión institucional, donde el Acto Legislativo reciente ha reabierto el debate sobre la duplicación de transferencias, pero los panelistas advierten que más recursos sin más capacidades y sin un rediseño del modelo pueden profundizar las asimetrías en lugar de corregirlas.</w:t>
      </w:r>
    </w:p>
    <w:p>
      <w:pPr>
        <w:jc w:val="both"/>
      </w:pPr>
      <w:r>
        <w:rPr>
          <w:rFonts w:ascii="Montserrat" w:hAnsi="Montserrat"/>
          <w:color w:val="333333"/>
          <w:sz w:val="22"/>
        </w:rPr>
        <w:t>El anclaje político del panel no es meramente descriptivo: la moderadora convoca explícitamente a los asistentes a reflexionar sobre qué es lo que realmente se quiere perseguir con la descentralización, más allá del discurso formal. Esta convocatoria performativa establece el tono de urgencia y la legitimidad epistémica del evento, posicionando la discusión como una reconstrucción crítica orientada a la acción, no como un ejercicio de reivindicación territorial.</w:t>
      </w:r>
    </w:p>
    <w:p>
      <w:pPr>
        <w:pStyle w:val="Quote"/>
      </w:pPr>
      <w:r>
        <w:rPr>
          <w:rFonts w:ascii="Georgia" w:hAnsi="Georgia"/>
          <w:i/>
          <w:color w:val="1A1A2E"/>
          <w:sz w:val="21"/>
        </w:rPr>
        <w:t>Para que hablemos de descentralización mejor diseñada, pero sobre todo necesita entender que a partir de eso porque la descentralización. Esa conversación, qué es lo que realmente queremos perseguir.</w:t>
      </w:r>
    </w:p>
    <w:p>
      <w:pPr>
        <w:jc w:val="both"/>
      </w:pPr>
      <w:r>
        <w:rPr>
          <w:rFonts w:ascii="Montserrat" w:hAnsi="Montserrat"/>
          <w:color w:val="333333"/>
          <w:sz w:val="22"/>
        </w:rPr>
        <w:t>El problema público central que articula el panel es la desconexión entre el diseño constitucional de la descentralización (1991) y sus resultados reales tras 35 años de implementación. Esta desconexión se manifiesta en siete dimensiones interconectadas: una concentración fiscal que no se ha movido en 25 años; una asimetría de capacidades que condena a los municipios pequeños a la dependencia; un sistema de acompañamiento fragmentado y sin priorización; una excesiva municipalización de competencias que ignora la escala; la ausencia de una reforma tributaria territorial en tres décadas; un déficit de planeación y ordenamiento territorial; y una cultura política centralista que reproduce la macrocefalia del Estado nacional.</w:t>
      </w:r>
    </w:p>
    <w:p>
      <w:pPr>
        <w:pStyle w:val="Heading2"/>
      </w:pPr>
      <w:r>
        <w:rPr>
          <w:color w:val="0B43F7"/>
        </w:rPr>
        <w:t>Problemas identificados</w:t>
      </w:r>
    </w:p>
    <w:p>
      <w:pPr>
        <w:jc w:val="both"/>
      </w:pPr>
      <w:r>
        <w:rPr>
          <w:rFonts w:ascii="Montserrat" w:hAnsi="Montserrat"/>
          <w:color w:val="333333"/>
          <w:sz w:val="22"/>
        </w:rPr>
        <w:t>El discurso articula un diagnóstico estructural en siete problemas interconectados que configuran una crisis de sostenibilidad y legitimidad del modelo descentralizador colombiano. El primero de ellos ---los resultados de la descentralización como promesa incumplida--- no se presenta como un dato aislado, sino como una condición que redefine la equidad del sistema territorial.</w:t>
      </w:r>
    </w:p>
    <w:p>
      <w:pPr>
        <w:spacing w:before="120"/>
      </w:pPr>
      <w:r>
        <w:rPr>
          <w:rFonts w:ascii="Montserrat" w:hAnsi="Montserrat"/>
          <w:b/>
          <w:color w:val="1A1A2E"/>
          <w:sz w:val="22"/>
        </w:rPr>
        <w:t>Eje A. Resultados de la descentralización: promesa incumplida y asimetría de capacidades</w:t>
      </w:r>
    </w:p>
    <w:p>
      <w:pPr>
        <w:jc w:val="both"/>
      </w:pPr>
      <w:r>
        <w:rPr>
          <w:rFonts w:ascii="Montserrat" w:hAnsi="Montserrat"/>
          <w:color w:val="333333"/>
          <w:sz w:val="22"/>
        </w:rPr>
        <w:t>Santiago Leyva abre el diagnóstico con una pregunta de fondo: qué nos dicen 35 años de descentralización. A partir de múltiples índices de medición ---incluyendo el creado por la Función Pública en el año 2000 y actualizado desde 2018--- identifica una tendencia persistente: apenas el 22 % de ciudades, municipios y distritos presenta un desempeño alto de manera sostenida desde el inicio del proceso. El resto oscila entre capacidades medias, alta variabilidad política y resultados consistentemente bajos. Municipios como Puerto Carreño aparecen como referentes de esta última categoría.</w:t>
      </w:r>
    </w:p>
    <w:p>
      <w:pPr>
        <w:pStyle w:val="Quote"/>
      </w:pPr>
      <w:r>
        <w:rPr>
          <w:rFonts w:ascii="Georgia" w:hAnsi="Georgia"/>
          <w:i/>
          <w:color w:val="1A1A2E"/>
          <w:sz w:val="21"/>
        </w:rPr>
        <w:t>yo diría que es en este momento donde tenemos que estar como país como sociedad, una reflexión alrededor de los resultados que ha producido esa descentralización... diseñado un montón de maneras de medir la descentralización... cuando yo cuento todos esos índices podemos ver una tendencia tanto en resultados como en incapacidades... hay un grupo de alto desempeño. Desde que empezó la descentralización ahí está más o menos el 22% de las ciudades y municipios y distritos colombianos</w:t>
      </w:r>
    </w:p>
    <w:p>
      <w:pPr>
        <w:jc w:val="both"/>
      </w:pPr>
      <w:r>
        <w:rPr>
          <w:rFonts w:ascii="Montserrat" w:hAnsi="Montserrat"/>
          <w:color w:val="333333"/>
          <w:sz w:val="22"/>
        </w:rPr>
        <w:t>El panelista advierte que duplicar las transferencias sin atender estas diferencias de capacidad puede profundizar los problemas existentes. La autonomía, en este sentido, no es igual para todos: hay rutas distintas, algunos territorios han caído en resultados negativos, y la simple expansión de recursos no garantiza convergencia. El Acto Legislativo, sin embargo, abre una oportunidad al vincular explícitamente las capacidades de desempeño con el tipo de transferencias y responsabilidades.</w:t>
      </w:r>
    </w:p>
    <w:p>
      <w:pPr>
        <w:pStyle w:val="Quote"/>
      </w:pPr>
      <w:r>
        <w:rPr>
          <w:rFonts w:ascii="Georgia" w:hAnsi="Georgia"/>
          <w:i/>
          <w:color w:val="1A1A2E"/>
          <w:sz w:val="21"/>
        </w:rPr>
        <w:t>la autonomía no es igual para todos y porque tenemos capacidades muy diferentes entre municipios y realmente tenemos rutas distintas... si simplemente decimos que lo que hay que hacer es duplicar la descentralización muy probablemente profundizar los problemas... afortunadamente el acto administrativo sobre la necesidad vincular las capacidades del desempeño al tipo de transferencias y responsabilidades y recursos que se van a llevar una oportunidad</w:t>
      </w:r>
    </w:p>
    <w:p>
      <w:pPr>
        <w:spacing w:before="120"/>
      </w:pPr>
      <w:r>
        <w:rPr>
          <w:rFonts w:ascii="Montserrat" w:hAnsi="Montserrat"/>
          <w:b/>
          <w:color w:val="1A1A2E"/>
          <w:sz w:val="22"/>
        </w:rPr>
        <w:t>Eje B. Centralismo fiscal: la concentración del poder recaudatorio en la Nación</w:t>
      </w:r>
    </w:p>
    <w:p>
      <w:pPr>
        <w:jc w:val="both"/>
      </w:pPr>
      <w:r>
        <w:rPr>
          <w:rFonts w:ascii="Montserrat" w:hAnsi="Montserrat"/>
          <w:color w:val="333333"/>
          <w:sz w:val="22"/>
        </w:rPr>
        <w:t>Eugenio Prieto presenta un diagnóstico contundente sobre la arquitectura fiscal del país. El 85 % de los ingresos se concentran en el gobierno central, el 11 % en municipios y distritos, y apenas el 4 % en departamentos. Esta distribución, que no ha variado sustancialmente en décadas, contradice el espíritu de la Constitución de 1991, que estableció una ruta hacia la entrega del 46.5 % de los ingresos corrientes de la Nación a los departamentos mediante transferencias.</w:t>
      </w:r>
    </w:p>
    <w:p>
      <w:pPr>
        <w:pStyle w:val="Quote"/>
      </w:pPr>
      <w:r>
        <w:rPr>
          <w:rFonts w:ascii="Georgia" w:hAnsi="Georgia"/>
          <w:i/>
          <w:color w:val="1A1A2E"/>
          <w:sz w:val="21"/>
        </w:rPr>
        <w:t>el 85% de los productos están quedando concentrados en el gobierno central el 11% de los municipios de los distritos y el 4% en los departamentos... cuando se mira eso... los departamentos ni siquiera... tienen unos segundos con los cuales pueda responder a la descentralización de la autonomía</w:t>
      </w:r>
    </w:p>
    <w:p>
      <w:pPr>
        <w:jc w:val="both"/>
      </w:pPr>
      <w:r>
        <w:rPr>
          <w:rFonts w:ascii="Montserrat" w:hAnsi="Montserrat"/>
          <w:color w:val="333333"/>
          <w:sz w:val="22"/>
        </w:rPr>
        <w:t>El orador documenta dos 'golpes' que desviaron esta ruta constitucional. El primero fue la modificación de la base de liquidación de los ingresos corrientes de la Nación, creando entidades con fuentes especiales que desviaron recursos. El segundo fue la reducción del sistema de participaciones mediante Leyes 715, 617, 819 y el Acto Legislativo 03/2004, que respondieron a un déficit fiscal nacional (6-7 % del PIB) castigando a las entidades territoriales. La consecuencia: 548 billones de pesos dejaron de transferirse a los territorios.</w:t>
      </w:r>
    </w:p>
    <w:p>
      <w:pPr>
        <w:pStyle w:val="Quote"/>
      </w:pPr>
      <w:r>
        <w:rPr>
          <w:rFonts w:ascii="Georgia" w:hAnsi="Georgia"/>
          <w:i/>
          <w:color w:val="1A1A2E"/>
          <w:sz w:val="21"/>
        </w:rPr>
        <w:t>El primer golpe que le dieron a esa decisión es que modificaron la base de liquidación de los ingresos corrientes de la nación de capital y crearon unas entidades con unas fuentes de diagnosis especiales... el segundo golpe es que después... vieron que el problema era las entidades territoriales... nos afectaron aún más y todavía nos están asfixiando</w:t>
      </w:r>
    </w:p>
    <w:p>
      <w:pPr>
        <w:pStyle w:val="Quote"/>
      </w:pPr>
      <w:r>
        <w:rPr>
          <w:rFonts w:ascii="Georgia" w:hAnsi="Georgia"/>
          <w:i/>
          <w:color w:val="1A1A2E"/>
          <w:sz w:val="21"/>
        </w:rPr>
        <w:t>hemos perdido cerca de quinientos cuarenta y ocho billones de pesos en participación de ingresos de la nación... si se hubiera mantenido la regla original</w:t>
      </w:r>
    </w:p>
    <w:p>
      <w:pPr>
        <w:spacing w:before="120"/>
      </w:pPr>
      <w:r>
        <w:rPr>
          <w:rFonts w:ascii="Montserrat" w:hAnsi="Montserrat"/>
          <w:b/>
          <w:color w:val="1A1A2E"/>
          <w:sz w:val="22"/>
        </w:rPr>
        <w:t>Eje C. Fragmentación del sistema de acompañamiento y fortalecimiento institucional</w:t>
      </w:r>
    </w:p>
    <w:p>
      <w:pPr>
        <w:jc w:val="both"/>
      </w:pPr>
      <w:r>
        <w:rPr>
          <w:rFonts w:ascii="Montserrat" w:hAnsi="Montserrat"/>
          <w:color w:val="333333"/>
          <w:sz w:val="22"/>
        </w:rPr>
        <w:t>Santiago Leyva identifica una paradoja del sistema actual: se mide pero no se interviene. Cada año se clasifican los municipios según índices de desempeño (los famosos 'Mundiales de la República'), pero no existe un sistema unificado de acompañamiento que traduzca esas mediciones en procesos de intervención estructurada. Cada ministerio opera con su propio sistema de certificaciones y acompañamiento, generando dispersión, duplicidad y ausencia de coordinación.</w:t>
      </w:r>
    </w:p>
    <w:p>
      <w:pPr>
        <w:pStyle w:val="Quote"/>
      </w:pPr>
      <w:r>
        <w:rPr>
          <w:rFonts w:ascii="Georgia" w:hAnsi="Georgia"/>
          <w:i/>
          <w:color w:val="1A1A2E"/>
          <w:sz w:val="21"/>
        </w:rPr>
        <w:t>nosotros medimos pero no medimos simplemente la dispersión... los ministerios grandes cada uno tiene su propio sistema de acompañamiento capacidades... no tenemos un sistema para volver... no diseñan la resolución, qué es lo que necesitamos un Sistema Nacional de fortalecimiento</w:t>
      </w:r>
    </w:p>
    <w:p>
      <w:pPr>
        <w:jc w:val="both"/>
      </w:pPr>
      <w:r>
        <w:rPr>
          <w:rFonts w:ascii="Montserrat" w:hAnsi="Montserrat"/>
          <w:color w:val="333333"/>
          <w:sz w:val="22"/>
        </w:rPr>
        <w:t>La propuesta de Santiago es explícita: Colombia necesita una autoridad que asocie mediciones de capacidades y resultados a procesos de intervención. Llama a esta entidad una 'superintendencia de descentralización', subrayando que la descentralización no es libertad para gastar, sino autonomía con control, responsabilidad y capacidades.</w:t>
      </w:r>
    </w:p>
    <w:p>
      <w:pPr>
        <w:pStyle w:val="Quote"/>
      </w:pPr>
      <w:r>
        <w:rPr>
          <w:rFonts w:ascii="Georgia" w:hAnsi="Georgia"/>
          <w:i/>
          <w:color w:val="1A1A2E"/>
          <w:sz w:val="21"/>
        </w:rPr>
        <w:t>Colombia necesita una superintendencia de descentralización, si vamos a enviar casi la mitad de los recursos del país, necesitamos una autoridad que sea capaz de asociar esas mediciones de capacidades, esas mediciones de resultados también a procesos de intervención... la descentralización no es libertad para gastar, debe haber control, responsabilidad y capacidades</w:t>
      </w:r>
    </w:p>
    <w:p>
      <w:pPr>
        <w:spacing w:before="120"/>
      </w:pPr>
      <w:r>
        <w:rPr>
          <w:rFonts w:ascii="Montserrat" w:hAnsi="Montserrat"/>
          <w:b/>
          <w:color w:val="1A1A2E"/>
          <w:sz w:val="22"/>
        </w:rPr>
        <w:t>Eje D. Excesiva municipalización de competencias sin capacidades</w:t>
      </w:r>
    </w:p>
    <w:p>
      <w:pPr>
        <w:jc w:val="both"/>
      </w:pPr>
      <w:r>
        <w:rPr>
          <w:rFonts w:ascii="Montserrat" w:hAnsi="Montserrat"/>
          <w:color w:val="333333"/>
          <w:sz w:val="22"/>
        </w:rPr>
        <w:t>Eugenio Prieto introduce una crítica estructural a la lógica de la descentralización colombiana: la excesiva municipalización de competencias. Mientras que en otros países las funciones de desarrollo territorial se articulan a nivel regional o provincial, en Colombia se fragmentaron hasta el nivel municipal, muchas veces sin que estos tuvieran la escala, el recurso humano o la capacidad técnica para asumirlas. El resultado es un sistema donde departamentos con capacidades (como Antioquia, Cundinamarca, Valle, Santander) están obligados a operar bajo las mismas reglas que departamentos categoría 4 o municipios categoría 6 con los peores indicadores de desempeño.</w:t>
      </w:r>
    </w:p>
    <w:p>
      <w:pPr>
        <w:pStyle w:val="Quote"/>
      </w:pPr>
      <w:r>
        <w:rPr>
          <w:rFonts w:ascii="Georgia" w:hAnsi="Georgia"/>
          <w:i/>
          <w:color w:val="1A1A2E"/>
          <w:sz w:val="21"/>
        </w:rPr>
        <w:t>la conversación es muy vigente en Colombia territorial de la excesiva municipalización de las competencias... tenemos departamentos categoría 4 como municipios categoría 6 que están... Municipios que tienen los peores resultados a la capacidad para contratar funcionarios</w:t>
      </w:r>
    </w:p>
    <w:p>
      <w:pPr>
        <w:jc w:val="both"/>
      </w:pPr>
      <w:r>
        <w:rPr>
          <w:rFonts w:ascii="Montserrat" w:hAnsi="Montserrat"/>
          <w:color w:val="333333"/>
          <w:sz w:val="22"/>
        </w:rPr>
        <w:t>La moderadora profundiza en esta tensión: 'cómo acompañamos ese desarrollo'. La respuesta no puede ser solo entregar competencias, sino diseñar un modelo que acompañe la transferencia con fortalecimiento institucional, reconociendo que el ordenamiento territorial, la gestión del riesgo y la acción climática son competencias que requieren escala y capacidades diferenciadas.</w:t>
      </w:r>
    </w:p>
    <w:p>
      <w:pPr>
        <w:spacing w:before="120"/>
      </w:pPr>
      <w:r>
        <w:rPr>
          <w:rFonts w:ascii="Montserrat" w:hAnsi="Montserrat"/>
          <w:b/>
          <w:color w:val="1A1A2E"/>
          <w:sz w:val="22"/>
        </w:rPr>
        <w:t>Eje E. Ausencia de reforma tributaria territorial</w:t>
      </w:r>
    </w:p>
    <w:p>
      <w:pPr>
        <w:jc w:val="both"/>
      </w:pPr>
      <w:r>
        <w:rPr>
          <w:rFonts w:ascii="Montserrat" w:hAnsi="Montserrat"/>
          <w:color w:val="333333"/>
          <w:sz w:val="22"/>
        </w:rPr>
        <w:t>Eugenio Prieto documenta una omisión estructural del modelo colombiano: en más de 20 reformas tributarias realizadas desde la Constitución de 1991, ninguna ha sido territorial. Todas han sido nacionales, dejando a los territorios 'solos a ver cómo lo hacíamos'. Esta ausencia ha condenado a los departamentos a las 'rentas coloniales' (juegos de azar, licores) mientras los impuestos dinámicos vinculados a la actividad productiva (renta, IVA, patrimonio) permanecieron en la Nación o en los grandes municipios.</w:t>
      </w:r>
    </w:p>
    <w:p>
      <w:pPr>
        <w:pStyle w:val="Quote"/>
      </w:pPr>
      <w:r>
        <w:rPr>
          <w:rFonts w:ascii="Georgia" w:hAnsi="Georgia"/>
          <w:i/>
          <w:color w:val="1A1A2E"/>
          <w:sz w:val="21"/>
        </w:rPr>
        <w:t>la Constitución está coja porque no hemos tenido 20 reformas tributarias más o menos se han hecho después de esta Constitución y todas han sido nacionales, no ha habido una reforma tributaria territorial y nos dejó solos a ver cómo lo hacíamos</w:t>
      </w:r>
    </w:p>
    <w:p>
      <w:pPr>
        <w:pStyle w:val="Quote"/>
      </w:pPr>
      <w:r>
        <w:rPr>
          <w:rFonts w:ascii="Georgia" w:hAnsi="Georgia"/>
          <w:i/>
          <w:color w:val="1A1A2E"/>
          <w:sz w:val="21"/>
        </w:rPr>
        <w:t>nos quedamos básicamente con las rentas coloniales asociadas a los juegos de suerte y azar, a las rentas asociadas también a la producción de licores... la nación se quedó con el IVA interno y externo, se quedó con el impuesto de renta y el impuesto al patrimonio</w:t>
      </w:r>
    </w:p>
    <w:p>
      <w:pPr>
        <w:spacing w:before="120"/>
      </w:pPr>
      <w:r>
        <w:rPr>
          <w:rFonts w:ascii="Montserrat" w:hAnsi="Montserrat"/>
          <w:b/>
          <w:color w:val="1A1A2E"/>
          <w:sz w:val="22"/>
        </w:rPr>
        <w:t>Eje F. Déficit de planeación y ordenamiento territorial</w:t>
      </w:r>
    </w:p>
    <w:p>
      <w:pPr>
        <w:jc w:val="both"/>
      </w:pPr>
      <w:r>
        <w:rPr>
          <w:rFonts w:ascii="Montserrat" w:hAnsi="Montserrat"/>
          <w:color w:val="333333"/>
          <w:sz w:val="22"/>
        </w:rPr>
        <w:t>Santiago Leyva señala que el sistema de planeación en Colombia es uno de los más fragmentados y complejos del país, más que el de educación o salud. Cada entidad tiene funciones separadas, no existe un punto único de información, y los alcaldes ---muchos sin experiencia--- deben elaborar planes de desarrollo en tres o cuatro meses, contratando elaboradores que muchas veces no conocen los territorios.</w:t>
      </w:r>
    </w:p>
    <w:p>
      <w:pPr>
        <w:pStyle w:val="Quote"/>
      </w:pPr>
      <w:r>
        <w:rPr>
          <w:rFonts w:ascii="Georgia" w:hAnsi="Georgia"/>
          <w:i/>
          <w:color w:val="1A1A2E"/>
          <w:sz w:val="21"/>
        </w:rPr>
        <w:t>el sistema de centralización en Colombia nos llamamos la sorpresa, que es uno de los sistemas públicos más complejos del país mucho más complejo que el sistema de educación de salud... no solamente usted se pone a pensar están las entidades que intervienen en esto de función pública el territorio etcétera todas con funciones separadas, sino que además tenemos la división de cada ministerio y donde realmente lo que no tenemos es ni siquiera un solo punto donde podamos tener información</w:t>
      </w:r>
    </w:p>
    <w:p>
      <w:pPr>
        <w:pStyle w:val="Quote"/>
      </w:pPr>
      <w:r>
        <w:rPr>
          <w:rFonts w:ascii="Georgia" w:hAnsi="Georgia"/>
          <w:i/>
          <w:color w:val="1A1A2E"/>
          <w:sz w:val="21"/>
        </w:rPr>
        <w:t>casi una locura que un alcalde llega a muchos de ellos sin experiencia con la mejor capacidad para hacerlo ya están embarcados en un plan de desarrollo... muchos municipios que te contratan a unos elaboradores de planes de desarrollo, que lo que muchas veces terminan haciendo que no conocen sus propios planos</w:t>
      </w:r>
    </w:p>
    <w:p>
      <w:pPr>
        <w:jc w:val="both"/>
      </w:pPr>
      <w:r>
        <w:rPr>
          <w:rFonts w:ascii="Montserrat" w:hAnsi="Montserrat"/>
          <w:color w:val="333333"/>
          <w:sz w:val="22"/>
        </w:rPr>
        <w:t>Eugenio Prieto complementa desde la experiencia antioqueña: el desarrollo se está haciendo en sitios de cuatro años, sin una ruta de largo plazo. Propone que las cuencas sean el eje estructurante de la planeación y el desarrollo territorial, conectando ordenamiento territorial, desarrollo económico y gestión ambiental.</w:t>
      </w:r>
    </w:p>
    <w:p>
      <w:pPr>
        <w:pStyle w:val="Quote"/>
      </w:pPr>
      <w:r>
        <w:rPr>
          <w:rFonts w:ascii="Georgia" w:hAnsi="Georgia"/>
          <w:i/>
          <w:color w:val="1A1A2E"/>
          <w:sz w:val="21"/>
        </w:rPr>
        <w:t>si bien tenemos una ruta que se está haciendo digamos en responsabilidad del departamento Nacional de planeación, el financiamiento lo que pasa en la práctica es que el desarrollo se está haciendo en sitios de cuatro años</w:t>
      </w:r>
    </w:p>
    <w:p>
      <w:pPr>
        <w:spacing w:before="120"/>
      </w:pPr>
      <w:r>
        <w:rPr>
          <w:rFonts w:ascii="Montserrat" w:hAnsi="Montserrat"/>
          <w:b/>
          <w:color w:val="1A1A2E"/>
          <w:sz w:val="22"/>
        </w:rPr>
        <w:t>Eje G. Cultura política centralista y macrocefalia del Estado</w:t>
      </w:r>
    </w:p>
    <w:p>
      <w:pPr>
        <w:jc w:val="both"/>
      </w:pPr>
      <w:r>
        <w:rPr>
          <w:rFonts w:ascii="Montserrat" w:hAnsi="Montserrat"/>
          <w:color w:val="333333"/>
          <w:sz w:val="22"/>
        </w:rPr>
        <w:t>Eugenio Prieto cierra el diagnóstico con una crítica a la cultura política y a la arquitectura del Estado. A pesar de que la Constitución establece a Colombia como una república unitaria con autonomía territorial, la cultura del Congreso y del gobierno central ha sido 'bastante compleja', reproduciendo una macrocefalia que se alimenta precisamente de la debilidad de las entidades territoriales. La propuesta de 'adelgazar el Estado nación' no es una consigna abstracta, sino una reorganización de competencias con traslado de funcionarios a los territorios.</w:t>
      </w:r>
    </w:p>
    <w:p>
      <w:pPr>
        <w:pStyle w:val="Quote"/>
      </w:pPr>
      <w:r>
        <w:rPr>
          <w:rFonts w:ascii="Georgia" w:hAnsi="Georgia"/>
          <w:i/>
          <w:color w:val="1A1A2E"/>
          <w:sz w:val="21"/>
        </w:rPr>
        <w:t>toda la arquitectura de la Constitución, toda la estructura de la constitución, pero la cultura que hemos desarrollado del propio congreso de la República ha sido bastante complejo... hay una macrocefalia que se alimentó precisamente la entidades territoriales, hay que disminuirla, pero disminuirla hay que trasladar competencias con recursos</w:t>
      </w:r>
    </w:p>
    <w:p>
      <w:pPr>
        <w:pStyle w:val="Quote"/>
      </w:pPr>
      <w:r>
        <w:rPr>
          <w:rFonts w:ascii="Georgia" w:hAnsi="Georgia"/>
          <w:i/>
          <w:color w:val="1A1A2E"/>
          <w:sz w:val="21"/>
        </w:rPr>
        <w:t>lo primero lo que diría ahora y que adelgazar el estado nación, pero con una mirada clara de cuáles son las competencias que se van a aplicar... el presidente puede tomar una decisión inmediata, tiene 1500 personas si le sumamos la función pública... se les puede decir, mira a partir de ahora sus trabajos pasan a ser. No los queremos ver más en Bogotá se cierran el piso para abajo y básicamente tener digamos por zonas</w:t>
      </w:r>
    </w:p>
    <w:p>
      <w:pPr>
        <w:pStyle w:val="Heading2"/>
      </w:pPr>
      <w:r>
        <w:rPr>
          <w:color w:val="0AB6F2"/>
        </w:rPr>
        <w:t>Retos que dificultan la solución</w:t>
      </w:r>
    </w:p>
    <w:p>
      <w:pPr>
        <w:jc w:val="both"/>
      </w:pPr>
      <w:r>
        <w:rPr>
          <w:rFonts w:ascii="Montserrat" w:hAnsi="Montserrat"/>
          <w:color w:val="333333"/>
          <w:sz w:val="22"/>
        </w:rPr>
        <w:t>Los retos identificados en el discurso no son meras dificultades operativas, sino barreras estructurales que condicionan la viabilidad de cualquier reforma del modelo descentralizador. El primero ---la asimetría de capacidades--- emerge como una condición objetiva que impide tratar a todos los territorios con las mismas reglas.</w:t>
      </w:r>
    </w:p>
    <w:p>
      <w:pPr>
        <w:spacing w:after="120"/>
        <w:ind w:left="360" w:hanging="360"/>
      </w:pPr>
      <w:r>
        <w:rPr>
          <w:rFonts w:ascii="Montserrat" w:hAnsi="Montserrat"/>
          <w:color w:val="0B43F7"/>
          <w:sz w:val="20"/>
        </w:rPr>
        <w:t>●</w:t>
        <w:tab/>
      </w:r>
      <w:r>
        <w:rPr>
          <w:rFonts w:ascii="Montserrat" w:hAnsi="Montserrat"/>
          <w:color w:val="333333"/>
          <w:sz w:val="22"/>
        </w:rPr>
        <w:t>Gestionar y descentralizar de manera asimétrica: los departamentos grandes deberán tener mayor autonomía y gestionar a municipios pequeños; las entidades públicas deberían priorizar a municipios pequeños con indicadores de desempeño bajos. Barrera de capacidad, identificada por Santiago Leyva, de impacto transversal alto.</w:t>
      </w:r>
    </w:p>
    <w:p>
      <w:pPr>
        <w:spacing w:after="120"/>
        <w:ind w:left="360" w:hanging="360"/>
      </w:pPr>
      <w:r>
        <w:rPr>
          <w:rFonts w:ascii="Montserrat" w:hAnsi="Montserrat"/>
          <w:color w:val="0AB6F2"/>
          <w:sz w:val="20"/>
        </w:rPr>
        <w:t>●</w:t>
        <w:tab/>
      </w:r>
      <w:r>
        <w:rPr>
          <w:rFonts w:ascii="Montserrat" w:hAnsi="Montserrat"/>
          <w:color w:val="333333"/>
          <w:sz w:val="22"/>
        </w:rPr>
        <w:t>Realizar un plan de ajuste fiscal y financiero que compatibilice la duplicación de transferencias con la sostenibilidad de la deuda pública nacional. Barrera fiscal, identificada por ambos panelistas, de impacto transversal alto.</w:t>
      </w:r>
    </w:p>
    <w:p>
      <w:pPr>
        <w:spacing w:after="120"/>
        <w:ind w:left="360" w:hanging="360"/>
      </w:pPr>
      <w:r>
        <w:rPr>
          <w:rFonts w:ascii="Montserrat" w:hAnsi="Montserrat"/>
          <w:color w:val="00CC30"/>
          <w:sz w:val="20"/>
        </w:rPr>
        <w:t>●</w:t>
        <w:tab/>
      </w:r>
      <w:r>
        <w:rPr>
          <w:rFonts w:ascii="Montserrat" w:hAnsi="Montserrat"/>
          <w:color w:val="333333"/>
          <w:sz w:val="22"/>
        </w:rPr>
        <w:t>Homogenizar las capacidades de los territorios sin caer en el paternalismo o en la uniformidad que ignora las diferencias. Barrera institucional, identificada por Eugenio Prieto, de impacto territorializado alto.</w:t>
      </w:r>
    </w:p>
    <w:p>
      <w:pPr>
        <w:spacing w:after="120"/>
        <w:ind w:left="360" w:hanging="360"/>
      </w:pPr>
      <w:r>
        <w:rPr>
          <w:rFonts w:ascii="Montserrat" w:hAnsi="Montserrat"/>
          <w:color w:val="6CD3A5"/>
          <w:sz w:val="20"/>
        </w:rPr>
        <w:t>●</w:t>
        <w:tab/>
      </w:r>
      <w:r>
        <w:rPr>
          <w:rFonts w:ascii="Montserrat" w:hAnsi="Montserrat"/>
          <w:color w:val="333333"/>
          <w:sz w:val="22"/>
        </w:rPr>
        <w:t>Resolver la paradoja de que hay territorios sin capacidades pero con recursos concentrados, y territorios con capacidades que tienen todos los problemas (violencia, inequidad) porque no se conecta el desarrollo territorial con el ordenamiento. Barrera de desarrollo, identificada por Eugenio Prieto, de impacto territorializado crítico.</w:t>
      </w:r>
    </w:p>
    <w:p>
      <w:pPr>
        <w:spacing w:after="120"/>
        <w:ind w:left="360" w:hanging="360"/>
      </w:pPr>
      <w:r>
        <w:rPr>
          <w:rFonts w:ascii="Montserrat" w:hAnsi="Montserrat"/>
          <w:color w:val="0B43F7"/>
          <w:sz w:val="20"/>
        </w:rPr>
        <w:t>●</w:t>
        <w:tab/>
      </w:r>
      <w:r>
        <w:rPr>
          <w:rFonts w:ascii="Montserrat" w:hAnsi="Montserrat"/>
          <w:color w:val="333333"/>
          <w:sz w:val="22"/>
        </w:rPr>
        <w:t>Generar un modelo de desarrollo territorial que priorice la autonomía financiera real, no solo formal. Barrera normativa, identificada por Santiago Leyva, de impacto transversal alto.</w:t>
      </w:r>
    </w:p>
    <w:p>
      <w:pPr>
        <w:spacing w:after="120"/>
        <w:ind w:left="360" w:hanging="360"/>
      </w:pPr>
      <w:r>
        <w:rPr>
          <w:rFonts w:ascii="Montserrat" w:hAnsi="Montserrat"/>
          <w:color w:val="0AB6F2"/>
          <w:sz w:val="20"/>
        </w:rPr>
        <w:t>●</w:t>
        <w:tab/>
      </w:r>
      <w:r>
        <w:rPr>
          <w:rFonts w:ascii="Montserrat" w:hAnsi="Montserrat"/>
          <w:color w:val="333333"/>
          <w:sz w:val="22"/>
        </w:rPr>
        <w:t>Mejorar los procesos de planeación para evitar que alcaldes sin experiencia elaboren planes de desarrollo en tres meses contratando elaboradores ajenos al territorio. Barrera de gestión, identificada por Santiago Leyva, de impacto transversal alto.</w:t>
      </w:r>
    </w:p>
    <w:p>
      <w:pPr>
        <w:spacing w:after="120"/>
        <w:ind w:left="360" w:hanging="360"/>
      </w:pPr>
      <w:r>
        <w:rPr>
          <w:rFonts w:ascii="Montserrat" w:hAnsi="Montserrat"/>
          <w:color w:val="00CC30"/>
          <w:sz w:val="20"/>
        </w:rPr>
        <w:t>●</w:t>
        <w:tab/>
      </w:r>
      <w:r>
        <w:rPr>
          <w:rFonts w:ascii="Montserrat" w:hAnsi="Montserrat"/>
          <w:color w:val="333333"/>
          <w:sz w:val="22"/>
        </w:rPr>
        <w:t>Establecer criterios de redistribución de recursos que sean éticos y ambientales, no solo técnicos o políticos. Barrera política, identificada por Eugenio Prieto, de impacto transversal alto.</w:t>
      </w:r>
    </w:p>
    <w:p>
      <w:pPr>
        <w:spacing w:after="120"/>
        <w:ind w:left="360" w:hanging="360"/>
      </w:pPr>
      <w:r>
        <w:rPr>
          <w:rFonts w:ascii="Montserrat" w:hAnsi="Montserrat"/>
          <w:color w:val="6CD3A5"/>
          <w:sz w:val="20"/>
        </w:rPr>
        <w:t>●</w:t>
        <w:tab/>
      </w:r>
      <w:r>
        <w:rPr>
          <w:rFonts w:ascii="Montserrat" w:hAnsi="Montserrat"/>
          <w:color w:val="333333"/>
          <w:sz w:val="22"/>
        </w:rPr>
        <w:t>Tramitar los recursos de manera eficiente: el experimento de la libre inversión de la Nación mostró que solo los municipios con capacidad estructuraron proyectos, mientras que el gobierno terminó enviando recursos más chiquitos, más difíciles de supervisar y con menor tasa de implementación. Barrera de implementación, identificada por Santiago Leyva, de impacto territorializado alto.</w:t>
      </w:r>
    </w:p>
    <w:p>
      <w:pPr>
        <w:pStyle w:val="Heading2"/>
      </w:pPr>
      <w:r>
        <w:rPr>
          <w:color w:val="00CC30"/>
        </w:rPr>
        <w:t>Soluciones y propuestas</w:t>
      </w:r>
    </w:p>
    <w:p>
      <w:pPr>
        <w:jc w:val="both"/>
      </w:pPr>
      <w:r>
        <w:rPr>
          <w:rFonts w:ascii="Montserrat" w:hAnsi="Montserrat"/>
          <w:color w:val="333333"/>
          <w:sz w:val="22"/>
        </w:rPr>
        <w:t>Las propuestas emergen de la intersección entre el diagnóstico académico y la experiencia política territorial, configurando un menú de reformas que van desde la arquitectura institucional hasta la gestión del día a día de los municipios pequeños.</w:t>
      </w:r>
    </w:p>
    <w:p>
      <w:pPr>
        <w:spacing w:after="120"/>
        <w:ind w:left="360" w:hanging="360"/>
      </w:pPr>
      <w:r>
        <w:rPr>
          <w:rFonts w:ascii="Montserrat" w:hAnsi="Montserrat"/>
          <w:color w:val="0B43F7"/>
          <w:sz w:val="20"/>
        </w:rPr>
        <w:t>●</w:t>
        <w:tab/>
      </w:r>
      <w:r>
        <w:rPr>
          <w:rFonts w:ascii="Montserrat" w:hAnsi="Montserrat"/>
          <w:color w:val="333333"/>
          <w:sz w:val="22"/>
        </w:rPr>
        <w:t>Sistema General de Participaciones Territorial (SGPT): reemplazar el SGP actual por un sistema que financie funciones territoriales con recursos propios de renta y patrimonio de personas jurídicas transferidos a departamentos y Distrito Capital. Propuesta de Eugenio Prieto, con evidencia de análisis técnico en Antioquia, de replicabilidad nacional.</w:t>
      </w:r>
    </w:p>
    <w:p>
      <w:pPr>
        <w:spacing w:after="120"/>
        <w:ind w:left="360" w:hanging="360"/>
      </w:pPr>
      <w:r>
        <w:rPr>
          <w:rFonts w:ascii="Montserrat" w:hAnsi="Montserrat"/>
          <w:color w:val="0AB6F2"/>
          <w:sz w:val="20"/>
        </w:rPr>
        <w:t>●</w:t>
        <w:tab/>
      </w:r>
      <w:r>
        <w:rPr>
          <w:rFonts w:ascii="Montserrat" w:hAnsi="Montserrat"/>
          <w:color w:val="333333"/>
          <w:sz w:val="22"/>
        </w:rPr>
        <w:t>Descentralización asimétrica: establecer criterios de autonomía que surjan de las mismas capacidades territoriales, dando más recursos y competencias a quienes tienen más capacidad, y más acompañamiento a quienes tienen menos. Propuesta de ambos panelistas, de alta replicabilidad si se diseñan indicadores claros.</w:t>
      </w:r>
    </w:p>
    <w:p>
      <w:pPr>
        <w:spacing w:after="120"/>
        <w:ind w:left="360" w:hanging="360"/>
      </w:pPr>
      <w:r>
        <w:rPr>
          <w:rFonts w:ascii="Montserrat" w:hAnsi="Montserrat"/>
          <w:color w:val="00CC30"/>
          <w:sz w:val="20"/>
        </w:rPr>
        <w:t>●</w:t>
        <w:tab/>
      </w:r>
      <w:r>
        <w:rPr>
          <w:rFonts w:ascii="Montserrat" w:hAnsi="Montserrat"/>
          <w:color w:val="333333"/>
          <w:sz w:val="22"/>
        </w:rPr>
        <w:t>La cuenca como eje estructurante de la planeación y desarrollo territorial: superar la lógica político-administrativa de municipios y departamentos para organizar el desarrollo alrededor de las cuencas hidrográficas, conectando ordenamiento territorial, desarrollo económico y gestión ambiental. Propuesta de Eugenio Prieto, de replicabilidad media.</w:t>
      </w:r>
    </w:p>
    <w:p>
      <w:pPr>
        <w:spacing w:after="120"/>
        <w:ind w:left="360" w:hanging="360"/>
      </w:pPr>
      <w:r>
        <w:rPr>
          <w:rFonts w:ascii="Montserrat" w:hAnsi="Montserrat"/>
          <w:color w:val="6CD3A5"/>
          <w:sz w:val="20"/>
        </w:rPr>
        <w:t>●</w:t>
        <w:tab/>
      </w:r>
      <w:r>
        <w:rPr>
          <w:rFonts w:ascii="Montserrat" w:hAnsi="Montserrat"/>
          <w:color w:val="333333"/>
          <w:sz w:val="22"/>
        </w:rPr>
        <w:t>Modelo y sistema de descentralización unificado: cada ministerio tiene su propio sistema de acompañamiento, lo que genera dispersión. Se requiere un sistema único de fortalecimiento territorial. Propuesta de Santiago Leyva, de alta replicabilidad.</w:t>
      </w:r>
    </w:p>
    <w:p>
      <w:pPr>
        <w:spacing w:after="120"/>
        <w:ind w:left="360" w:hanging="360"/>
      </w:pPr>
      <w:r>
        <w:rPr>
          <w:rFonts w:ascii="Montserrat" w:hAnsi="Montserrat"/>
          <w:color w:val="0B43F7"/>
          <w:sz w:val="20"/>
        </w:rPr>
        <w:t>●</w:t>
        <w:tab/>
      </w:r>
      <w:r>
        <w:rPr>
          <w:rFonts w:ascii="Montserrat" w:hAnsi="Montserrat"/>
          <w:color w:val="333333"/>
          <w:sz w:val="22"/>
        </w:rPr>
        <w:t>Creación de una superintendencia de descentralización: autoridad encargada de asociar mediciones de capacidades y resultados a procesos de intervención, supervisión y control. Propuesta de Santiago Leyva, de replicabilidad dependiente de reforma legislativa.</w:t>
      </w:r>
    </w:p>
    <w:p>
      <w:pPr>
        <w:spacing w:after="120"/>
        <w:ind w:left="360" w:hanging="360"/>
      </w:pPr>
      <w:r>
        <w:rPr>
          <w:rFonts w:ascii="Montserrat" w:hAnsi="Montserrat"/>
          <w:color w:val="0AB6F2"/>
          <w:sz w:val="20"/>
        </w:rPr>
        <w:t>●</w:t>
        <w:tab/>
      </w:r>
      <w:r>
        <w:rPr>
          <w:rFonts w:ascii="Montserrat" w:hAnsi="Montserrat"/>
          <w:color w:val="333333"/>
          <w:sz w:val="22"/>
        </w:rPr>
        <w:t>Catastro multipropósito con enfoque territorial: delegar la gestión catastral en las provincias o regiones, habilitándolas como gestoras catastrales autónomas. Propuesta de Eugenio Prieto, con evidencia del modelo provincial antioqueño, de replicabilidad media.</w:t>
      </w:r>
    </w:p>
    <w:p>
      <w:pPr>
        <w:spacing w:after="120"/>
        <w:ind w:left="360" w:hanging="360"/>
      </w:pPr>
      <w:r>
        <w:rPr>
          <w:rFonts w:ascii="Montserrat" w:hAnsi="Montserrat"/>
          <w:color w:val="00CC30"/>
          <w:sz w:val="20"/>
        </w:rPr>
        <w:t>●</w:t>
        <w:tab/>
      </w:r>
      <w:r>
        <w:rPr>
          <w:rFonts w:ascii="Montserrat" w:hAnsi="Montserrat"/>
          <w:color w:val="333333"/>
          <w:sz w:val="22"/>
        </w:rPr>
        <w:t>Finanzas climáticas territoriales: desarrollar instrumentos propios de financiamiento ambiental con ordenamiento alrededor del agua, compensación de integridad y fondos de solidaridad. Propuesta de Eugenio Prieto, de replicabilidad media.</w:t>
      </w:r>
    </w:p>
    <w:p>
      <w:pPr>
        <w:spacing w:after="120"/>
        <w:ind w:left="360" w:hanging="360"/>
      </w:pPr>
      <w:r>
        <w:rPr>
          <w:rFonts w:ascii="Montserrat" w:hAnsi="Montserrat"/>
          <w:color w:val="6CD3A5"/>
          <w:sz w:val="20"/>
        </w:rPr>
        <w:t>●</w:t>
        <w:tab/>
      </w:r>
      <w:r>
        <w:rPr>
          <w:rFonts w:ascii="Montserrat" w:hAnsi="Montserrat"/>
          <w:color w:val="333333"/>
          <w:sz w:val="22"/>
        </w:rPr>
        <w:t>Estandarizar soluciones a problemas públicos y simplificar la administración de recursos: en lugar de exigir que cada municipio pequeño diseñe sus propias políticas, ofrecer paquetes de soluciones probadas, evaluadas por el DNP, con paso a paso. Propuesta de Santiago Leyva, de alta replicabilidad.</w:t>
      </w:r>
    </w:p>
    <w:p>
      <w:pPr>
        <w:spacing w:after="120"/>
        <w:ind w:left="360" w:hanging="360"/>
      </w:pPr>
      <w:r>
        <w:rPr>
          <w:rFonts w:ascii="Montserrat" w:hAnsi="Montserrat"/>
          <w:color w:val="0B43F7"/>
          <w:sz w:val="20"/>
        </w:rPr>
        <w:t>●</w:t>
        <w:tab/>
      </w:r>
      <w:r>
        <w:rPr>
          <w:rFonts w:ascii="Montserrat" w:hAnsi="Montserrat"/>
          <w:color w:val="333333"/>
          <w:sz w:val="22"/>
        </w:rPr>
        <w:t>Adelgazamiento del Estado nacional con traslado de funcionarios a territorios: reubicar 1.500 a 3.000 funcionarios de Bogotá a zonas territoriales, cerrando pisos de edificios públicos. Propuesta de Eugenio Prieto, de alta replicabilidad si hay voluntad política.</w:t>
      </w:r>
    </w:p>
    <w:p>
      <w:pPr>
        <w:spacing w:after="120"/>
        <w:ind w:left="360" w:hanging="360"/>
      </w:pPr>
      <w:r>
        <w:rPr>
          <w:rFonts w:ascii="Montserrat" w:hAnsi="Montserrat"/>
          <w:color w:val="0AB6F2"/>
          <w:sz w:val="20"/>
        </w:rPr>
        <w:t>●</w:t>
        <w:tab/>
      </w:r>
      <w:r>
        <w:rPr>
          <w:rFonts w:ascii="Montserrat" w:hAnsi="Montserrat"/>
          <w:color w:val="333333"/>
          <w:sz w:val="22"/>
        </w:rPr>
        <w:t>Reforma de categorías municipales: pasar de un sistema de seis categorías a uno basado en población y recursos, donde el 90 % de los municipios pequeños puedan asociarse en esquemas asociativos. Propuesta de Eugenio Prieto, de replicabilidad alta.</w:t>
      </w:r>
    </w:p>
    <w:p>
      <w:pPr>
        <w:spacing w:after="120"/>
        <w:ind w:left="360" w:hanging="360"/>
      </w:pPr>
      <w:r>
        <w:rPr>
          <w:rFonts w:ascii="Montserrat" w:hAnsi="Montserrat"/>
          <w:color w:val="00CC30"/>
          <w:sz w:val="20"/>
        </w:rPr>
        <w:t>●</w:t>
        <w:tab/>
      </w:r>
      <w:r>
        <w:rPr>
          <w:rFonts w:ascii="Montserrat" w:hAnsi="Montserrat"/>
          <w:color w:val="333333"/>
          <w:sz w:val="22"/>
        </w:rPr>
        <w:t>Cuarto poder para la planificación: dar independencia y ruta de largo plazo a la planeación territorial, despolitizando las decisiones de desarrollo. Propuesta polémica de Eugenio Prieto, de replicabilidad baja por requerir reforma constitucional.</w:t>
      </w:r>
    </w:p>
    <w:p>
      <w:pPr>
        <w:pStyle w:val="Heading2"/>
      </w:pPr>
      <w:r>
        <w:rPr>
          <w:color w:val="6CD3A5"/>
        </w:rPr>
        <w:t>Sinergias interinstitucionales</w:t>
      </w:r>
    </w:p>
    <w:p>
      <w:pPr>
        <w:jc w:val="both"/>
      </w:pPr>
      <w:r>
        <w:rPr>
          <w:rFonts w:ascii="Montserrat" w:hAnsi="Montserrat"/>
          <w:color w:val="333333"/>
          <w:sz w:val="22"/>
        </w:rPr>
        <w:t>El discurso revela un ecosistema de articulaciones que opera en tres planos simultáneos: el horizontal de asistencia técnica, el vertical nación-territorios, y el de conocimiento y política pública.</w:t>
      </w:r>
    </w:p>
    <w:p>
      <w:pPr>
        <w:jc w:val="both"/>
      </w:pPr>
      <w:r>
        <w:rPr>
          <w:rFonts w:ascii="Montserrat" w:hAnsi="Montserrat"/>
          <w:color w:val="333333"/>
          <w:sz w:val="22"/>
        </w:rPr>
        <w:t>En el plano horizontal, la sinergia entre ESAP, universidades y DNP emerge como una propuesta explícita para brindar asistencia técnica a municipios pequeños. Sin embargo, Santiago Leyva advierte que la distribución actual de acompañamiento es aleatoria y sin priorización, lo que reduce su efectividad. La sinergia está en construcción y requiere un sistema unificado que asocie mediciones de capacidad con intervenciones específicas.</w:t>
      </w:r>
    </w:p>
    <w:p>
      <w:pPr>
        <w:pStyle w:val="Quote"/>
      </w:pPr>
      <w:r>
        <w:rPr>
          <w:rFonts w:ascii="Georgia" w:hAnsi="Georgia"/>
          <w:i/>
          <w:color w:val="1A1A2E"/>
          <w:sz w:val="21"/>
        </w:rPr>
        <w:t>lo que tenemos que hacer es también simplificar la manera como se gobierna esos municipios de menores capacidades... darle los recursos necesarios darle también las herramientas, pero yo creo que lo que tenemos que hacer es avanzar mucho más en las herramientas ideales políticas probadas</w:t>
      </w:r>
    </w:p>
    <w:p>
      <w:pPr>
        <w:jc w:val="both"/>
      </w:pPr>
      <w:r>
        <w:rPr>
          <w:rFonts w:ascii="Montserrat" w:hAnsi="Montserrat"/>
          <w:color w:val="333333"/>
          <w:sz w:val="22"/>
        </w:rPr>
        <w:t>En el plano vertical, la relación Nación-territorios se presenta como una tensión estructural. Eugenio Prieto señala que el gobierno nacional 'nos pide ni la norma, ni permiten y facilita', generando una dependencia que bloquea la autonomía real. La sinergia requerida implica no solo transferir recursos sino transferir competencias con recursos, y establecer criterios de distribución éticos y ambientales.</w:t>
      </w:r>
    </w:p>
    <w:p>
      <w:pPr>
        <w:pStyle w:val="Quote"/>
      </w:pPr>
      <w:r>
        <w:rPr>
          <w:rFonts w:ascii="Georgia" w:hAnsi="Georgia"/>
          <w:i/>
          <w:color w:val="1A1A2E"/>
          <w:sz w:val="21"/>
        </w:rPr>
        <w:t>cuando nos vamos a juntar todo depende del gobierno nacional y el gobierno nacional nos pide ni la norma, ni permite y facilita... nos toca como lo vamos a hablar</w:t>
      </w:r>
    </w:p>
    <w:p>
      <w:pPr>
        <w:jc w:val="both"/>
      </w:pPr>
      <w:r>
        <w:rPr>
          <w:rFonts w:ascii="Montserrat" w:hAnsi="Montserrat"/>
          <w:color w:val="333333"/>
          <w:sz w:val="22"/>
        </w:rPr>
        <w:t>En el plano de conocimiento, la articulación entre academia y gestores públicos permite distinguir qué problemas son de diseño institucional y cuáles son de implementación. Santiago aporta el diagnóstico técnico de los índices; Eugenio aporta la experiencia política de la Gobernación de Antioquia. Juntos configuran una visión que no idealiza ni la autonomía ni la centralización, sino que busca un modelo de coordinación multinivel con atención asimétrica.</w:t>
      </w:r>
    </w:p>
    <w:p>
      <w:pPr>
        <w:jc w:val="both"/>
      </w:pPr>
      <w:r>
        <w:rPr>
          <w:rFonts w:ascii="Montserrat" w:hAnsi="Montserrat"/>
          <w:color w:val="333333"/>
          <w:sz w:val="22"/>
        </w:rPr>
        <w:t>Finalmente, la sinergia entre gobierno nacional y Congreso se presenta como condición necesaria para la reforma. Eugenio Prieto señala que ya existe legislación que permite avanzar en esquemas asociativos y regiones administrativas, pero falta voluntad política para implementarla. La propuesta de los 'primeros 100 días' incluye decisiones inmediatas del Presidente (adelgazar el Estado, trasladar funcionarios, reformar categorías) y una reforma constitucional de mediano plazo.</w:t>
      </w:r>
    </w:p>
    <w:p>
      <w:pPr>
        <w:pStyle w:val="Quote"/>
      </w:pPr>
      <w:r>
        <w:rPr>
          <w:rFonts w:ascii="Georgia" w:hAnsi="Georgia"/>
          <w:i/>
          <w:color w:val="1A1A2E"/>
          <w:sz w:val="21"/>
        </w:rPr>
        <w:t>Necesitamos la legislación. Ya nos da la posibilidad... las tres decisiones para este gobierno empiece la puntada de esta nueva era la descentralización</w:t>
      </w:r>
    </w:p>
    <w:p>
      <w:pPr>
        <w:pStyle w:val="Heading1"/>
      </w:pPr>
      <w:r>
        <w:t>2. SÍNTESIS ESTRATÉGICA Y HALLAZGOS PRINCIPALES</w:t>
      </w:r>
    </w:p>
    <w:p>
      <w:pPr>
        <w:jc w:val="both"/>
      </w:pPr>
      <w:r>
        <w:rPr>
          <w:rFonts w:ascii="Montserrat" w:hAnsi="Montserrat"/>
          <w:color w:val="333333"/>
          <w:sz w:val="22"/>
        </w:rPr>
        <w:t>La intervención de los panelistas constituye un diagnóstico de política pública que articula cinco niveles de análisis: (1) una lectura histórica de los resultados de la descentralización en 35 años; (2) una evaluación cuantitativa del centralismo fiscal y su efecto empobrecedor sobre departamentos y municipios; (3) un análisis de la fragmentación del sistema de acompañamiento y fortalecimiento; (4) una propuesta normativa y política concreta (SGPT, superintendencia, adelgazamiento del Estado, descentralización asimétrica); y (5) una convocatoria a la coordinación multinivel como condición de viabilidad de cualquier reforma.</w:t>
      </w:r>
    </w:p>
    <w:p>
      <w:pPr>
        <w:jc w:val="both"/>
      </w:pPr>
      <w:r>
        <w:rPr>
          <w:rFonts w:ascii="Montserrat" w:hAnsi="Montserrat"/>
          <w:color w:val="333333"/>
          <w:sz w:val="22"/>
        </w:rPr>
        <w:t>El hallazgo principal es que la crisis del modelo descentralizador colombiano no es un problema de insuficiencia de recursos, sino de arquitectura institucional: se transfirieron competencias sin transferir capacidades, se descentralizaron funciones sin definir escalas adecuadas, y se prometió autonomía sin generar convergencia. La propuesta de duplicar las transferencias, si no va acompañada de un sistema de fortalecimiento territorial y de criterios de autonomía diferenciados, reproducirá las asimetrías actuales bajo otra forma.</w:t>
      </w:r>
    </w:p>
    <w:p>
      <w:pPr>
        <w:jc w:val="both"/>
      </w:pPr>
      <w:r>
        <w:rPr>
          <w:rFonts w:ascii="Montserrat" w:hAnsi="Montserrat"/>
          <w:color w:val="333333"/>
          <w:sz w:val="22"/>
        </w:rPr>
        <w:t>El segundo hallazgo es la existencia de una tensión no resuelta entre la lógica de la autonomía territorial y la lógica del control y acompañamiento nacional. Santiago prioriza la construcción de una autoridad de supervisión (superintendencia) que asocie medición con intervención; Eugenio prioriza la transferencia de recursos y competencias con un modelo asimétrico. La tensión refleja una diferencia de enfoque: Santiago habla desde la evidencia de los índices de desempeño; Eugenio desde la experiencia política de construir autonomía en un departamento con capacidades pero con restricciones normativas.</w:t>
      </w:r>
    </w:p>
    <w:p>
      <w:pPr>
        <w:jc w:val="both"/>
      </w:pPr>
      <w:r>
        <w:rPr>
          <w:rFonts w:ascii="Montserrat" w:hAnsi="Montserrat"/>
          <w:color w:val="333333"/>
          <w:sz w:val="22"/>
        </w:rPr>
        <w:t>El tercer hallazgo es que la brecha entre territorios con capacidades (Antioquia, Bogotá, Medellín, grandes ciudades) y el resto del país es abismal. Una reforma de la descentralización que exija mayor sofisticación técnica o administrativa sin una estrategia de asistencia técnica y transferencia de capacidades consolida la centralización del desarrollo en las grandes ciudades y dejará a los municipios pequeños como 'pagadores sofisticados' o 'tesoreros' de recursos sobre los que no ejercen soberanía presupuestal.</w:t>
      </w:r>
    </w:p>
    <w:p>
      <w:pPr>
        <w:jc w:val="both"/>
      </w:pPr>
      <w:r>
        <w:rPr>
          <w:rFonts w:ascii="Montserrat" w:hAnsi="Montserrat"/>
          <w:color w:val="333333"/>
          <w:sz w:val="22"/>
        </w:rPr>
        <w:t>El cuarto hallazgo es la paradoja de la planeación territorial: se tiene uno de los sistemas más complejos del país, con múltiples ministerios interviniendo de manera fragmentada, pero no existe un punto único de información ni un sistema unificado de acompañamiento. Los alcaldes de municipios pequeños, muchos sin experiencia, deben elaborar planes de desarrollo en tres meses contratando elaboradores que no conocen el territorio. La simplicidad administrativa no es un lujo sino una condición de gobernabilidad para estos territorios.</w:t>
      </w:r>
    </w:p>
    <w:p>
      <w:pPr>
        <w:jc w:val="both"/>
      </w:pPr>
      <w:r>
        <w:rPr>
          <w:rFonts w:ascii="Montserrat" w:hAnsi="Montserrat"/>
          <w:color w:val="333333"/>
          <w:sz w:val="22"/>
        </w:rPr>
        <w:t>El quinto hallazgo es que existen herramientas constitucionales y legales para avanzar (provincias, regiones administrativas, asociaciones municipales), pero falta voluntad política para implementarlas. La propuesta de los 'primeros 100 días' incluye decisiones ejecutivas inmediatas (adelgazar el Estado, trasladar funcionarios, reformar categorías) que no requieren reforma constitucional, y una agenda de mediano plazo (SGPT, reforma tributaria territorial, cuarto poder de planificación) que sí la requiere.</w:t>
      </w:r>
    </w:p>
    <w:p>
      <w:pPr>
        <w:pStyle w:val="Heading1"/>
      </w:pPr>
      <w:r>
        <w:t>3. IMPLICACIONES PARA POLÍTICA PÚBLICA</w:t>
      </w:r>
    </w:p>
    <w:p>
      <w:pPr>
        <w:pStyle w:val="Heading2"/>
      </w:pPr>
      <w:r>
        <w:t>Nacional</w:t>
      </w:r>
    </w:p>
    <w:p>
      <w:pPr>
        <w:jc w:val="both"/>
      </w:pPr>
      <w:r>
        <w:rPr>
          <w:rFonts w:ascii="Montserrat" w:hAnsi="Montserrat"/>
          <w:color w:val="333333"/>
          <w:sz w:val="22"/>
        </w:rPr>
        <w:t>La propuesta de reforma estructural de la descentralización requiere evaluación técnica por parte del Ministerio de Hacienda y Crédito Público, el DNP, el Ministerio del Interior y la Función Pública para determinar su viabilidad fiscal y su coherencia con el marco de reglas fiscales. El impacto del SGPT (estimado en 110 billones de pesos anuales y 0.6 % del PIB, según el análisis de Antioquia) debe contrastarse con las proyecciones de sostenibilidad de la deuda pública. La creación de una superintendencia de descentralización requiere análisis de costo-beneficio institucional y articulación con los organismos de control existentes (Contraloría, Procuraduría). La inclusión de un componente territorial robusto en cada reforma tributaria nacional no es un lujo institucional sino una condición de legitimidad del sistema.</w:t>
      </w:r>
    </w:p>
    <w:p>
      <w:pPr>
        <w:pStyle w:val="Heading2"/>
      </w:pPr>
      <w:r>
        <w:t>Territorial</w:t>
      </w:r>
    </w:p>
    <w:p>
      <w:pPr>
        <w:jc w:val="both"/>
      </w:pPr>
      <w:r>
        <w:rPr>
          <w:rFonts w:ascii="Montserrat" w:hAnsi="Montserrat"/>
          <w:color w:val="333333"/>
          <w:sz w:val="22"/>
        </w:rPr>
        <w:t>Los departamentos y municipios deben evaluar sus capacidades institucionales para asumir las reformas propuestas, particularmente en materia de gestión del riesgo fiscal, planeación del gasto, evaluación de resultados y ordenamiento territorial. La propuesta no es automáticamente beneficiosa para todos los territorios si no se acompaña de fortalecimiento institucional. Las experiencias de Antioquia (modelo provincial, gestión catastral delegada, finanzas climáticas) y de los departamentos con mayores capacidades deben sistematizarse como modelos de cooperación técnica horizontal para municipios intermedios y pequeños, evitando el paternalismo y reconociendo las diferencias de escala.</w:t>
      </w:r>
    </w:p>
    <w:p>
      <w:pPr>
        <w:pStyle w:val="Heading2"/>
      </w:pPr>
      <w:r>
        <w:t>Sectorial</w:t>
      </w:r>
    </w:p>
    <w:p>
      <w:pPr>
        <w:jc w:val="both"/>
      </w:pPr>
      <w:r>
        <w:rPr>
          <w:rFonts w:ascii="Montserrat" w:hAnsi="Montserrat"/>
          <w:color w:val="333333"/>
          <w:sz w:val="22"/>
        </w:rPr>
        <w:t>Los sectores de infraestructura, salud, educación, ambiente y planeación deben analizar cómo una redefinición de las competencias y recursos afectaría la cobertura y calidad de los servicios en departamentos con baja capacidad fiscal propia, particularmente en la Amazonía, el Pacífico y el Caribe insular. La gestión del riesgo y la acción climática, como competencias de escala supramunicipal, requieren un modelo de financiamiento y gobernanza diferente al actual. Las universidades, la ESAP y el DNP tienen un rol clave en la construcción de un sistema de asistencia técnica que reduzca la asimetría entre territorios.</w:t>
      </w:r>
    </w:p>
    <w:p>
      <w:pPr>
        <w:pStyle w:val="Heading1"/>
      </w:pPr>
      <w:r>
        <w:t>4. PRÓXIMOS PASOS Y RECOMENDACIONES DE INCIDENCIA</w:t>
      </w:r>
    </w:p>
    <w:p>
      <w:pPr>
        <w:spacing w:after="120"/>
        <w:ind w:left="360" w:hanging="360"/>
      </w:pPr>
      <w:r>
        <w:rPr>
          <w:rFonts w:ascii="Montserrat" w:hAnsi="Montserrat"/>
          <w:color w:val="0B43F7"/>
          <w:sz w:val="20"/>
        </w:rPr>
        <w:t>●</w:t>
        <w:tab/>
      </w:r>
      <w:r>
        <w:rPr>
          <w:rFonts w:ascii="Montserrat" w:hAnsi="Montserrat"/>
          <w:color w:val="333333"/>
          <w:sz w:val="22"/>
        </w:rPr>
        <w:t>Análisis jurídico de la viabilidad constitucional del SGPT y de la reforma de los artículos 298, 356, 357 y 358, articulandose con el régimen de reglas fiscales y el Sistema General de Participaciones.</w:t>
      </w:r>
    </w:p>
    <w:p>
      <w:pPr>
        <w:spacing w:after="120"/>
        <w:ind w:left="360" w:hanging="360"/>
      </w:pPr>
      <w:r>
        <w:rPr>
          <w:rFonts w:ascii="Montserrat" w:hAnsi="Montserrat"/>
          <w:color w:val="0AB6F2"/>
          <w:sz w:val="20"/>
        </w:rPr>
        <w:t>●</w:t>
        <w:tab/>
      </w:r>
      <w:r>
        <w:rPr>
          <w:rFonts w:ascii="Montserrat" w:hAnsi="Montserrat"/>
          <w:color w:val="333333"/>
          <w:sz w:val="22"/>
        </w:rPr>
        <w:t>Diseño de un Sistema Nacional de Fortalecimiento Territorial que unifique los esquemas de acompañamiento de los ministerios, asocie mediciones de capacidad a intervenciones específicas y priorice a los municipios con peores indicadores de desempeño.</w:t>
      </w:r>
    </w:p>
    <w:p>
      <w:pPr>
        <w:spacing w:after="120"/>
        <w:ind w:left="360" w:hanging="360"/>
      </w:pPr>
      <w:r>
        <w:rPr>
          <w:rFonts w:ascii="Montserrat" w:hAnsi="Montserrat"/>
          <w:color w:val="00CC30"/>
          <w:sz w:val="20"/>
        </w:rPr>
        <w:t>●</w:t>
        <w:tab/>
      </w:r>
      <w:r>
        <w:rPr>
          <w:rFonts w:ascii="Montserrat" w:hAnsi="Montserrat"/>
          <w:color w:val="333333"/>
          <w:sz w:val="22"/>
        </w:rPr>
        <w:t>Evaluación de costo-beneficio institucional para la creación de una superintendencia de descentralización o una autoridad equivalente, definiendo sus funciones de supervisión, control y asistencia técnica.</w:t>
      </w:r>
    </w:p>
    <w:p>
      <w:pPr>
        <w:spacing w:after="120"/>
        <w:ind w:left="360" w:hanging="360"/>
      </w:pPr>
      <w:r>
        <w:rPr>
          <w:rFonts w:ascii="Montserrat" w:hAnsi="Montserrat"/>
          <w:color w:val="6CD3A5"/>
          <w:sz w:val="20"/>
        </w:rPr>
        <w:t>●</w:t>
        <w:tab/>
      </w:r>
      <w:r>
        <w:rPr>
          <w:rFonts w:ascii="Montserrat" w:hAnsi="Montserrat"/>
          <w:color w:val="333333"/>
          <w:sz w:val="22"/>
        </w:rPr>
        <w:t>Mapeo de la coalición parlamentaria y territorial: identificación de congresistas, gobernadores y alcaldes interesados en incluir un componente territorial robusto en la próxima reforma tributaria y en la implementación del Acto Legislativo.</w:t>
      </w:r>
    </w:p>
    <w:p>
      <w:pPr>
        <w:spacing w:after="120"/>
        <w:ind w:left="360" w:hanging="360"/>
      </w:pPr>
      <w:r>
        <w:rPr>
          <w:rFonts w:ascii="Montserrat" w:hAnsi="Montserrat"/>
          <w:color w:val="0B43F7"/>
          <w:sz w:val="20"/>
        </w:rPr>
        <w:t>●</w:t>
        <w:tab/>
      </w:r>
      <w:r>
        <w:rPr>
          <w:rFonts w:ascii="Montserrat" w:hAnsi="Montserrat"/>
          <w:color w:val="333333"/>
          <w:sz w:val="22"/>
        </w:rPr>
        <w:t>Diálogo intergubernamental estructurado entre la Nación, gobernaciones y alcaldías para definir un mapa de competencias claras, criterios de categorización territorial y reglas de asimetría que preceda o acompañe cualquier reforma de distribución de recursos.</w:t>
      </w:r>
    </w:p>
    <w:p>
      <w:pPr>
        <w:spacing w:after="120"/>
        <w:ind w:left="360" w:hanging="360"/>
      </w:pPr>
      <w:r>
        <w:rPr>
          <w:rFonts w:ascii="Montserrat" w:hAnsi="Montserrat"/>
          <w:color w:val="0AB6F2"/>
          <w:sz w:val="20"/>
        </w:rPr>
        <w:t>●</w:t>
        <w:tab/>
      </w:r>
      <w:r>
        <w:rPr>
          <w:rFonts w:ascii="Montserrat" w:hAnsi="Montserrat"/>
          <w:color w:val="333333"/>
          <w:sz w:val="22"/>
        </w:rPr>
        <w:t>Documentación de casos de descentralización asimétrica y coordinación multinivel exitosos en Colombia (ej. modelo provincial de Antioquia, RAP Eje Cafetero, Pactos Territoriales) como evidencia interna de viabilidad.</w:t>
      </w:r>
    </w:p>
    <w:p>
      <w:pPr>
        <w:spacing w:after="120"/>
        <w:ind w:left="360" w:hanging="360"/>
      </w:pPr>
      <w:r>
        <w:rPr>
          <w:rFonts w:ascii="Montserrat" w:hAnsi="Montserrat"/>
          <w:color w:val="00CC30"/>
          <w:sz w:val="20"/>
        </w:rPr>
        <w:t>●</w:t>
        <w:tab/>
      </w:r>
      <w:r>
        <w:rPr>
          <w:rFonts w:ascii="Montserrat" w:hAnsi="Montserrat"/>
          <w:color w:val="333333"/>
          <w:sz w:val="22"/>
        </w:rPr>
        <w:t>Diseño de paquetes estandarizados de soluciones para municipios pequeños (planes de desarrollo, gestión del riesgo, acción climática) evaluados por el DNP, con paso a paso y facilidades de implementación.</w:t>
      </w:r>
    </w:p>
    <w:p>
      <w:pPr>
        <w:spacing w:after="120"/>
        <w:ind w:left="360" w:hanging="360"/>
      </w:pPr>
      <w:r>
        <w:rPr>
          <w:rFonts w:ascii="Montserrat" w:hAnsi="Montserrat"/>
          <w:color w:val="6CD3A5"/>
          <w:sz w:val="20"/>
        </w:rPr>
        <w:t>●</w:t>
        <w:tab/>
      </w:r>
      <w:r>
        <w:rPr>
          <w:rFonts w:ascii="Montserrat" w:hAnsi="Montserrat"/>
          <w:color w:val="333333"/>
          <w:sz w:val="22"/>
        </w:rPr>
        <w:t>Implementación inmediata (primeros 100 días) de medidas de adelgazamiento del Estado nacional: traslado de funcionarios a territorios, reforma de categorías municipales basada en población y recursos, y activación de esquemas asociativos.</w:t>
      </w:r>
    </w:p>
    <w:p>
      <w:pPr>
        <w:spacing w:after="120"/>
        <w:ind w:left="360" w:hanging="360"/>
      </w:pPr>
      <w:r>
        <w:rPr>
          <w:rFonts w:ascii="Montserrat" w:hAnsi="Montserrat"/>
          <w:color w:val="0B43F7"/>
          <w:sz w:val="20"/>
        </w:rPr>
        <w:t>●</w:t>
        <w:tab/>
      </w:r>
      <w:r>
        <w:rPr>
          <w:rFonts w:ascii="Montserrat" w:hAnsi="Montserrat"/>
          <w:color w:val="333333"/>
          <w:sz w:val="22"/>
        </w:rPr>
        <w:t>Desarrollo de una metodología de costo de cumplimiento y costo de oportunidad de la descentralización que permita cuantificar la carga que impone la multiplicidad de administraciones y la concentración fiscal.</w:t>
      </w:r>
    </w:p>
    <w:p>
      <w:pPr>
        <w:spacing w:after="120"/>
        <w:ind w:left="360" w:hanging="360"/>
      </w:pPr>
      <w:r>
        <w:rPr>
          <w:rFonts w:ascii="Montserrat" w:hAnsi="Montserrat"/>
          <w:color w:val="0AB6F2"/>
          <w:sz w:val="20"/>
        </w:rPr>
        <w:t>●</w:t>
        <w:tab/>
      </w:r>
      <w:r>
        <w:rPr>
          <w:rFonts w:ascii="Montserrat" w:hAnsi="Montserrat"/>
          <w:color w:val="333333"/>
          <w:sz w:val="22"/>
        </w:rPr>
        <w:t>Construcción de una estrategia de cooperación técnica horizontal entre departamentos de alta capacidad (Antioquia, Valle, Cundinamarca, Santander) y municipios pequeños para la transferencia de capacidades en planeación, gestión fiscal y ordenamiento territorial.</w:t>
      </w:r>
    </w:p>
    <w:sectPr>
      <w:headerReference r:id="rId7" w:type="default"/>
      <w:footerReference r:id="rId8" w:type="default"/>
      <w:pgSz w:h="15840" w:w="12240" w:orient="portrait"/>
      <w:pgMar w:bottom="1152"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80" w:before="0" w:line="240" w:lineRule="auto"/>
      <w:ind w:left="0" w:right="0" w:firstLine="0"/>
      <w:jc w:val="center"/>
      <w:rPr>
        <w:rFonts w:ascii="Montserrat" w:cs="Montserrat" w:eastAsia="Montserrat" w:hAnsi="Montserrat"/>
        <w:b w:val="0"/>
        <w:bCs w:val="0"/>
        <w:i w:val="0"/>
        <w:iCs w:val="0"/>
        <w:smallCaps w:val="0"/>
        <w:strike w:val="0"/>
        <w:color w:val="333333"/>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Pr>
      <w:drawing>
        <wp:inline distB="0" distT="0" distL="114300" distR="114300">
          <wp:extent cx="5029200" cy="246810"/>
          <wp:effectExtent b="0" l="0" r="0" t="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029200" cy="24681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before="40" w:lineRule="auto"/>
      <w:jc w:val="center"/>
      <w:rPr/>
    </w:pPr>
    <w:r w:rsidDel="00000000" w:rsidR="00000000" w:rsidRPr="00000000">
      <w:rPr>
        <w:rFonts w:ascii="Montserrat" w:cs="Montserrat" w:eastAsia="Montserrat" w:hAnsi="Montserrat"/>
        <w:b w:val="0"/>
        <w:bCs w:val="0"/>
        <w:i w:val="0"/>
        <w:iCs w:val="0"/>
        <w:color w:val="4a4a5a"/>
        <w:sz w:val="16"/>
        <w:szCs w:val="16"/>
        <w:rtl w:val="0"/>
      </w:rPr>
      <w:t xml:space="preserve">Sistematización FPT 2026 </w:t>
    </w:r>
    <w:r w:rsidDel="00000000" w:rsidR="00000000" w:rsidRPr="00000000">
      <w:rPr>
        <w:color w:val="4a4a5a"/>
        <w:sz w:val="16"/>
        <w:szCs w:val="16"/>
        <w:rtl w:val="0"/>
      </w:rPr>
      <w:t xml:space="preserve"> | </w:t>
    </w:r>
    <w:r w:rsidDel="00000000" w:rsidR="00000000" w:rsidRPr="00000000">
      <w:rPr>
        <w:rFonts w:ascii="Montserrat" w:cs="Montserrat" w:eastAsia="Montserrat" w:hAnsi="Montserrat"/>
        <w:b w:val="0"/>
        <w:bCs w:val="0"/>
        <w:i w:val="0"/>
        <w:iCs w:val="0"/>
        <w:color w:val="4a4a5a"/>
        <w:sz w:val="16"/>
        <w:szCs w:val="16"/>
        <w:rtl w:val="0"/>
      </w:rPr>
      <w:t xml:space="preserve">GOBS Estrategias Públicas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Montserrat" w:cs="Montserrat" w:eastAsia="Montserrat" w:hAnsi="Montserrat"/>
        <w:b w:val="0"/>
        <w:bCs w:val="0"/>
        <w:i w:val="0"/>
        <w:iCs w:val="0"/>
        <w:smallCaps w:val="0"/>
        <w:strike w:val="0"/>
        <w:color w:val="333333"/>
        <w:sz w:val="22"/>
        <w:szCs w:val="22"/>
        <w:u w:val="none"/>
        <w:shd w:fill="auto" w:val="clear"/>
        <w:vertAlign w:val="baseline"/>
      </w:rPr>
    </w:pPr>
    <w:r w:rsidDel="00000000" w:rsidR="00000000" w:rsidRPr="00000000">
      <w:rPr>
        <w:rtl w:val="0"/>
      </w:rPr>
    </w:r>
  </w:p>
  <w:tbl>
    <w:tblPr>
      <w:tblStyle w:val="Table3"/>
      <w:tblW w:w="9359.999999999998"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24"/>
      <w:gridCol w:w="3312"/>
      <w:gridCol w:w="3024"/>
      <w:tblGridChange w:id="0">
        <w:tblGrid>
          <w:gridCol w:w="3024"/>
          <w:gridCol w:w="3312"/>
          <w:gridCol w:w="3024"/>
        </w:tblGrid>
      </w:tblGridChange>
    </w:tblGrid>
    <w:tr>
      <w:trPr>
        <w:cantSplit w:val="0"/>
        <w:tblHeader w:val="0"/>
      </w:trPr>
      <w:tc>
        <w:tcPr>
          <w:vAlign w:val="center"/>
        </w:tcPr>
        <w:p w:rsidR="00000000" w:rsidDel="00000000" w:rsidP="00000000" w:rsidRDefault="00000000" w:rsidRPr="00000000" w14:paraId="00000016">
          <w:pPr>
            <w:jc w:val="left"/>
            <w:rPr/>
          </w:pPr>
          <w:r w:rsidDel="00000000" w:rsidR="00000000" w:rsidRPr="00000000">
            <w:rPr/>
            <w:drawing>
              <wp:inline distB="0" distT="0" distL="114300" distR="114300">
                <wp:extent cx="1463040" cy="822960"/>
                <wp:effectExtent b="0" l="0" r="0" 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463040" cy="82296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7">
          <w:pPr>
            <w:jc w:val="center"/>
            <w:rPr/>
          </w:pPr>
          <w:r w:rsidDel="00000000" w:rsidR="00000000" w:rsidRPr="00000000">
            <w:rPr/>
            <w:drawing>
              <wp:inline distB="0" distT="0" distL="114300" distR="114300">
                <wp:extent cx="1280160" cy="1005459"/>
                <wp:effectExtent b="0" l="0" r="0" t="0"/>
                <wp:docPr id="6"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280160" cy="100545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8">
          <w:pPr>
            <w:jc w:val="right"/>
            <w:rPr/>
          </w:pPr>
          <w:r w:rsidDel="00000000" w:rsidR="00000000" w:rsidRPr="00000000">
            <w:rPr/>
            <w:drawing>
              <wp:inline distB="0" distT="0" distL="114300" distR="114300">
                <wp:extent cx="1645920" cy="423907"/>
                <wp:effectExtent b="0" l="0" r="0" t="0"/>
                <wp:docPr id="5"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45920" cy="4239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9">
    <w:pPr>
      <w:spacing w:before="40" w:lineRule="auto"/>
      <w:jc w:val="center"/>
      <w:rPr/>
    </w:pPr>
    <w:r w:rsidDel="00000000" w:rsidR="00000000" w:rsidRPr="00000000">
      <w:rPr>
        <w:rFonts w:ascii="Montserrat" w:cs="Montserrat" w:eastAsia="Montserrat" w:hAnsi="Montserrat"/>
        <w:b w:val="0"/>
        <w:bCs w:val="0"/>
        <w:i w:val="0"/>
        <w:iCs w:val="0"/>
        <w:color w:val="e0e0e0"/>
        <w:sz w:val="12"/>
        <w:szCs w:val="12"/>
        <w:rtl w:val="0"/>
      </w:rPr>
      <w:t xml:space="preserve">__________________________________________________________________________________________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333333"/>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pPr>
    <w:rPr>
      <w:rFonts w:ascii="Georgia" w:cs="Georgia" w:eastAsia="Georgia" w:hAnsi="Georgia"/>
      <w:b w:val="1"/>
      <w:bCs w:val="1"/>
      <w:color w:val="000000"/>
      <w:sz w:val="40"/>
      <w:szCs w:val="40"/>
    </w:rPr>
  </w:style>
  <w:style w:type="paragraph" w:styleId="Heading2">
    <w:name w:val="heading 2"/>
    <w:basedOn w:val="Normal"/>
    <w:next w:val="Normal"/>
    <w:pPr>
      <w:keepNext w:val="1"/>
      <w:keepLines w:val="1"/>
      <w:spacing w:after="160" w:before="360" w:lineRule="auto"/>
    </w:pPr>
    <w:rPr>
      <w:rFonts w:ascii="Georgia" w:cs="Georgia" w:eastAsia="Georgia" w:hAnsi="Georgia"/>
      <w:b w:val="1"/>
      <w:bCs w:val="1"/>
      <w:color w:val="0b43f7"/>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80"/>
      <w:ind w:left="360"/>
      <w:contextualSpacing w:val="1"/>
    </w:pPr>
    <w:rPr>
      <w:rFonts w:ascii="Montserrat" w:hAnsi="Montserrat"/>
      <w:color w:val="333333"/>
      <w:sz w:val="22"/>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pPr>
      <w:spacing w:after="240" w:before="240"/>
      <w:ind w:left="432" w:right="432"/>
    </w:pPr>
    <w:rPr>
      <w:rFonts w:ascii="Georgia" w:hAnsi="Georgia"/>
      <w:i w:val="1"/>
      <w:iCs w:val="1"/>
      <w:color w:val="1a1a2e"/>
      <w:sz w:val="2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Mq/R98wWnvN5Q+kTqFynqfo6w==">CgMxLjA4AHIhMTF3TzRPc2ZwbXo3bkNOb1g2cHpQTC0xNEhjeENrT2xR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