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6</w:t>
      </w:r>
    </w:p>
    <w:p>
      <w:pPr>
        <w:spacing w:after="80"/>
      </w:pPr>
      <w:r>
        <w:rPr>
          <w:rFonts w:ascii="Georgia" w:hAnsi="Georgia"/>
          <w:i/>
          <w:color w:val="4A4A5A"/>
          <w:sz w:val="24"/>
        </w:rPr>
        <w:t>Congreso de Finanzas Públicas Territoriales 2026</w:t>
      </w:r>
    </w:p>
    <w:p>
      <w:pPr>
        <w:spacing w:after="80"/>
      </w:pPr>
      <w:r>
        <w:rPr>
          <w:rFonts w:ascii="Georgia" w:hAnsi="Georgia"/>
          <w:i/>
          <w:color w:val="666666"/>
          <w:sz w:val="18"/>
        </w:rPr>
        <w:t>Fecha del evento: 5-6 de Agosto 2026</w:t>
      </w:r>
      <w:r>
        <w:br/>
      </w:r>
      <w:r>
        <w:rPr>
          <w:rFonts w:ascii="Georgia" w:hAnsi="Georgia"/>
          <w:i/>
          <w:color w:val="666666"/>
          <w:sz w:val="18"/>
        </w:rPr>
        <w:t>Panel: Panel 6 -- El futuro de las finanzas públicas territoriales</w:t>
      </w:r>
      <w:r>
        <w:br/>
      </w:r>
      <w:r>
        <w:rPr>
          <w:rFonts w:ascii="Georgia" w:hAnsi="Georgia"/>
          <w:i/>
          <w:color w:val="666666"/>
          <w:sz w:val="18"/>
        </w:rPr>
        <w:t>Actores principales: Daniel Felipe Escobar -- Experto en finanzas públicas y competitividad; Lizandro Junco -- Experto jurídico-tributario; José Andrés Romero -- Moderador</w:t>
      </w:r>
      <w:r>
        <w:br/>
      </w:r>
      <w:r>
        <w:rPr>
          <w:rFonts w:ascii="Georgia" w:hAnsi="Georgia"/>
          <w:i/>
          <w:color w:val="666666"/>
          <w:sz w:val="18"/>
        </w:rPr>
        <w:t>Instituciones: Consultoría independiente; Experiencia gobierno nacional (Duque); Sector académico y práctico</w:t>
      </w:r>
      <w:r>
        <w:br/>
      </w:r>
      <w:r>
        <w:rPr>
          <w:rFonts w:ascii="Georgia" w:hAnsi="Georgia"/>
          <w:i/>
          <w:color w:val="666666"/>
          <w:sz w:val="18"/>
        </w:rPr>
        <w:t>Codificación: Descentralización fiscal | Estrechez fiscal | Economía digital | Modernización tributaria | Competitividad territorial | Activos públicos | Bonos verdes | Cultura de pago | Autonomía real</w:t>
      </w:r>
    </w:p>
    <w:p>
      <w:pPr>
        <w:spacing w:after="320"/>
      </w:pPr>
      <w:r>
        <w:rPr>
          <w:rFonts w:ascii="Montserrat" w:hAnsi="Montserrat"/>
          <w:color w:val="0B43F7"/>
          <w:sz w:val="20"/>
        </w:rPr>
        <w:t>───────────────────────────────────</w:t>
      </w:r>
    </w:p>
    <w:p>
      <w:pPr>
        <w:pStyle w:val="Heading1"/>
      </w:pPr>
      <w:r>
        <w:t>1. CONTEXTO Y ANCLAJE POLÍTICO</w:t>
      </w:r>
    </w:p>
    <w:p>
      <w:pPr>
        <w:jc w:val="both"/>
      </w:pPr>
      <w:r>
        <w:rPr>
          <w:rFonts w:ascii="Montserrat" w:hAnsi="Montserrat"/>
          <w:color w:val="333333"/>
          <w:sz w:val="22"/>
        </w:rPr>
        <w:t>La intervención se enmarca en el Panel 6 del Congreso de Finanzas Públicas Territoriales 2026, organizado por GOBS, dedicado al futuro de las finanzas públicas territoriales. El diálogo, conducido por José Andrés Romero, articula la visión de dos panelistas con trayectorias complementarias: Daniel Felipe Escobar, desde la experiencia de gestión pública, competitividad y modernización tributaria (con énfasis en la experiencia de Medellín y el gobierno nacional anterior), y Lizandro Junco, desde el análisis jurídico-tributario y la realidad de los 759 municipios en situación de vulnerabilidad fiscal. La conversación se sitúa en un momento de estrechez fiscal sin precedentes, donde el déficit nacional, la deuda en dólares y el Acto Legislativo de transferencias generan una tensión insostenible entre la promesa de descentralización y la capacidad real de recaudo de los territorios.</w:t>
      </w:r>
    </w:p>
    <w:p>
      <w:pPr>
        <w:jc w:val="both"/>
      </w:pPr>
      <w:r>
        <w:rPr>
          <w:rFonts w:ascii="Montserrat" w:hAnsi="Montserrat"/>
          <w:color w:val="333333"/>
          <w:sz w:val="22"/>
        </w:rPr>
        <w:t>El anclaje político del panel no es meramente descriptivo: el moderador convoca explícitamente a los asistentes a reflexionar sobre quién está atendiendo las nuevas competencias (ambiental, migración, movilidad, seguridad) y con qué recursos, cuando ninguna ley ha traído esas funciones ni los recursos para ejecutarlas. Esta convocatoria performativa establece el tono de urgencia y la legitimidad epistémica del evento, posicionando la discusión no como un ejercicio de prospectiva sino como una reconstrucción crítica orientada a la acción inmediata.</w:t>
      </w:r>
    </w:p>
    <w:p>
      <w:pPr>
        <w:pStyle w:val="Quote"/>
      </w:pPr>
      <w:r>
        <w:rPr>
          <w:rFonts w:ascii="Georgia" w:hAnsi="Georgia"/>
          <w:i/>
          <w:color w:val="1A1A2E"/>
          <w:sz w:val="21"/>
        </w:rPr>
        <w:t>ya ustedes tienen competencias nuevas desde los municipios. ¿O quién está atendiendo la gestión ambiental o quién atiende a los migrantes sin decir nacionales vecinos o quién está atendiendo la movilidad en áreas metropolitanas y una última pregunta, ¿quién está atendiendo la seguridad en la ciudadanía? ¿Con qué recursos está girando porque ya tienen competencias y que ninguna ley les ha llevado a otras competencias?</w:t>
      </w:r>
    </w:p>
    <w:p>
      <w:pPr>
        <w:jc w:val="both"/>
      </w:pPr>
      <w:r>
        <w:rPr>
          <w:rFonts w:ascii="Montserrat" w:hAnsi="Montserrat"/>
          <w:color w:val="333333"/>
          <w:sz w:val="22"/>
        </w:rPr>
        <w:t>El problema público central que articula el panel es la desconexión entre el modelo de financiación territorial heredado (SGP + ICA + transferencias) y las nuevas realidades económicas, fiscales y tecnológicas. Esta desconexión se manifiesta en siete dimensiones interconectadas: una estrechez fiscal nacional que asfixia la transferencia de recursos; un rezago técnico y cultural en materia de recaudo local; una complejidad del ICA que lo hace inadecuado para la economía digital; una competencia tributaria dañina entre municipios; una autonomía de papel que no se traduce en capacidad de gasto; una dependencia del centro que afecta al 60-90 % de los ingresos de la mayoría de municipios; y una incapacidad para monetizar activos públicos y explorar nuevas fuentes de financiación (bonos verdes, APPs, valorización).</w:t>
      </w:r>
    </w:p>
    <w:p>
      <w:pPr>
        <w:pStyle w:val="Heading2"/>
      </w:pPr>
      <w:r>
        <w:rPr>
          <w:color w:val="0B43F7"/>
        </w:rPr>
        <w:t>Problemas identificados</w:t>
      </w:r>
    </w:p>
    <w:p>
      <w:pPr>
        <w:jc w:val="both"/>
      </w:pPr>
      <w:r>
        <w:rPr>
          <w:rFonts w:ascii="Montserrat" w:hAnsi="Montserrat"/>
          <w:color w:val="333333"/>
          <w:sz w:val="22"/>
        </w:rPr>
        <w:t>El discurso articula un diagnóstico estructural en siete problemas interconectados que configuran una crisis de sostenibilidad y legitimidad del modelo de financiación territorial colombiano. El primero de ellos ---la estrechez fiscal del orden nacional--- no se presenta como un dato aislado, sino como una condición que redefine el espacio de maniobra de toda la descentralización.</w:t>
      </w:r>
    </w:p>
    <w:p>
      <w:pPr>
        <w:spacing w:before="120"/>
      </w:pPr>
      <w:r>
        <w:rPr>
          <w:rFonts w:ascii="Montserrat" w:hAnsi="Montserrat"/>
          <w:b/>
          <w:color w:val="1A1A2E"/>
          <w:sz w:val="22"/>
        </w:rPr>
        <w:t>Eje A. Estrechez fiscal del orden nacional: déficit, deuda y transferencias insostenibles</w:t>
      </w:r>
    </w:p>
    <w:p>
      <w:pPr>
        <w:jc w:val="both"/>
      </w:pPr>
      <w:r>
        <w:rPr>
          <w:rFonts w:ascii="Montserrat" w:hAnsi="Montserrat"/>
          <w:color w:val="333333"/>
          <w:sz w:val="22"/>
        </w:rPr>
        <w:t>Daniel Felipe Escobar abre el diagnóstico con una advertencia contundente: Colombia tiene uno de los tres déficits más grandes de su historia, producto del gasto extraordinario por la pandemia que se niveló pero no se reversó. La conversión de la deuda a dólares por parte del gobierno actual, cuando el tipo de cambio estaba bajo, ha generado que hoy se deba mucho más en pesos. El servicio de la deuda creció, las contrataciones a última hora no se pueden desmontar, y el Acto Legislativo que compromete más recursos hacia las regiones genera una situación de estrechez fiscal muy complicada.</w:t>
      </w:r>
    </w:p>
    <w:p>
      <w:pPr>
        <w:pStyle w:val="Quote"/>
      </w:pPr>
      <w:r>
        <w:rPr>
          <w:rFonts w:ascii="Georgia" w:hAnsi="Georgia"/>
          <w:i/>
          <w:color w:val="1A1A2E"/>
          <w:sz w:val="21"/>
        </w:rPr>
        <w:t>Colombia tiene las finanzas públicas y lo que tenemos es el déficit o uno de los tres más grandes de la historia de Colombia... Este gobierno convirtió la deuda en dólares que ahorita está bajito... quiere decir que hoy en día debemos mucho más... el porcentaje de adentro es muchísimo más como porcentaje de tipo y lo mismo el servicio de la deuda</w:t>
      </w:r>
    </w:p>
    <w:p>
      <w:pPr>
        <w:pStyle w:val="Quote"/>
      </w:pPr>
      <w:r>
        <w:rPr>
          <w:rFonts w:ascii="Georgia" w:hAnsi="Georgia"/>
          <w:i/>
          <w:color w:val="1A1A2E"/>
          <w:sz w:val="21"/>
        </w:rPr>
        <w:t>cuando a eso le adicionamos el tema del compromiso que se adquiere con el acto legislativo más recursos en las regiones hacia los municipios y traten de esas funciones en donde en ese proceso de transición seguramente vamos a tener ineficiencias, pues ahí vamos a tener una situación muy estrecha muy complicada para el país</w:t>
      </w:r>
    </w:p>
    <w:p>
      <w:pPr>
        <w:spacing w:before="120"/>
      </w:pPr>
      <w:r>
        <w:rPr>
          <w:rFonts w:ascii="Montserrat" w:hAnsi="Montserrat"/>
          <w:b/>
          <w:color w:val="1A1A2E"/>
          <w:sz w:val="22"/>
        </w:rPr>
        <w:t>Eje B. Rezago técnico y ausencia de cultura de pago</w:t>
      </w:r>
    </w:p>
    <w:p>
      <w:pPr>
        <w:jc w:val="both"/>
      </w:pPr>
      <w:r>
        <w:rPr>
          <w:rFonts w:ascii="Montserrat" w:hAnsi="Montserrat"/>
          <w:color w:val="333333"/>
          <w:sz w:val="22"/>
        </w:rPr>
        <w:t>Daniel Felipe Escobar identifica un problema cultural y técnico de fondo: lleva 32 años sin pagar los ajustes de impuestos, la gente no está acostumbrada, y no se ha construido una cultura de pago legítima. Las campañas de concientización en Medellín ---incluyendo llamadas telefónicas de agradecimiento al contribuyente--- buscaron que la gente sintiera que sus impuestos se traducen en servicios públicos, salud, educación y seguridad. Sin embargo, este esfuerzo local choca con un rezago nacional: los impuestos no deben ser a la fuerza, sino legítimos, pero lleva décadas sin aplicar ajustes ni el IVA en momentos oportunos.</w:t>
      </w:r>
    </w:p>
    <w:p>
      <w:pPr>
        <w:pStyle w:val="Quote"/>
      </w:pPr>
      <w:r>
        <w:rPr>
          <w:rFonts w:ascii="Georgia" w:hAnsi="Georgia"/>
          <w:i/>
          <w:color w:val="1A1A2E"/>
          <w:sz w:val="21"/>
        </w:rPr>
        <w:t>Tenemos que superar el rezago técnico y construir una cultura de pago en materia tributaria... hicimos unas campañas de concientizar a los contribuyentes para que en efecto vieran y sintieran que lo que estaban pagando impuestos realmente se compensaba con servicios públicos con Obras Públicas</w:t>
      </w:r>
    </w:p>
    <w:p>
      <w:pPr>
        <w:pStyle w:val="Quote"/>
      </w:pPr>
      <w:r>
        <w:rPr>
          <w:rFonts w:ascii="Georgia" w:hAnsi="Georgia"/>
          <w:i/>
          <w:color w:val="1A1A2E"/>
          <w:sz w:val="21"/>
        </w:rPr>
        <w:t>uno no puede pretender actualizar o mejorar una situación que lleva 32 años... hay que entender que los impuestos no deben ser impuestos a la fuerza, sino que ser legítimos que la gente cuando paga siempre que está pagando algo es lógico porque hay una restricción pero también porque es algo correcto</w:t>
      </w:r>
    </w:p>
    <w:p>
      <w:pPr>
        <w:spacing w:before="120"/>
      </w:pPr>
      <w:r>
        <w:rPr>
          <w:rFonts w:ascii="Montserrat" w:hAnsi="Montserrat"/>
          <w:b/>
          <w:color w:val="1A1A2E"/>
          <w:sz w:val="22"/>
        </w:rPr>
        <w:t>Eje C. Complejidad del ICA y rezago frente a la economía digital</w:t>
      </w:r>
    </w:p>
    <w:p>
      <w:pPr>
        <w:jc w:val="both"/>
      </w:pPr>
      <w:r>
        <w:rPr>
          <w:rFonts w:ascii="Montserrat" w:hAnsi="Montserrat"/>
          <w:color w:val="333333"/>
          <w:sz w:val="22"/>
        </w:rPr>
        <w:t>Ambos panelistas coinciden en que el ICA es un impuesto arcaico, construido hace más de 50 años sobre la lógica del establecimiento permanente y el lugar físico de negocios. La economía digital desafía esta lógica: si una plataforma como expay.com opera en Colombia pero recibe ingresos en Nueva York, ¿dónde se emplaza el requerimiento? Lizandro Junco señala que ningún municipio ha establecido cuáles son las actividades económicas digitales, y que la modernización debe ser también procedimental: cambiar el chip de las administraciones para usar la información de facturación electrónica y medios de pago para emitir liquidaciones oficiales directamente, sin esperar la declaración del contribuyente.</w:t>
      </w:r>
    </w:p>
    <w:p>
      <w:pPr>
        <w:pStyle w:val="Quote"/>
      </w:pPr>
      <w:r>
        <w:rPr>
          <w:rFonts w:ascii="Georgia" w:hAnsi="Georgia"/>
          <w:i/>
          <w:color w:val="1A1A2E"/>
          <w:sz w:val="21"/>
        </w:rPr>
        <w:t>el ICA construido desde hace ya casi 50 años... la gran cantidad de los ingresos o de la capacidad contributiva sale del dominio de ese principio físico del lugar fijo de negocios... si yo me llamo expay.com y tengo una y opera acá en Colombia y estoy en una plataforma de contenido. Yo recibo los ingresos por los recibo en Nueva York el servicio se está prestando acá. ¿A dónde me encuentro requerimiento especial, a dónde le mando el emplazamiento?</w:t>
      </w:r>
    </w:p>
    <w:p>
      <w:pPr>
        <w:pStyle w:val="Quote"/>
      </w:pPr>
      <w:r>
        <w:rPr>
          <w:rFonts w:ascii="Georgia" w:hAnsi="Georgia"/>
          <w:i/>
          <w:color w:val="1A1A2E"/>
          <w:sz w:val="21"/>
        </w:rPr>
        <w:t>-Preguntando abiertamente al público: ¿Hay algún municipio en el país que ya haya establecido cuáles son las actividades económicas o las actividades económicas digitales? ¿Alguien lo ha hecho? Entonces, si no lo han hecho cómo los van a poner a tributar.</w:t>
      </w:r>
    </w:p>
    <w:p>
      <w:pPr>
        <w:jc w:val="both"/>
      </w:pPr>
      <w:r>
        <w:rPr>
          <w:rFonts w:ascii="Montserrat" w:hAnsi="Montserrat"/>
          <w:color w:val="333333"/>
          <w:sz w:val="22"/>
        </w:rPr>
        <w:t>Daniel Felipe Escobar complementa desde la perspectiva de la comisión de expertos territoriales del gobierno Duque: el ICA debe replantearse como un impuesto de renta de carácter local o como una sobretasa del IVA de consumo local, similar al modelo estadounidense. La resistencia de los municipios al cambio se basa en el miedo a perder recaudo, pero el paradigma debe romperse porque el impuesto actual se erosiona con la digitalización.</w:t>
      </w:r>
    </w:p>
    <w:p>
      <w:pPr>
        <w:pStyle w:val="Quote"/>
      </w:pPr>
      <w:r>
        <w:rPr>
          <w:rFonts w:ascii="Georgia" w:hAnsi="Georgia"/>
          <w:i/>
          <w:color w:val="1A1A2E"/>
          <w:sz w:val="21"/>
        </w:rPr>
        <w:t>El impuesto tiene que replantearse para que sea como un impuesto de renta de carácter local, como lo es en Estados Unidos locales territoriales como una sobre tasa del IVA... aquí hay que tener cuidado, hay que darse cuenta diferente hay que pensar diferente y hay que tomar decisiones importantes para asegurar el trabajo</w:t>
      </w:r>
    </w:p>
    <w:p>
      <w:pPr>
        <w:spacing w:before="120"/>
      </w:pPr>
      <w:r>
        <w:rPr>
          <w:rFonts w:ascii="Montserrat" w:hAnsi="Montserrat"/>
          <w:b/>
          <w:color w:val="1A1A2E"/>
          <w:sz w:val="22"/>
        </w:rPr>
        <w:t>Eje D. Competencia tributaria dañina y guerra de tarifas entre municipios</w:t>
      </w:r>
    </w:p>
    <w:p>
      <w:pPr>
        <w:jc w:val="both"/>
      </w:pPr>
      <w:r>
        <w:rPr>
          <w:rFonts w:ascii="Montserrat" w:hAnsi="Montserrat"/>
          <w:color w:val="333333"/>
          <w:sz w:val="22"/>
        </w:rPr>
        <w:t>Lizandro Junco identifica una competencia tributaria perniciosa donde los municipios compiten por ser los de tarifa más baja para atraer empresas, generando una carrera hacia el fondo que afecta la sostenibilidad fiscal. El sector financiero, particularmente móvil, se va a Panamá, Guatemala, Honduras o El Salvador si se le suben impuestos. Bogotá presentó un proyecto de acuerdo para bajar tarifas del ICA, lo que genera presión sobre el resto del país. La respuesta no debe ser la guerra de tarifas sino la calidad institucional: seguridad jurídica, tiempos de respuesta rápidos, proyectos mecanizados.</w:t>
      </w:r>
    </w:p>
    <w:p>
      <w:pPr>
        <w:pStyle w:val="Quote"/>
      </w:pPr>
      <w:r>
        <w:rPr>
          <w:rFonts w:ascii="Georgia" w:hAnsi="Georgia"/>
          <w:i/>
          <w:color w:val="1A1A2E"/>
          <w:sz w:val="21"/>
        </w:rPr>
        <w:t>Tenemos una costumbre y es que el municipio sea más bajito para que el empresario se vaya... el sector financiero es el que más fácil movible el capital que tienen de trabajo para Panamá se van para Guatemala se van para Honduras se van para El Salvador... eso es lo que queremos hay que replantear todos nuestros sistemas tributarios municipales y hay que pensar fuera de la caja</w:t>
      </w:r>
    </w:p>
    <w:p>
      <w:pPr>
        <w:pStyle w:val="Quote"/>
      </w:pPr>
      <w:r>
        <w:rPr>
          <w:rFonts w:ascii="Georgia" w:hAnsi="Georgia"/>
          <w:i/>
          <w:color w:val="1A1A2E"/>
          <w:sz w:val="21"/>
        </w:rPr>
        <w:t>Bogotá ayer presentó un proyecto de acuerdo que le baja las tarifas... El futuro de las finanzas públicas no va a competir alrededor de tarifas sino de tres premisas fundamentales: primero seguridad jurídica... por otra parte tiene tiempos de respuesta mucho más rápidos... y por otra parte que tienen los proyectos para mecanizados para que la gente sienta acercar que esa interacción es rápida y eficiente</w:t>
      </w:r>
    </w:p>
    <w:p>
      <w:pPr>
        <w:spacing w:before="120"/>
      </w:pPr>
      <w:r>
        <w:rPr>
          <w:rFonts w:ascii="Montserrat" w:hAnsi="Montserrat"/>
          <w:b/>
          <w:color w:val="1A1A2E"/>
          <w:sz w:val="22"/>
        </w:rPr>
        <w:t>Eje E. Autonomía de papel: el SGP y la dependencia del centro</w:t>
      </w:r>
    </w:p>
    <w:p>
      <w:pPr>
        <w:jc w:val="both"/>
      </w:pPr>
      <w:r>
        <w:rPr>
          <w:rFonts w:ascii="Montserrat" w:hAnsi="Montserrat"/>
          <w:color w:val="333333"/>
          <w:sz w:val="22"/>
        </w:rPr>
        <w:t>Lizandro Junco caracteriza la autonomía territorial colombiana como una 'autonomía de papel'. El Sistema General de Participaciones no arranca con la Constitución de 1991, sino en 2001; antes eran transferencias. La meta del 39,5 % no responde a competencias reales ni a fuentes de ingresos propias. La mayoría de los municipios depende del gobierno central entre el 60 y el 90 % de sus recursos. Los impuestos a los alimentos, que generan presión política para eliminarse, en realidad son una fuente de recursos que se quita por populismo, dejando a los territorios sin capacidad de financiar sus funciones.</w:t>
      </w:r>
    </w:p>
    <w:p>
      <w:pPr>
        <w:pStyle w:val="Quote"/>
      </w:pPr>
      <w:r>
        <w:rPr>
          <w:rFonts w:ascii="Georgia" w:hAnsi="Georgia"/>
          <w:i/>
          <w:color w:val="1A1A2E"/>
          <w:sz w:val="21"/>
        </w:rPr>
        <w:t>la autonomía tiene Colombia es una autonomía de papel... El sistema general de participación no arranca con la constitución del 91, eso es falso... El sistema general de participación arrancó en el 2001 antes eran transferencias... Si llegamos al 39,5% de transferencias de la nación hacia los departamentos y municipios vamos a hacer aumentos. ¿Responden ustedes en sus municipios y departamentos? La respuesta es no. La mayoría de los municipios depende del gobierno central entre el 60 y el 90%... 759 municipios en riesgo... la descentralización y la autonomía debe ser manual</w:t>
      </w:r>
    </w:p>
    <w:p>
      <w:pPr>
        <w:spacing w:before="120"/>
      </w:pPr>
      <w:r>
        <w:rPr>
          <w:rFonts w:ascii="Montserrat" w:hAnsi="Montserrat"/>
          <w:b/>
          <w:color w:val="1A1A2E"/>
          <w:sz w:val="22"/>
        </w:rPr>
        <w:t>Eje F. Catastro desactualizado y falta de integración de datos</w:t>
      </w:r>
    </w:p>
    <w:p>
      <w:pPr>
        <w:jc w:val="both"/>
      </w:pPr>
      <w:r>
        <w:rPr>
          <w:rFonts w:ascii="Montserrat" w:hAnsi="Montserrat"/>
          <w:color w:val="333333"/>
          <w:sz w:val="22"/>
        </w:rPr>
        <w:t>Daniel Felipe Escobar señala que España tiene un catastro digital que integra oficinas de registro, declaraciones tributarias y transacciones. Colombia necesita esa integración. La inteligencia territorial, el uso de datos y la facturación electrónica son infraestructura de base para cualquier reforma. Sin embargo, el sector financiero tiene una exclusión por ley de la facturación electrónica, lo que genera una brecha de información crítica. La DIAN tiene datos que los territorios no pueden acceder, y la falta de integración entre niveles de gobierno reproduce la opacidad.</w:t>
      </w:r>
    </w:p>
    <w:p>
      <w:pPr>
        <w:pStyle w:val="Quote"/>
      </w:pPr>
      <w:r>
        <w:rPr>
          <w:rFonts w:ascii="Georgia" w:hAnsi="Georgia"/>
          <w:i/>
          <w:color w:val="1A1A2E"/>
          <w:sz w:val="21"/>
        </w:rPr>
        <w:t>En España hay un catastro digital que integra las oficinas de Registro las declaraciones tributarias las transacciones en catastro... es algo que el país necesita y la recomendación que nosotros hemos venido haciendo es inteligencia regional o territorial... compartamos información sobre el desarrollo tecnológico... ayude a ser mucho más eficiente en el proceso de recaudo</w:t>
      </w:r>
    </w:p>
    <w:p>
      <w:pPr>
        <w:pStyle w:val="Quote"/>
      </w:pPr>
      <w:r>
        <w:rPr>
          <w:rFonts w:ascii="Georgia" w:hAnsi="Georgia"/>
          <w:i/>
          <w:color w:val="1A1A2E"/>
          <w:sz w:val="21"/>
        </w:rPr>
        <w:t>el sector financiero tiene una exclusión por ley en la facturación electrónica por ley está escrito que yo no puedo capturar... electrónica cuando deberían ser los primeros factura electrónica</w:t>
      </w:r>
    </w:p>
    <w:p>
      <w:pPr>
        <w:spacing w:before="120"/>
      </w:pPr>
      <w:r>
        <w:rPr>
          <w:rFonts w:ascii="Montserrat" w:hAnsi="Montserrat"/>
          <w:b/>
          <w:color w:val="1A1A2E"/>
          <w:sz w:val="22"/>
        </w:rPr>
        <w:t>Eje G. Activos públicos improductivos y dependencia del modelo tributario tradicional</w:t>
      </w:r>
    </w:p>
    <w:p>
      <w:pPr>
        <w:jc w:val="both"/>
      </w:pPr>
      <w:r>
        <w:rPr>
          <w:rFonts w:ascii="Montserrat" w:hAnsi="Montserrat"/>
          <w:color w:val="333333"/>
          <w:sz w:val="22"/>
        </w:rPr>
        <w:t>Daniel Felipe Escobar propone  que las administraciones locales deben pensar en otras fuentes de recursos más allá del sistema tributario arcaico. La monetización de activos, las APPs con supervisión estatal, los bonos verdes y sociales, y las obras por impuestos son instrumentos que Colombia ha intentado copiar de Latinoamérica pero con problemas de implementación. El caso del laboratorio de la antigua aduana en Medellín ---que requirió tumbar una construcción en ruina y reinvertir para hacerlo productivo--- ilustra la necesidad de una legislación armoniosa que permita que activos públicos generen valor. Los colegios públicos en Estados Unidos son mixtos (construidos por el privado, administrados por el privado, pagados por estudiante por el municipio), un modelo que podría replicarse.</w:t>
      </w:r>
    </w:p>
    <w:p>
      <w:pPr>
        <w:pStyle w:val="Quote"/>
      </w:pPr>
      <w:r>
        <w:rPr>
          <w:rFonts w:ascii="Georgia" w:hAnsi="Georgia"/>
          <w:i/>
          <w:color w:val="1A1A2E"/>
          <w:sz w:val="21"/>
        </w:rPr>
        <w:t>“Las administraciones públicas y las administraciones locales municipales tienen que empezar a pensar en otras fuentes de recursos... nosotros no podemos seguir pensando en un sistema tributario territorial arcaico... de formas diferentes de capturar el valor del suelo sin afectar la liquidez”</w:t>
      </w:r>
    </w:p>
    <w:p>
      <w:pPr>
        <w:pStyle w:val="Quote"/>
      </w:pPr>
      <w:r>
        <w:rPr>
          <w:rFonts w:ascii="Georgia" w:hAnsi="Georgia"/>
          <w:i/>
          <w:color w:val="1A1A2E"/>
          <w:sz w:val="21"/>
        </w:rPr>
        <w:t>“En el gobierno del presidente Duque con el Doctor César Arias y director de presupuesto hicimos la primera y segunda edición de latinoamérica de bonos verdes... se necesita buscar recursos en donde retos como la movilidad limpia es uno de los nuevos retos de los municipios”</w:t>
      </w:r>
    </w:p>
    <w:p>
      <w:pPr>
        <w:pStyle w:val="Quote"/>
      </w:pPr>
      <w:r>
        <w:rPr>
          <w:rFonts w:ascii="Georgia" w:hAnsi="Georgia"/>
          <w:i/>
          <w:color w:val="1A1A2E"/>
          <w:sz w:val="21"/>
        </w:rPr>
        <w:t>“El laboratorio de la aduana... nos gastamos diez mil millones de pesos para tumbar lo que han hecho volverlo a construir y comprar equipos... ese tipo de cosas son las que yo creo que hay que también tener una legislación armoniosa donde uno pueda en ciertas cosas en donde se hacen inversiones para sentidos públicos pero que también pueden generar recursos”</w:t>
      </w:r>
    </w:p>
    <w:p>
      <w:pPr>
        <w:pStyle w:val="Heading2"/>
      </w:pPr>
      <w:r>
        <w:rPr>
          <w:color w:val="0AB6F2"/>
        </w:rPr>
        <w:t>Retos que dificultan la solución</w:t>
      </w:r>
    </w:p>
    <w:p>
      <w:pPr>
        <w:jc w:val="both"/>
      </w:pPr>
      <w:r>
        <w:rPr>
          <w:rFonts w:ascii="Montserrat" w:hAnsi="Montserrat"/>
          <w:color w:val="333333"/>
          <w:sz w:val="22"/>
        </w:rPr>
        <w:t>Los retos identificados en el discurso no son meras dificultades operativas, sino barreras estructurales que condicionan la viabilidad de cualquier reforma del modelo de financiación territorial. El primero ---la estrechez fiscal nacional--- emerge como una condición objetiva que limita el espacio de maniobra de la descentralización.</w:t>
      </w:r>
    </w:p>
    <w:p>
      <w:pPr>
        <w:spacing w:after="120"/>
        <w:ind w:left="360" w:hanging="360"/>
      </w:pPr>
      <w:r>
        <w:rPr>
          <w:rFonts w:ascii="Montserrat" w:hAnsi="Montserrat"/>
          <w:color w:val="0B43F7"/>
          <w:sz w:val="20"/>
        </w:rPr>
        <w:t>●</w:t>
        <w:tab/>
      </w:r>
      <w:r>
        <w:rPr>
          <w:rFonts w:ascii="Montserrat" w:hAnsi="Montserrat"/>
          <w:color w:val="333333"/>
          <w:sz w:val="22"/>
        </w:rPr>
        <w:t>Profundizar y ampliar las transferencias territoriales sin generar una crisis de sostenibilidad fiscal nacional. Barrera fiscal, identificada por Daniel Felipe Escobar, de impacto transversal alto.</w:t>
      </w:r>
    </w:p>
    <w:p>
      <w:pPr>
        <w:spacing w:after="120"/>
        <w:ind w:left="360" w:hanging="360"/>
      </w:pPr>
      <w:r>
        <w:rPr>
          <w:rFonts w:ascii="Montserrat" w:hAnsi="Montserrat"/>
          <w:color w:val="0AB6F2"/>
          <w:sz w:val="20"/>
        </w:rPr>
        <w:t>●</w:t>
        <w:tab/>
      </w:r>
      <w:r>
        <w:rPr>
          <w:rFonts w:ascii="Montserrat" w:hAnsi="Montserrat"/>
          <w:color w:val="333333"/>
          <w:sz w:val="22"/>
        </w:rPr>
        <w:t>Superar el rezago técnico y construir cultura de pago en un contexto donde lleva 32 años sin aplicar ajustes tributarios. Barrera cultural y técnica, identificada por Daniel Felipe Escobar, de impacto transversal alto.</w:t>
      </w:r>
    </w:p>
    <w:p>
      <w:pPr>
        <w:spacing w:after="120"/>
        <w:ind w:left="360" w:hanging="360"/>
      </w:pPr>
      <w:r>
        <w:rPr>
          <w:rFonts w:ascii="Montserrat" w:hAnsi="Montserrat"/>
          <w:color w:val="00CC30"/>
          <w:sz w:val="20"/>
        </w:rPr>
        <w:t>●</w:t>
        <w:tab/>
      </w:r>
      <w:r>
        <w:rPr>
          <w:rFonts w:ascii="Montserrat" w:hAnsi="Montserrat"/>
          <w:color w:val="333333"/>
          <w:sz w:val="22"/>
        </w:rPr>
        <w:t>Incrementar la seguridad jurídica y confianza en las instituciones para que la competitividad territorial no dependa de tarifas bajas sino de calidad administrativa. Barrera institucional, identificada por Daniel Felipe Escobar, de impacto transversal alto.</w:t>
      </w:r>
    </w:p>
    <w:p>
      <w:pPr>
        <w:spacing w:after="120"/>
        <w:ind w:left="360" w:hanging="360"/>
      </w:pPr>
      <w:r>
        <w:rPr>
          <w:rFonts w:ascii="Montserrat" w:hAnsi="Montserrat"/>
          <w:color w:val="6CD3A5"/>
          <w:sz w:val="20"/>
        </w:rPr>
        <w:t>●</w:t>
        <w:tab/>
      </w:r>
      <w:r>
        <w:rPr>
          <w:rFonts w:ascii="Montserrat" w:hAnsi="Montserrat"/>
          <w:color w:val="333333"/>
          <w:sz w:val="22"/>
        </w:rPr>
        <w:t>Ampliar la caja de herramientas más allá del tributo tradicional: activos públicos, APPs, bonos verdes, valorización, obras por impuestos. Barrera normativa y de gestión, identificada por Daniel Felipe Escobar, de impacto transversal alto.</w:t>
      </w:r>
    </w:p>
    <w:p>
      <w:pPr>
        <w:spacing w:after="120"/>
        <w:ind w:left="360" w:hanging="360"/>
      </w:pPr>
      <w:r>
        <w:rPr>
          <w:rFonts w:ascii="Montserrat" w:hAnsi="Montserrat"/>
          <w:color w:val="0B43F7"/>
          <w:sz w:val="20"/>
        </w:rPr>
        <w:t>●</w:t>
        <w:tab/>
      </w:r>
      <w:r>
        <w:rPr>
          <w:rFonts w:ascii="Montserrat" w:hAnsi="Montserrat"/>
          <w:color w:val="333333"/>
          <w:sz w:val="22"/>
        </w:rPr>
        <w:t>La mayoría de los municipios depende del gobierno central entre el 60 y el 90 %, y 759 municipios están en riesgo fiscal. Barrera de dependencia, identificada por Lizandro Junco, de impacto territorializado crítico.</w:t>
      </w:r>
    </w:p>
    <w:p>
      <w:pPr>
        <w:spacing w:after="120"/>
        <w:ind w:left="360" w:hanging="360"/>
      </w:pPr>
      <w:r>
        <w:rPr>
          <w:rFonts w:ascii="Montserrat" w:hAnsi="Montserrat"/>
          <w:color w:val="0AB6F2"/>
          <w:sz w:val="20"/>
        </w:rPr>
        <w:t>●</w:t>
        <w:tab/>
      </w:r>
      <w:r>
        <w:rPr>
          <w:rFonts w:ascii="Montserrat" w:hAnsi="Montserrat"/>
          <w:color w:val="333333"/>
          <w:sz w:val="22"/>
        </w:rPr>
        <w:t>La descentralización y la autonomía deben ser graduales y manuales, no automáticas: no se pueden enviar recursos a municipios que no saben recaudar ni ejecutar. Barrera de capacidad, identificada por Lizandro Junco, de impacto territorializado alto.</w:t>
      </w:r>
    </w:p>
    <w:p>
      <w:pPr>
        <w:spacing w:after="120"/>
        <w:ind w:left="360" w:hanging="360"/>
      </w:pPr>
      <w:r>
        <w:rPr>
          <w:rFonts w:ascii="Montserrat" w:hAnsi="Montserrat"/>
          <w:color w:val="00CC30"/>
          <w:sz w:val="20"/>
        </w:rPr>
        <w:t>●</w:t>
        <w:tab/>
      </w:r>
      <w:r>
        <w:rPr>
          <w:rFonts w:ascii="Montserrat" w:hAnsi="Montserrat"/>
          <w:color w:val="333333"/>
          <w:sz w:val="22"/>
        </w:rPr>
        <w:t>Modernizar el ICA sin generar un vacío recaudatorio: unificar tarifas, definir territorialidad digital, cambiar la base gravable. Barrera normativa y tecnológica, identificada por ambos, de impacto transversal alto.</w:t>
      </w:r>
    </w:p>
    <w:p>
      <w:pPr>
        <w:spacing w:after="120"/>
        <w:ind w:left="360" w:hanging="360"/>
      </w:pPr>
      <w:r>
        <w:rPr>
          <w:rFonts w:ascii="Montserrat" w:hAnsi="Montserrat"/>
          <w:color w:val="6CD3A5"/>
          <w:sz w:val="20"/>
        </w:rPr>
        <w:t>●</w:t>
        <w:tab/>
      </w:r>
      <w:r>
        <w:rPr>
          <w:rFonts w:ascii="Montserrat" w:hAnsi="Montserrat"/>
          <w:color w:val="333333"/>
          <w:sz w:val="22"/>
        </w:rPr>
        <w:t>Eliminar el populismo tributario (exoneraciones del IVA a alimentos, discurso contra el IVA) que en realidad no beneficia a los pobres porque compran en la informalidad. Barrera política, identificada por Lizandro Junco, de impacto transversal alto.</w:t>
      </w:r>
    </w:p>
    <w:p>
      <w:pPr>
        <w:pStyle w:val="Heading2"/>
      </w:pPr>
      <w:r>
        <w:rPr>
          <w:color w:val="00CC30"/>
        </w:rPr>
        <w:t>Soluciones y propuestas</w:t>
      </w:r>
    </w:p>
    <w:p>
      <w:pPr>
        <w:jc w:val="both"/>
      </w:pPr>
      <w:r>
        <w:rPr>
          <w:rFonts w:ascii="Montserrat" w:hAnsi="Montserrat"/>
          <w:color w:val="333333"/>
          <w:sz w:val="22"/>
        </w:rPr>
        <w:t>Las propuestas emergen de la intersección entre la experiencia de gestión pública avanzada (Medellín, gobierno nacional) y el análisis jurídico-tributario de la realidad municipal, configurando un menú de reformas que van desde la cultura tributaria hasta la ingeniería financiera territorial.</w:t>
      </w:r>
    </w:p>
    <w:p>
      <w:pPr>
        <w:spacing w:after="120"/>
        <w:ind w:left="360" w:hanging="360"/>
      </w:pPr>
      <w:r>
        <w:rPr>
          <w:rFonts w:ascii="Montserrat" w:hAnsi="Montserrat"/>
          <w:color w:val="0B43F7"/>
          <w:sz w:val="20"/>
        </w:rPr>
        <w:t>●</w:t>
        <w:tab/>
      </w:r>
      <w:r>
        <w:rPr>
          <w:rFonts w:ascii="Montserrat" w:hAnsi="Montserrat"/>
          <w:color w:val="333333"/>
          <w:sz w:val="22"/>
        </w:rPr>
        <w:t>Concientizar y sensibilizar a los contribuyentes para que sientan que sus impuestos se traducen en servicios públicos visibles. Evidencia en Medellín (campañas telefónicas, agradecimiento al contribuyente). Propuesta de Daniel Felipe Escobar, de alta replicabilidad.</w:t>
      </w:r>
    </w:p>
    <w:p>
      <w:pPr>
        <w:spacing w:after="120"/>
        <w:ind w:left="360" w:hanging="360"/>
      </w:pPr>
      <w:r>
        <w:rPr>
          <w:rFonts w:ascii="Montserrat" w:hAnsi="Montserrat"/>
          <w:color w:val="0AB6F2"/>
          <w:sz w:val="20"/>
        </w:rPr>
        <w:t>●</w:t>
        <w:tab/>
      </w:r>
      <w:r>
        <w:rPr>
          <w:rFonts w:ascii="Montserrat" w:hAnsi="Montserrat"/>
          <w:color w:val="333333"/>
          <w:sz w:val="22"/>
        </w:rPr>
        <w:t>Sistema basado en inteligencia artificial y datos regionales/territoriales para hacer más eficiente el recaudo. Propuesta de Daniel Felipe Escobar, en proceso de implementación, de replicabilidad media.</w:t>
      </w:r>
    </w:p>
    <w:p>
      <w:pPr>
        <w:spacing w:after="120"/>
        <w:ind w:left="360" w:hanging="360"/>
      </w:pPr>
      <w:r>
        <w:rPr>
          <w:rFonts w:ascii="Montserrat" w:hAnsi="Montserrat"/>
          <w:color w:val="00CC30"/>
          <w:sz w:val="20"/>
        </w:rPr>
        <w:t>●</w:t>
        <w:tab/>
      </w:r>
      <w:r>
        <w:rPr>
          <w:rFonts w:ascii="Montserrat" w:hAnsi="Montserrat"/>
          <w:color w:val="333333"/>
          <w:sz w:val="22"/>
        </w:rPr>
        <w:t>Factura electrónica universal: utilizar la información de facturación electrónica y medios de pago para emitir liquidaciones oficiales automáticas, reducir evasión y simplificar el cumplimiento. Evidencia en Medellín (aumento del recargo del impuesto sobre la renta en más de 60 % durante cuatro años). Propuesta de Daniel Felipe Escobar, de alta replicabilidad.</w:t>
      </w:r>
    </w:p>
    <w:p>
      <w:pPr>
        <w:spacing w:after="120"/>
        <w:ind w:left="360" w:hanging="360"/>
      </w:pPr>
      <w:r>
        <w:rPr>
          <w:rFonts w:ascii="Montserrat" w:hAnsi="Montserrat"/>
          <w:color w:val="6CD3A5"/>
          <w:sz w:val="20"/>
        </w:rPr>
        <w:t>●</w:t>
        <w:tab/>
      </w:r>
      <w:r>
        <w:rPr>
          <w:rFonts w:ascii="Montserrat" w:hAnsi="Montserrat"/>
          <w:color w:val="333333"/>
          <w:sz w:val="22"/>
        </w:rPr>
        <w:t>Unificar tarifas del ICA y simplificar actividades: Bogotá presentó un acuerdo para reducir y unificar tarifas. Se requiere un sistema nacional que evite la competencia dañina. Propuesta de Lizandro Junco, de alta replicabilidad si hay armonización nacional.</w:t>
      </w:r>
    </w:p>
    <w:p>
      <w:pPr>
        <w:spacing w:after="120"/>
        <w:ind w:left="360" w:hanging="360"/>
      </w:pPr>
      <w:r>
        <w:rPr>
          <w:rFonts w:ascii="Montserrat" w:hAnsi="Montserrat"/>
          <w:color w:val="0B43F7"/>
          <w:sz w:val="20"/>
        </w:rPr>
        <w:t>●</w:t>
        <w:tab/>
      </w:r>
      <w:r>
        <w:rPr>
          <w:rFonts w:ascii="Montserrat" w:hAnsi="Montserrat"/>
          <w:color w:val="333333"/>
          <w:sz w:val="22"/>
        </w:rPr>
        <w:t>Potencializar la economía digital: definir actividades económicas digitales, establecer reglas de territorialidad para plataformas, y usar la información de facturación para controlarlas. Propuesta de Lizandro Junco, de replicabilidad media.</w:t>
      </w:r>
    </w:p>
    <w:p>
      <w:pPr>
        <w:spacing w:after="120"/>
        <w:ind w:left="360" w:hanging="360"/>
      </w:pPr>
      <w:r>
        <w:rPr>
          <w:rFonts w:ascii="Montserrat" w:hAnsi="Montserrat"/>
          <w:color w:val="0AB6F2"/>
          <w:sz w:val="20"/>
        </w:rPr>
        <w:t>●</w:t>
        <w:tab/>
      </w:r>
      <w:r>
        <w:rPr>
          <w:rFonts w:ascii="Montserrat" w:hAnsi="Montserrat"/>
          <w:color w:val="333333"/>
          <w:sz w:val="22"/>
        </w:rPr>
        <w:t>Modernización procedimental: cambiar el chip de las administraciones para usar datos de la DIAN, facturación electrónica y medios de pago como base de fiscalización, en lugar de depender de la declaración del contribuyente. Propuesta de Lizandro Junco, de alta replicabilidad.</w:t>
      </w:r>
    </w:p>
    <w:p>
      <w:pPr>
        <w:spacing w:after="120"/>
        <w:ind w:left="360" w:hanging="360"/>
      </w:pPr>
      <w:r>
        <w:rPr>
          <w:rFonts w:ascii="Montserrat" w:hAnsi="Montserrat"/>
          <w:color w:val="00CC30"/>
          <w:sz w:val="20"/>
        </w:rPr>
        <w:t>●</w:t>
        <w:tab/>
      </w:r>
      <w:r>
        <w:rPr>
          <w:rFonts w:ascii="Montserrat" w:hAnsi="Montserrat"/>
          <w:color w:val="333333"/>
          <w:sz w:val="22"/>
        </w:rPr>
        <w:t>Transferencia parcial del IVA a territorios en reemplazo progresivo del ICA, o establecer una sobretasa del IVA de consumo local, similar al modelo estadounidense. Propuesta de la Comisión de Expertos Territoriales (legado Duque), respaldada por Daniel Felipe Escobar, de replicabilidad dependiente de la reforma legislativa nacional.</w:t>
      </w:r>
    </w:p>
    <w:p>
      <w:pPr>
        <w:spacing w:after="120"/>
        <w:ind w:left="360" w:hanging="360"/>
      </w:pPr>
      <w:r>
        <w:rPr>
          <w:rFonts w:ascii="Montserrat" w:hAnsi="Montserrat"/>
          <w:color w:val="6CD3A5"/>
          <w:sz w:val="20"/>
        </w:rPr>
        <w:t>●</w:t>
        <w:tab/>
      </w:r>
      <w:r>
        <w:rPr>
          <w:rFonts w:ascii="Montserrat" w:hAnsi="Montserrat"/>
          <w:color w:val="333333"/>
          <w:sz w:val="22"/>
        </w:rPr>
        <w:t>Catastro digital integrado: replicar el modelo español que integra oficinas de registro, declaraciones tributarias y transacciones inmobiliarias. Propuesta de Daniel Felipe Escobar, de replicabilidad media.</w:t>
      </w:r>
    </w:p>
    <w:p>
      <w:pPr>
        <w:spacing w:after="120"/>
        <w:ind w:left="360" w:hanging="360"/>
      </w:pPr>
      <w:r>
        <w:rPr>
          <w:rFonts w:ascii="Montserrat" w:hAnsi="Montserrat"/>
          <w:color w:val="0B43F7"/>
          <w:sz w:val="20"/>
        </w:rPr>
        <w:t>●</w:t>
        <w:tab/>
      </w:r>
      <w:r>
        <w:rPr>
          <w:rFonts w:ascii="Montserrat" w:hAnsi="Montserrat"/>
          <w:color w:val="333333"/>
          <w:sz w:val="22"/>
        </w:rPr>
        <w:t>Bonos verdes y sociales: financiar movilidad limpia y proyectos de impacto ambiental/social con instrumentos de deuda que reconozcan no sólo intereses sino objetivos de desarrollo. Evidencia en Colombia (segunda edición de bonos verdes de Latinoamérica). Propuesta de Daniel Felipe Escobar, de replicabilidad media.</w:t>
      </w:r>
    </w:p>
    <w:p>
      <w:pPr>
        <w:spacing w:after="120"/>
        <w:ind w:left="360" w:hanging="360"/>
      </w:pPr>
      <w:r>
        <w:rPr>
          <w:rFonts w:ascii="Montserrat" w:hAnsi="Montserrat"/>
          <w:color w:val="0AB6F2"/>
          <w:sz w:val="20"/>
        </w:rPr>
        <w:t>●</w:t>
        <w:tab/>
      </w:r>
      <w:r>
        <w:rPr>
          <w:rFonts w:ascii="Montserrat" w:hAnsi="Montserrat"/>
          <w:color w:val="333333"/>
          <w:sz w:val="22"/>
        </w:rPr>
        <w:t>APPs con supervisión estatal: el municipio no se puede desentender de la función pública; debe regular, supervisar y garantizar la prestación del servicio, reconociendo que el privado es más eficiente en ejecución. Propuesta de Daniel Felipe Escobar, de alta replicabilidad.</w:t>
      </w:r>
    </w:p>
    <w:p>
      <w:pPr>
        <w:spacing w:after="120"/>
        <w:ind w:left="360" w:hanging="360"/>
      </w:pPr>
      <w:r>
        <w:rPr>
          <w:rFonts w:ascii="Montserrat" w:hAnsi="Montserrat"/>
          <w:color w:val="00CC30"/>
          <w:sz w:val="20"/>
        </w:rPr>
        <w:t>●</w:t>
        <w:tab/>
      </w:r>
      <w:r>
        <w:rPr>
          <w:rFonts w:ascii="Montserrat" w:hAnsi="Montserrat"/>
          <w:color w:val="333333"/>
          <w:sz w:val="22"/>
        </w:rPr>
        <w:t>Obras por impuestos: dar competencias claras a los municipios para que, si tienen un activo, puedan hacer alianzas con el sector privado bajo reglas transparentes. Propuesta de Daniel Felipe Escobar, con evidencia de casos exitosos en Colombia, de alta replicabilidad.</w:t>
      </w:r>
    </w:p>
    <w:p>
      <w:pPr>
        <w:spacing w:after="120"/>
        <w:ind w:left="360" w:hanging="360"/>
      </w:pPr>
      <w:r>
        <w:rPr>
          <w:rFonts w:ascii="Montserrat" w:hAnsi="Montserrat"/>
          <w:color w:val="6CD3A5"/>
          <w:sz w:val="20"/>
        </w:rPr>
        <w:t>●</w:t>
        <w:tab/>
      </w:r>
      <w:r>
        <w:rPr>
          <w:rFonts w:ascii="Montserrat" w:hAnsi="Montserrat"/>
          <w:color w:val="333333"/>
          <w:sz w:val="22"/>
        </w:rPr>
        <w:t>Monetización de activos públicos: transformar inmuebles improductivos (como la antigua aduana) en fuentes de ingreso mediante inversión mixta. Propuesta de Daniel Felipe Escobar, de replicabilidad media.</w:t>
      </w:r>
    </w:p>
    <w:p>
      <w:pPr>
        <w:spacing w:after="120"/>
        <w:ind w:left="360" w:hanging="360"/>
      </w:pPr>
      <w:r>
        <w:rPr>
          <w:rFonts w:ascii="Montserrat" w:hAnsi="Montserrat"/>
          <w:color w:val="0B43F7"/>
          <w:sz w:val="20"/>
        </w:rPr>
        <w:t>●</w:t>
        <w:tab/>
      </w:r>
      <w:r>
        <w:rPr>
          <w:rFonts w:ascii="Montserrat" w:hAnsi="Montserrat"/>
          <w:color w:val="333333"/>
          <w:sz w:val="22"/>
        </w:rPr>
        <w:t>Modelo de colegios mixtos: construcción y administración privada con pago por estudiante por parte del municipio, replicando el modelo estadounidense. Propuesta de Daniel Felipe Escobar, de replicabilidad media.</w:t>
      </w:r>
    </w:p>
    <w:p>
      <w:pPr>
        <w:spacing w:after="120"/>
        <w:ind w:left="360" w:hanging="360"/>
      </w:pPr>
      <w:r>
        <w:rPr>
          <w:rFonts w:ascii="Montserrat" w:hAnsi="Montserrat"/>
          <w:color w:val="0AB6F2"/>
          <w:sz w:val="20"/>
        </w:rPr>
        <w:t>●</w:t>
        <w:tab/>
      </w:r>
      <w:r>
        <w:rPr>
          <w:rFonts w:ascii="Montserrat" w:hAnsi="Montserrat"/>
          <w:color w:val="333333"/>
          <w:sz w:val="22"/>
        </w:rPr>
        <w:t>Reducción de trámites y mejora de tiempos de respuesta como estrategia de atractivo de inversión, más allá de la reducción de tarifas. Propuesta de Daniel Felipe Escobar, de alta replicabilidad.</w:t>
      </w:r>
    </w:p>
    <w:p>
      <w:pPr>
        <w:pStyle w:val="Heading2"/>
      </w:pPr>
      <w:r>
        <w:rPr>
          <w:color w:val="6CD3A5"/>
        </w:rPr>
        <w:t>Sinergias interinstitucionales</w:t>
      </w:r>
    </w:p>
    <w:p>
      <w:pPr>
        <w:jc w:val="both"/>
      </w:pPr>
      <w:r>
        <w:rPr>
          <w:rFonts w:ascii="Montserrat" w:hAnsi="Montserrat"/>
          <w:color w:val="333333"/>
          <w:sz w:val="22"/>
        </w:rPr>
        <w:t>El discurso revela un ecosistema de articulaciones que opera en tres planos simultáneos: el horizontal de innovación fiscal, el vertical nación-territorios, y el de conocimiento y política pública.</w:t>
      </w:r>
    </w:p>
    <w:p>
      <w:pPr>
        <w:jc w:val="both"/>
      </w:pPr>
      <w:r>
        <w:rPr>
          <w:rFonts w:ascii="Montserrat" w:hAnsi="Montserrat"/>
          <w:color w:val="333333"/>
          <w:sz w:val="22"/>
        </w:rPr>
        <w:t>En el plano horizontal de innovación fiscal, la sinergia entre gobiernos locales avanzados (Medellín, Bogotá) y el gobierno nacional emerge como un laboratorio de políticas públicas. Medellín experimentó con campañas de cultura de pago, facturación electrónica y deuda estructurada a 100 años. Bogotá presentó un proyecto de acuerdo para modernizar el ICA. Sin embargo, estas experiencias no se sistematizan ni se transfieren a los 759 municipios en riesgo, generando una brecha entre laboratorios fiscales y territorios rezagados.</w:t>
      </w:r>
    </w:p>
    <w:p>
      <w:pPr>
        <w:pStyle w:val="Quote"/>
      </w:pPr>
      <w:r>
        <w:rPr>
          <w:rFonts w:ascii="Georgia" w:hAnsi="Georgia"/>
          <w:i/>
          <w:color w:val="1A1A2E"/>
          <w:sz w:val="21"/>
        </w:rPr>
        <w:t>Lo que estamos planteando en el país en este momento es pasar más o menos el presupuesto general de la nación al 39,5%... eso tiene un impacto directo sobre los recursos del libre inversión de la nación</w:t>
      </w:r>
    </w:p>
    <w:p>
      <w:pPr>
        <w:jc w:val="both"/>
      </w:pPr>
      <w:r>
        <w:rPr>
          <w:rFonts w:ascii="Montserrat" w:hAnsi="Montserrat"/>
          <w:color w:val="333333"/>
          <w:sz w:val="22"/>
        </w:rPr>
        <w:t>En el plano vertical, la relación Nación-territorios se presenta como una tensión estructural. La DIAN acumula datos que los territorios necesitan pero no pueden acceder. El sector financiero goza de una exclusión legal de la facturación electrónica que reduce la base de control. El gobierno central define el SGP, el IVA y las reglas fiscales sin una reforma tributaria territorial que acompañe la descentralización. La sinergia requerida implica compartir datos, armonizar tarifas y transferir progresivamente competencias con recursos.</w:t>
      </w:r>
    </w:p>
    <w:p>
      <w:pPr>
        <w:pStyle w:val="Quote"/>
      </w:pPr>
      <w:r>
        <w:rPr>
          <w:rFonts w:ascii="Georgia" w:hAnsi="Georgia"/>
          <w:i/>
          <w:color w:val="1A1A2E"/>
          <w:sz w:val="21"/>
        </w:rPr>
        <w:t>¿Cuántos de ustedes le han pedido a la dian información de la facturación electrónica que se emite en la dirección? Y ahí está claro y está el régimen simple... el sector financiero tiene una exclusión por ley en la facturación electrónica</w:t>
      </w:r>
    </w:p>
    <w:p>
      <w:pPr>
        <w:jc w:val="both"/>
      </w:pPr>
      <w:r>
        <w:rPr>
          <w:rFonts w:ascii="Montserrat" w:hAnsi="Montserrat"/>
          <w:color w:val="333333"/>
          <w:sz w:val="22"/>
        </w:rPr>
        <w:t>En el plano de conocimiento, la articulación entre la comisión de expertos territoriales (legado del gobierno Duque), la academia y los gestores públicos permite distinguir entre diagnóstico técnico y viabilidad política. La propuesta de sobre-tasa del IVA o impuesto al consumo local tiene respaldo técnico pero enfrenta resistencia política de los municipios que temen perder recaudo. La sinergia requerida es entre evidencia y comunicación política: demostrar que los recursos están en la formalización, no en nuevos impuestos.</w:t>
      </w:r>
    </w:p>
    <w:p>
      <w:pPr>
        <w:jc w:val="both"/>
      </w:pPr>
      <w:r>
        <w:rPr>
          <w:rFonts w:ascii="Montserrat" w:hAnsi="Montserrat"/>
          <w:color w:val="333333"/>
          <w:sz w:val="22"/>
        </w:rPr>
        <w:t>Finalmente, la sinergia entre territorios y sector privado se presenta como condición necesaria pero no suficiente. Las APPs, los bonos verdes y las obras por impuestos requieren un Estado local que no se desentierre de la función pública. La experiencia internacional (Estados Unidos, España, Brasil con nota fiscal electrónica) debe adaptarse a la realidad colombiana, reconociendo que la politización de las empresas públicas territoriales y la debilidad regulatoria local son riesgos que deben mitigarse.</w:t>
      </w:r>
    </w:p>
    <w:p>
      <w:pPr>
        <w:pStyle w:val="Heading1"/>
      </w:pPr>
      <w:r>
        <w:t>2. SÍNTESIS ESTRATÉGICA Y HALLAZGOS PRINCIPALES</w:t>
      </w:r>
    </w:p>
    <w:p>
      <w:pPr>
        <w:jc w:val="both"/>
      </w:pPr>
      <w:r>
        <w:rPr>
          <w:rFonts w:ascii="Montserrat" w:hAnsi="Montserrat"/>
          <w:color w:val="333333"/>
          <w:sz w:val="22"/>
        </w:rPr>
        <w:t>La intervención de los panelistas constituye un diagnóstico de política pública que articula cinco niveles de análisis: (1) una lectura macrofiscal de la estrechez del orden nacional y sus efectos sobre la descentralización; (2) una evaluación técnica del rezago del ICA y la necesidad de modernización frente a la economía digital; (3) un análisis de la competencia tributaria dañina y la necesidad de armonización con piso y techo; (4) una propuesta de ampliación de la caja de herramientas territorial más allá del tributo tradicional (activos, APPs, bonos, valorización); y (5) una convocatoria a la construcción de una cultura de pago y una autonomía real, no de papel.</w:t>
      </w:r>
    </w:p>
    <w:p>
      <w:pPr>
        <w:jc w:val="both"/>
      </w:pPr>
      <w:r>
        <w:rPr>
          <w:rFonts w:ascii="Montserrat" w:hAnsi="Montserrat"/>
          <w:color w:val="333333"/>
          <w:sz w:val="22"/>
        </w:rPr>
        <w:t>El hallazgo principal es que el modelo de financiación territorial colombiano está en una encrucijada: la estrechez fiscal nacional impide transferir más recursos, y la arquitectura tributaria local (ICA + Predial + transferencias) está erosionada por la economía digital, la informalidad y la competencia dañina entre municipios. El contribuyente no paga solo un impuesto; paga el costo de un sistema fragmentado donde 1.103 municipios compiten por tarifas en lugar de por calidad institucional, y donde el sector financiero y las plataformas digitales operan en zonas grises de control.</w:t>
      </w:r>
    </w:p>
    <w:p>
      <w:pPr>
        <w:jc w:val="both"/>
      </w:pPr>
      <w:r>
        <w:rPr>
          <w:rFonts w:ascii="Montserrat" w:hAnsi="Montserrat"/>
          <w:color w:val="333333"/>
          <w:sz w:val="22"/>
        </w:rPr>
        <w:t>El segundo hallazgo es la existencia de una tensión no resuelta entre la lógica de la autonomía territorial (más recursos, más competencias) y la lógica del control macrofiscal (déficit, deuda, reglas fiscales). Daniel Felipe Escobar advierte que el Acto Legislativo de transferencias, sumado a la estrechez fiscal, generará ineficiencias en la transición. Lizandro Junco señala que la autonomía debe ser manual y gradual, porque hay municipios que no saben recaudar ni ejecutar. La tensión refleja una diferencia de enfoque: uno habla desde la necesidad de mantener la sostenibilidad fiscal; el otro desde la realidad de 759 municipios en riesgo.</w:t>
      </w:r>
    </w:p>
    <w:p>
      <w:pPr>
        <w:jc w:val="both"/>
      </w:pPr>
      <w:r>
        <w:rPr>
          <w:rFonts w:ascii="Montserrat" w:hAnsi="Montserrat"/>
          <w:color w:val="333333"/>
          <w:sz w:val="22"/>
        </w:rPr>
        <w:t>El tercer hallazgo es que la tecnología (facturación electrónica, datos, inteligencia artificial) es una condición necesaria pero no suficiente para la reforma. Medellín demostró que la facturación electrónica puede aumentar el recaudo en más de 60 %, pero el sector financiero sigue excluido por ley. La DIAN tiene información que los territorios no pueden acceder. La modernización procedimental requiere cambiar el chip de las administraciones, no solo instalar software. La brecha digital y de capacidad entre grandes ciudades y municipios pequeños reproduce la asimetría.</w:t>
      </w:r>
    </w:p>
    <w:p>
      <w:pPr>
        <w:jc w:val="both"/>
      </w:pPr>
      <w:r>
        <w:rPr>
          <w:rFonts w:ascii="Montserrat" w:hAnsi="Montserrat"/>
          <w:color w:val="333333"/>
          <w:sz w:val="22"/>
        </w:rPr>
        <w:t>El cuarto hallazgo es que la competitividad territorial del futuro no se juega en las tarifas sino en la calidad institucional: seguridad jurídica, tiempos de respuesta, proyectos mecanizados, interacción eficiente con el contribuyente. Bogotá bajó tarifas del ICA como estrategia de atractivo, pero los municipios pequeños no pueden replicar esta estrategia. La carrera hacia el fondo en tarifas es un equilibrio pernicioso que erosiona la base recaudatoria sin generar desarrollo.</w:t>
      </w:r>
    </w:p>
    <w:p>
      <w:pPr>
        <w:jc w:val="both"/>
      </w:pPr>
      <w:r>
        <w:rPr>
          <w:rFonts w:ascii="Montserrat" w:hAnsi="Montserrat"/>
          <w:color w:val="333333"/>
          <w:sz w:val="22"/>
        </w:rPr>
        <w:t>El quinto hallazgo es que existen instrumentos de financiación alternativos (bonos verdes, APPs, obras por impuestos, monetización de activos) que Colombia ha intentado copiar de la región pero con dificultades de implementación. La clave no es la disponibilidad de instrumentos sino la capacidad local para gobernarlos: el municipio no se puede desentender de la función pública en una APP, debe regular y supervisar. La experiencia de Medellín con EPM, el Metro y la soberanía energética funciona como metáfora del territorio que se atreve, pero no como modelo mecánicamente replicable en municipios sin capacidad de endeudamiento a 100 años ni de gestión empresarial.</w:t>
      </w:r>
    </w:p>
    <w:p>
      <w:pPr>
        <w:pStyle w:val="Heading1"/>
      </w:pPr>
      <w:r>
        <w:t>3. IMPLICACIONES PARA POLÍTICA PÚBLICA</w:t>
      </w:r>
    </w:p>
    <w:p>
      <w:pPr>
        <w:pStyle w:val="Heading2"/>
      </w:pPr>
      <w:r>
        <w:t>Nacional</w:t>
      </w:r>
    </w:p>
    <w:p>
      <w:pPr>
        <w:jc w:val="both"/>
      </w:pPr>
      <w:r>
        <w:rPr>
          <w:rFonts w:ascii="Montserrat" w:hAnsi="Montserrat"/>
          <w:color w:val="333333"/>
          <w:sz w:val="22"/>
        </w:rPr>
        <w:t>La propuesta de reforma estructural de las finanzas territoriales requiere evaluación técnica por parte del Ministerio de Hacienda y Crédito Público, el DNP, el Ministerio de Tecnologías y el Ministerio del Interior para determinar su viabilidad fiscal y su coherencia con el marco de reglas fiscales. El impacto de transferir parcialmente el IVA a territorios o de establecer una sobre-tasa del consumo debe contrastarse con las proyecciones de sostenibilidad de la deuda pública. La eliminación de exoneraciones del IVA, incluyendo la de alimentos, requiere un análisis de impacto distributivo riguroso y una estrategia de mitigación social (subsidiariedad directa, transferencias monetarias) que evite el costo político de un discurso calificado como populista. La inclusión del sector financiero en la facturación electrónica requiere reforma legislativa que supere el veto silencioso de este actor.</w:t>
      </w:r>
    </w:p>
    <w:p>
      <w:pPr>
        <w:pStyle w:val="Heading2"/>
      </w:pPr>
      <w:r>
        <w:t>Territorial</w:t>
      </w:r>
    </w:p>
    <w:p>
      <w:pPr>
        <w:jc w:val="both"/>
      </w:pPr>
      <w:r>
        <w:rPr>
          <w:rFonts w:ascii="Montserrat" w:hAnsi="Montserrat"/>
          <w:color w:val="333333"/>
          <w:sz w:val="22"/>
        </w:rPr>
        <w:t>Los departamentos y municipios deben evaluar sus capacidades institucionales para asumir las reformas propuestas, particularmente en materia de gestión de activos públicos, evaluación de proyectos de APPs, emisión de bonos verdes y modernización tributaria. La propuesta no es automáticamente beneficiosa para todos los territorios si no se acompaña de fortalecimiento institucional. Las experiencias de Medellín (facturación electrónica, cultura de pago, deuda estructurada) y Bogotá (modernización del ICA, reducción de tarifas) deben sistematizarse como modelos de cooperación técnica horizontal para municipios intermedios y pequeños, evitando el paternalismo y reconociendo las diferencias de escala. Los 759 municipios en riesgo requieren un modelo de acompañamiento manual, no automático, que incluya paquetes estandarizados de soluciones probadas.</w:t>
      </w:r>
    </w:p>
    <w:p>
      <w:pPr>
        <w:pStyle w:val="Heading2"/>
      </w:pPr>
      <w:r>
        <w:t>Sectorial</w:t>
      </w:r>
    </w:p>
    <w:p>
      <w:pPr>
        <w:jc w:val="both"/>
      </w:pPr>
      <w:r>
        <w:rPr>
          <w:rFonts w:ascii="Montserrat" w:hAnsi="Montserrat"/>
          <w:color w:val="333333"/>
          <w:sz w:val="22"/>
        </w:rPr>
        <w:t>Los sectores financiero, tecnológico, de infraestructura y ambiental deben analizar cómo una redefinición de la arquitectura fiscal territorial afectaría sus costos de cumplimiento, su estructura de competencia y sus oportunidades de inversión. La economía digital, descrita como una actividad sin ubicación física que desafía la territorialidad del ICA, requiere un marco normativo que no solo grave sino que facilite el cumplimiento. Las plataformas de contenido, los servicios financieros digitales y el comercio electrónico tienen un rol clave en la construcción de un sistema de información que reduzca la asimetría entre administraciones y contribuyentes. El sector privado, especialmente en APPs y bonos, debe operar bajo reglas claras de supervisión estatal que eviten la privatización encubierta de funciones públicas.</w:t>
      </w:r>
    </w:p>
    <w:p>
      <w:pPr>
        <w:pStyle w:val="Heading1"/>
      </w:pPr>
      <w:r>
        <w:t>4. PRÓXIMOS PASOS Y RECOMENDACIONES DE INCIDENCIA</w:t>
      </w:r>
    </w:p>
    <w:p>
      <w:pPr>
        <w:spacing w:after="120"/>
        <w:ind w:left="360" w:hanging="360"/>
      </w:pPr>
      <w:r>
        <w:rPr>
          <w:rFonts w:ascii="Montserrat" w:hAnsi="Montserrat"/>
          <w:color w:val="0B43F7"/>
          <w:sz w:val="20"/>
        </w:rPr>
        <w:t>●</w:t>
        <w:tab/>
      </w:r>
      <w:r>
        <w:rPr>
          <w:rFonts w:ascii="Montserrat" w:hAnsi="Montserrat"/>
          <w:color w:val="333333"/>
          <w:sz w:val="22"/>
        </w:rPr>
        <w:t>Análisis jurídico de la viabilidad constitucional de una reforma integral del ICA (artículos 300, 356 y siguientes) y de su articulación con el régimen de reglas fiscales, el Sistema General de Participaciones y la Ley 1819 de 2016, incluyendo la posibilidad de una sobre-tasa del IVA o impuesto al consumo local.</w:t>
      </w:r>
    </w:p>
    <w:p>
      <w:pPr>
        <w:spacing w:after="120"/>
        <w:ind w:left="360" w:hanging="360"/>
      </w:pPr>
      <w:r>
        <w:rPr>
          <w:rFonts w:ascii="Montserrat" w:hAnsi="Montserrat"/>
          <w:color w:val="0AB6F2"/>
          <w:sz w:val="20"/>
        </w:rPr>
        <w:t>●</w:t>
        <w:tab/>
      </w:r>
      <w:r>
        <w:rPr>
          <w:rFonts w:ascii="Montserrat" w:hAnsi="Montserrat"/>
          <w:color w:val="333333"/>
          <w:sz w:val="22"/>
        </w:rPr>
        <w:t>Diseño de una estrategia de inclusión del sector financiero en la facturación electrónica, eliminando la exclusión legal actual y estableciendo un cronograma de implementación con acompañamiento técnico.</w:t>
      </w:r>
    </w:p>
    <w:p>
      <w:pPr>
        <w:spacing w:after="120"/>
        <w:ind w:left="360" w:hanging="360"/>
      </w:pPr>
      <w:r>
        <w:rPr>
          <w:rFonts w:ascii="Montserrat" w:hAnsi="Montserrat"/>
          <w:color w:val="00CC30"/>
          <w:sz w:val="20"/>
        </w:rPr>
        <w:t>●</w:t>
        <w:tab/>
      </w:r>
      <w:r>
        <w:rPr>
          <w:rFonts w:ascii="Montserrat" w:hAnsi="Montserrat"/>
          <w:color w:val="333333"/>
          <w:sz w:val="22"/>
        </w:rPr>
        <w:t>Evaluación de impacto distributivo de la eliminación de exoneraciones del IVA a alimentos, con diseño de mecanismos de mitigación social (transferencias monetarias, subsidios directos) que desarmen el discurso populista y protejan a los estratos vulnerables.</w:t>
      </w:r>
    </w:p>
    <w:p>
      <w:pPr>
        <w:spacing w:after="120"/>
        <w:ind w:left="360" w:hanging="360"/>
      </w:pPr>
      <w:r>
        <w:rPr>
          <w:rFonts w:ascii="Montserrat" w:hAnsi="Montserrat"/>
          <w:color w:val="6CD3A5"/>
          <w:sz w:val="20"/>
        </w:rPr>
        <w:t>●</w:t>
        <w:tab/>
      </w:r>
      <w:r>
        <w:rPr>
          <w:rFonts w:ascii="Montserrat" w:hAnsi="Montserrat"/>
          <w:color w:val="333333"/>
          <w:sz w:val="22"/>
        </w:rPr>
        <w:t>Mapeo de la coalición parlamentaria y territorial: identificación de congresistas, gobernadores y alcaldes interesados en una reforma tributaria territorial robusta, con estrategia de ampliación de respaldo legislativo.</w:t>
      </w:r>
    </w:p>
    <w:p>
      <w:pPr>
        <w:spacing w:after="120"/>
        <w:ind w:left="360" w:hanging="360"/>
      </w:pPr>
      <w:r>
        <w:rPr>
          <w:rFonts w:ascii="Montserrat" w:hAnsi="Montserrat"/>
          <w:color w:val="0B43F7"/>
          <w:sz w:val="20"/>
        </w:rPr>
        <w:t>●</w:t>
        <w:tab/>
      </w:r>
      <w:r>
        <w:rPr>
          <w:rFonts w:ascii="Montserrat" w:hAnsi="Montserrat"/>
          <w:color w:val="333333"/>
          <w:sz w:val="22"/>
        </w:rPr>
        <w:t>Diálogo intergubernamental estructurado entre la Nación, DIAN, gobernaciones y alcaldías para definir un protocolo de transferencia de datos de facturación electrónica y medios de pago que permita a los territorios fiscalizar sin depender de la buena voluntad del nivel central.</w:t>
      </w:r>
    </w:p>
    <w:p>
      <w:pPr>
        <w:spacing w:after="120"/>
        <w:ind w:left="360" w:hanging="360"/>
      </w:pPr>
      <w:r>
        <w:rPr>
          <w:rFonts w:ascii="Montserrat" w:hAnsi="Montserrat"/>
          <w:color w:val="0AB6F2"/>
          <w:sz w:val="20"/>
        </w:rPr>
        <w:t>●</w:t>
        <w:tab/>
      </w:r>
      <w:r>
        <w:rPr>
          <w:rFonts w:ascii="Montserrat" w:hAnsi="Montserrat"/>
          <w:color w:val="333333"/>
          <w:sz w:val="22"/>
        </w:rPr>
        <w:t>Documentación de casos de modernización tributaria y financiera territorial exitosos en Colombia (Medellín: facturación electrónica, cultura de pago, deuda estructurada; Bogotá: modernización del ICA, reducción de tarifas; Antioquia: modelo provincial, bonos verdes) como evidencia interna de viabilidad.</w:t>
      </w:r>
    </w:p>
    <w:p>
      <w:pPr>
        <w:spacing w:after="120"/>
        <w:ind w:left="360" w:hanging="360"/>
      </w:pPr>
      <w:r>
        <w:rPr>
          <w:rFonts w:ascii="Montserrat" w:hAnsi="Montserrat"/>
          <w:color w:val="00CC30"/>
          <w:sz w:val="20"/>
        </w:rPr>
        <w:t>●</w:t>
        <w:tab/>
      </w:r>
      <w:r>
        <w:rPr>
          <w:rFonts w:ascii="Montserrat" w:hAnsi="Montserrat"/>
          <w:color w:val="333333"/>
          <w:sz w:val="22"/>
        </w:rPr>
        <w:t>Diseño de un Sistema Nacional de Fortalecimiento Territorial que unifique los esquemas de acompañamiento de los ministerios, asocie mediciones de capacidad a intervenciones específicas y priorice a los 759 municipios en riesgo fiscal.</w:t>
      </w:r>
    </w:p>
    <w:p>
      <w:pPr>
        <w:spacing w:after="120"/>
        <w:ind w:left="360" w:hanging="360"/>
      </w:pPr>
      <w:r>
        <w:rPr>
          <w:rFonts w:ascii="Montserrat" w:hAnsi="Montserrat"/>
          <w:color w:val="6CD3A5"/>
          <w:sz w:val="20"/>
        </w:rPr>
        <w:t>●</w:t>
        <w:tab/>
      </w:r>
      <w:r>
        <w:rPr>
          <w:rFonts w:ascii="Montserrat" w:hAnsi="Montserrat"/>
          <w:color w:val="333333"/>
          <w:sz w:val="22"/>
        </w:rPr>
        <w:t>Evaluación económica del potencial de recaudo de la formalización mediante facturación electrónica a nivel municipal, cuantificando la brecha entre recaudo actual y potencial en los principales sectores (financiero, plataformas digitales, servicios).</w:t>
      </w:r>
    </w:p>
    <w:p>
      <w:pPr>
        <w:spacing w:after="120"/>
        <w:ind w:left="360" w:hanging="360"/>
      </w:pPr>
      <w:r>
        <w:rPr>
          <w:rFonts w:ascii="Montserrat" w:hAnsi="Montserrat"/>
          <w:color w:val="0B43F7"/>
          <w:sz w:val="20"/>
        </w:rPr>
        <w:t>●</w:t>
        <w:tab/>
      </w:r>
      <w:r>
        <w:rPr>
          <w:rFonts w:ascii="Montserrat" w:hAnsi="Montserrat"/>
          <w:color w:val="333333"/>
          <w:sz w:val="22"/>
        </w:rPr>
        <w:t>Construcción de una estrategia de cooperación técnica horizontal entre grandes ciudades (Medellín, Bogotá, Cali, Barranquilla) y municipios pequeños para la transferencia de capacidades en gestión tributaria, tecnología, APPs y monetización de activos.</w:t>
      </w:r>
    </w:p>
    <w:p>
      <w:pPr>
        <w:spacing w:after="120"/>
        <w:ind w:left="360" w:hanging="360"/>
      </w:pPr>
      <w:r>
        <w:rPr>
          <w:rFonts w:ascii="Montserrat" w:hAnsi="Montserrat"/>
          <w:color w:val="0AB6F2"/>
          <w:sz w:val="20"/>
        </w:rPr>
        <w:t>●</w:t>
        <w:tab/>
      </w:r>
      <w:r>
        <w:rPr>
          <w:rFonts w:ascii="Montserrat" w:hAnsi="Montserrat"/>
          <w:color w:val="333333"/>
          <w:sz w:val="22"/>
        </w:rPr>
        <w:t>Diseño de un marco regulatorio para bonos verdes y sociales territoriales, con pipeline de proyectos estructurados en movilidad limpia, gestión del recurso hídrico y adaptación climática, que permita a los territorios acceder a mercados de capitales internacionales.</w:t>
      </w:r>
    </w:p>
    <w:p>
      <w:pPr>
        <w:spacing w:after="120"/>
        <w:ind w:left="360" w:hanging="360"/>
      </w:pPr>
      <w:r>
        <w:rPr>
          <w:rFonts w:ascii="Montserrat" w:hAnsi="Montserrat"/>
          <w:color w:val="00CC30"/>
          <w:sz w:val="20"/>
        </w:rPr>
        <w:t>●</w:t>
        <w:tab/>
      </w:r>
      <w:r>
        <w:rPr>
          <w:rFonts w:ascii="Montserrat" w:hAnsi="Montserrat"/>
          <w:color w:val="333333"/>
          <w:sz w:val="22"/>
        </w:rPr>
        <w:t>Revisión de la legislación de obras por impuestos y APPs territoriales para garantizar que los municipios conserven la función pública de regulación y supervisión, evitando la privatización encubierta de responsabilidades estatales.</w:t>
      </w:r>
    </w:p>
    <w:p>
      <w:pPr>
        <w:spacing w:after="120"/>
        <w:ind w:left="360" w:hanging="360"/>
      </w:pPr>
      <w:r>
        <w:rPr>
          <w:rFonts w:ascii="Montserrat" w:hAnsi="Montserrat"/>
          <w:color w:val="6CD3A5"/>
          <w:sz w:val="20"/>
        </w:rPr>
        <w:t>●</w:t>
        <w:tab/>
      </w:r>
      <w:r>
        <w:rPr>
          <w:rFonts w:ascii="Montserrat" w:hAnsi="Montserrat"/>
          <w:color w:val="333333"/>
          <w:sz w:val="22"/>
        </w:rPr>
        <w:t>Implementación inmediata de medidas de simplificación administrativa y reducción de trámites en los municipios como estrategia de atractivo de inversión, priorizando la seguridad jurídica y los tiempos de respuesta sobre la reducción de tarifas.</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