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RELATORÍA ESTRATÉGICA</w:t>
      </w:r>
    </w:p>
    <w:p>
      <w:pPr>
        <w:spacing w:after="80"/>
      </w:pPr>
      <w:r>
        <w:rPr>
          <w:rFonts w:ascii="Georgia" w:hAnsi="Georgia"/>
          <w:i/>
          <w:color w:val="4A4A5A"/>
          <w:sz w:val="24"/>
        </w:rPr>
        <w:t>Panel 7: Generación de Valor a partir de la Infraestructura Pública de las Ciudades</w:t>
      </w:r>
    </w:p>
    <w:p>
      <w:pPr>
        <w:spacing w:after="80"/>
      </w:pPr>
      <w:r>
        <w:rPr>
          <w:rFonts w:ascii="Georgia" w:hAnsi="Georgia"/>
          <w:i/>
          <w:color w:val="666666"/>
          <w:sz w:val="18"/>
        </w:rPr>
        <w:t>Congreso de Finanzas Públicas Territoriales 2026</w:t>
        <w:br/>
        <w:t xml:space="preserve"> GOBS Estrategias Públicas</w:t>
        <w:br/>
        <w:t>Documento Metodológico — Sistematización Estratégica FPT 2026</w:t>
        <w:br/>
        <w:t>Fecha de sesión: 5 de agosto de 2026</w:t>
        <w:br/>
        <w:t>Hora: 8:30 AM — Gran Salón</w:t>
        <w:br/>
        <w:t>Moderadora: María Clara Arrubla (Agencia APP de Medellín)</w:t>
        <w:br/>
        <w:t>Panelistas: Andrés Tobón (Concejo de Medellín), Carlos Felipe Reyes (RENOVO — Empresa de Renovación y Desarrollo Urbano de Bogotá), Juan Manuel Patiño (Metro de Medellín)</w:t>
      </w:r>
    </w:p>
    <w:p>
      <w:pPr>
        <w:spacing w:after="320"/>
      </w:pPr>
      <w:r>
        <w:rPr>
          <w:rFonts w:ascii="Montserrat" w:hAnsi="Montserrat"/>
          <w:color w:val="0B43F7"/>
          <w:sz w:val="20"/>
        </w:rPr>
        <w:t>───────────────────────────────────</w:t>
      </w:r>
    </w:p>
    <w:p>
      <w:pPr>
        <w:pStyle w:val="Heading1"/>
      </w:pPr>
      <w:r>
        <w:t>1. LA PARADOJA DEL VALOR QUE SE ESCAPA</w:t>
      </w:r>
    </w:p>
    <w:p>
      <w:pPr>
        <w:jc w:val="both"/>
      </w:pPr>
      <w:r>
        <w:rPr>
          <w:rFonts w:ascii="Montserrat" w:hAnsi="Montserrat"/>
          <w:color w:val="333333"/>
          <w:sz w:val="22"/>
        </w:rPr>
        <w:t>El panel abrió con una pregunta incómoda que atraviesa todo el desarrollo urbano colombiano: cuando el Estado construye una avenida, un metro o un parque, no está edificando solo una obra de ingeniería, está redibujando el valor del suelo a su alrededor. Esa plusvalía, sin embargo, no se deposita automáticamente en las arcas públicas. Si la administración no está organizada para capturarla, el mercado la absorbe íntegramente, dejando al Estado con la factura de la obra y sin los recursos para mantenerla. María Clara Arrubla situó el debate en esa frontera: las grandes ciudades como Bogotá y Medellín tienen capacidad técnica y presupuestos robustos para generar infraestructura, pero la pregunta decisiva es quién se queda con el valor que esa infraestructura produce, cómo se llena de contenido lo que se construye, y qué pasa después con el mantenimiento y la sostenibilidad operativa.</w:t>
      </w:r>
    </w:p>
    <w:p>
      <w:pPr>
        <w:spacing w:before="120"/>
      </w:pPr>
      <w:r>
        <w:rPr>
          <w:rFonts w:ascii="Montserrat" w:hAnsi="Montserrat"/>
          <w:b/>
          <w:color w:val="1A1A2E"/>
          <w:sz w:val="22"/>
        </w:rPr>
        <w:t>Eje A. La brecha entre el valor catastral y la capacidad de recaudo</w:t>
      </w:r>
    </w:p>
    <w:p>
      <w:pPr>
        <w:jc w:val="both"/>
      </w:pPr>
      <w:r>
        <w:rPr>
          <w:rFonts w:ascii="Montserrat" w:hAnsi="Montserrat"/>
          <w:color w:val="333333"/>
          <w:sz w:val="22"/>
        </w:rPr>
        <w:t>Andrés Tobón ilustró la dimensión del problema con una cifra que condensa la paradoja. Medellín concentra un valor catastral cercano a 330 billones de pesos, pero no ha sido capaz de traducir esa riqueza inmobiliaria en un instrumento de recaudo que supere el 1% en materia tributaria. La tierra se encarece con cada intervención pública, pero la ciudad no ha logrado articular un mecanismo que devuelva parte de ese incremento a las finanzas distritales. No se trata de una ausencia de normas: la ciudad cuenta con instrumentos legales para hacerlo. El obstáculo es de otra naturaleza. Durante décadas, Medellín financió obras emblemáticas mediante valorización: la avenida 33, la avenida San Juan, la conexión al América, la avenida Oriental, los deprimidos. Esa vocación se quebró cuando una administración decidió someter el cobro a consulta popular, rompiendo el ciclo. Desde entonces, cobrar valorizaciones se convirtió en un problema político de difícil reversión. El resultado es que, con un presupuesto anual de 11 billones de pesos y una ejecución de entre 1,5 y 1,8 billones solo en infraestructura pública, la ciudad no recauda hoy nada por la plusvalía que esas obras generan en las propiedades inmediatas. Es una oportunidad perdida que se traduce en menos recursos para nuevas líneas de metro, para detonar planes parciales, para invertir en calidad de vida.</w:t>
      </w:r>
    </w:p>
    <w:p>
      <w:pPr>
        <w:pStyle w:val="Quote"/>
      </w:pPr>
      <w:r>
        <w:rPr>
          <w:rFonts w:ascii="Georgia" w:hAnsi="Georgia"/>
          <w:i/>
          <w:color w:val="1A1A2E"/>
          <w:sz w:val="21"/>
        </w:rPr>
        <w:t>"Medellín tiene un valor catastral cercano a los 330 billones de pesos y nosotros no hemos sido capaces de llevar ese valor catastral a un instrumento de recaudo que supere el uno por ciento materia tributaria."</w:t>
      </w:r>
      <w:r>
        <w:br/>
      </w:r>
      <w:r>
        <w:rPr>
          <w:rFonts w:ascii="Georgia" w:hAnsi="Georgia"/>
          <w:b/>
          <w:i/>
          <w:color w:val="0B43F7"/>
          <w:sz w:val="21"/>
        </w:rPr>
        <w:t>— Andrés Tobón</w:t>
      </w:r>
    </w:p>
    <w:p>
      <w:pPr>
        <w:pStyle w:val="Quote"/>
      </w:pPr>
      <w:r>
        <w:rPr>
          <w:rFonts w:ascii="Georgia" w:hAnsi="Georgia"/>
          <w:i/>
          <w:color w:val="1A1A2E"/>
          <w:sz w:val="21"/>
        </w:rPr>
        <w:t>"No es un asunto ni siquiera de falta de instrumentos, es un asunto de falta de voluntad que ha tenido la ciudad no ahora, sino históricamente."</w:t>
      </w:r>
      <w:r>
        <w:br/>
      </w:r>
      <w:r>
        <w:rPr>
          <w:rFonts w:ascii="Georgia" w:hAnsi="Georgia"/>
          <w:b/>
          <w:i/>
          <w:color w:val="0B43F7"/>
          <w:sz w:val="21"/>
        </w:rPr>
        <w:t>— Andrés Tobón</w:t>
      </w:r>
    </w:p>
    <w:p>
      <w:pPr>
        <w:pStyle w:val="Quote"/>
      </w:pPr>
      <w:r>
        <w:rPr>
          <w:rFonts w:ascii="Georgia" w:hAnsi="Georgia"/>
          <w:i/>
          <w:color w:val="1A1A2E"/>
          <w:sz w:val="21"/>
        </w:rPr>
        <w:t>"Llega un alcalde... decide que antes de cobrar valorización tendrían que haberle preguntado de manera muy populista a la gente si estaba de acuerdo o no... evidentemente va a decir que no está de acuerdo porque no quiere pagar más... desde ese día cobrar valorizaciones en Medellín se convirtió en un problema gigantesco."</w:t>
      </w:r>
      <w:r>
        <w:br/>
      </w:r>
      <w:r>
        <w:rPr>
          <w:rFonts w:ascii="Georgia" w:hAnsi="Georgia"/>
          <w:b/>
          <w:i/>
          <w:color w:val="0B43F7"/>
          <w:sz w:val="21"/>
        </w:rPr>
        <w:t>— Andrés Tobón</w:t>
      </w:r>
    </w:p>
    <w:p>
      <w:pPr>
        <w:pStyle w:val="Quote"/>
      </w:pPr>
      <w:r>
        <w:rPr>
          <w:rFonts w:ascii="Georgia" w:hAnsi="Georgia"/>
          <w:i/>
          <w:color w:val="1A1A2E"/>
          <w:sz w:val="21"/>
        </w:rPr>
        <w:t>"Medellín tiene un presupuesto anual de 11 billones de pesos... ejecutamos anualmente entre uno punto cinco y uno punto ocho billones solamente en infraestructura pública... ¿cuánto estamos nosotros realmente cobrando por lo que generan plusvalía en las propiedades inmediatas? Hoy nada. La realidad hoy es nada."</w:t>
      </w:r>
      <w:r>
        <w:br/>
      </w:r>
      <w:r>
        <w:rPr>
          <w:rFonts w:ascii="Georgia" w:hAnsi="Georgia"/>
          <w:b/>
          <w:i/>
          <w:color w:val="0B43F7"/>
          <w:sz w:val="21"/>
        </w:rPr>
        <w:t>— Andrés Tobón</w:t>
      </w:r>
    </w:p>
    <w:p>
      <w:pPr>
        <w:spacing w:before="120"/>
      </w:pPr>
      <w:r>
        <w:rPr>
          <w:rFonts w:ascii="Montserrat" w:hAnsi="Montserrat"/>
          <w:b/>
          <w:color w:val="1A1A2E"/>
          <w:sz w:val="22"/>
        </w:rPr>
        <w:t>Eje B. Una crisis nacional de ordenamiento territorial desactualizado</w:t>
      </w:r>
    </w:p>
    <w:p>
      <w:pPr>
        <w:jc w:val="both"/>
      </w:pPr>
      <w:r>
        <w:rPr>
          <w:rFonts w:ascii="Montserrat" w:hAnsi="Montserrat"/>
          <w:color w:val="333333"/>
          <w:sz w:val="22"/>
        </w:rPr>
        <w:t>Carlos Felipe Reyes amplió el diagnóstico a escala nacional. Colombia enfrenta una crisis del ordenamiento territorial que no es solo de mora normativa: más del 80% de los planes de ordenamiento territorial están desactualizados, el costo de entrada a su revisión es prohibitivo, y las cifras de ejecución de los planes de inversión acompañantes no superan el 30% de lo proyectado. El POT, lejos de ser el instrumento de transformación que previó la Ley 388 de 1997, se ha convertido en un documento de declaración sin operatividad. Los instrumentos tradicionales de captura de valor —plusvalía, valorización— enfrentan barreras técnico-políticas que los hacen difíciles de implementar. En ese contexto, la financiación de la infraestructura sigue dependiendo casi exclusivamente del presupuesto ordinario local, una fuente cada vez más insuficiente frente a la magnitud de las necesidades.</w:t>
      </w:r>
    </w:p>
    <w:p>
      <w:pPr>
        <w:pStyle w:val="Quote"/>
      </w:pPr>
      <w:r>
        <w:rPr>
          <w:rFonts w:ascii="Georgia" w:hAnsi="Georgia"/>
          <w:i/>
          <w:color w:val="1A1A2E"/>
          <w:sz w:val="21"/>
        </w:rPr>
        <w:t>"Seguimos con la desactualización de los planes de ordenamiento territorial superior al 80%... el costo de entrada a la revisión de los planes de ordenamiento territorial es tremendamente costosa... las cifras de ejecución en ningún caso superan el 30% de lo que se ideó a lo que se materializó."</w:t>
      </w:r>
      <w:r>
        <w:br/>
      </w:r>
      <w:r>
        <w:rPr>
          <w:rFonts w:ascii="Georgia" w:hAnsi="Georgia"/>
          <w:b/>
          <w:i/>
          <w:color w:val="0B43F7"/>
          <w:sz w:val="21"/>
        </w:rPr>
        <w:t>— Carlos Felipe Reyes</w:t>
      </w:r>
    </w:p>
    <w:p>
      <w:pPr>
        <w:spacing w:before="120"/>
      </w:pPr>
      <w:r>
        <w:rPr>
          <w:rFonts w:ascii="Montserrat" w:hAnsi="Montserrat"/>
          <w:b/>
          <w:color w:val="1A1A2E"/>
          <w:sz w:val="22"/>
        </w:rPr>
        <w:t>Eje C. El problema no termina en la construcción: el reto del mantenimiento</w:t>
      </w:r>
    </w:p>
    <w:p>
      <w:pPr>
        <w:jc w:val="both"/>
      </w:pPr>
      <w:r>
        <w:rPr>
          <w:rFonts w:ascii="Montserrat" w:hAnsi="Montserrat"/>
          <w:color w:val="333333"/>
          <w:sz w:val="22"/>
        </w:rPr>
        <w:t>Juan Manuel Patiño agregó una dimensión que muchas administraciones prefieren posponer: el problema no termina en la construcción. En el país hay ejemplos de transporte masivo donde la plata apareció, se construyó, pero hoy las obras están deficitarias, algunas con peligro de cierre. Mientras más infraestructura se construye, más recursos se necesitan para mantenerla. Sin mecanismos que generen flujos para la operación y el mantenimiento, cada nueva obra se convierte en una sentencia financiera a futuro. La captura de valor, entonces, no puede limitarse al capex de construcción; debe extenderse al opex de la vida útil.</w:t>
      </w:r>
    </w:p>
    <w:p>
      <w:pPr>
        <w:pStyle w:val="Quote"/>
      </w:pPr>
      <w:r>
        <w:rPr>
          <w:rFonts w:ascii="Georgia" w:hAnsi="Georgia"/>
          <w:i/>
          <w:color w:val="1A1A2E"/>
          <w:sz w:val="21"/>
        </w:rPr>
        <w:t>"El problema está en cómo operan en el opex de las infraestructuras... en el país hay unos ejemplos importantes en materia de transporte que la plata apareció, se construyeron, pero hoy están deficitarios... con peligros de cierre."</w:t>
      </w:r>
      <w:r>
        <w:br/>
      </w:r>
      <w:r>
        <w:rPr>
          <w:rFonts w:ascii="Georgia" w:hAnsi="Georgia"/>
          <w:b/>
          <w:i/>
          <w:color w:val="0B43F7"/>
          <w:sz w:val="21"/>
        </w:rPr>
        <w:t>— Juan Manuel Patiño</w:t>
      </w:r>
    </w:p>
    <w:p>
      <w:pPr>
        <w:pStyle w:val="Quote"/>
      </w:pPr>
      <w:r>
        <w:rPr>
          <w:rFonts w:ascii="Georgia" w:hAnsi="Georgia"/>
          <w:i/>
          <w:color w:val="1A1A2E"/>
          <w:sz w:val="21"/>
        </w:rPr>
        <w:t>"Mientras más infraestructura construyan, más plata hay que sacar para mantenerlas."</w:t>
      </w:r>
      <w:r>
        <w:br/>
      </w:r>
      <w:r>
        <w:rPr>
          <w:rFonts w:ascii="Georgia" w:hAnsi="Georgia"/>
          <w:b/>
          <w:i/>
          <w:color w:val="0B43F7"/>
          <w:sz w:val="21"/>
        </w:rPr>
        <w:t>— Juan Manuel Patiño</w:t>
      </w:r>
    </w:p>
    <w:p>
      <w:pPr>
        <w:pStyle w:val="Heading1"/>
      </w:pPr>
      <w:r>
        <w:t>2. LA BRECHA DE CONFIANZA: CUANDO LA CIUDADANÍA DEJA DE PAGAR</w:t>
      </w:r>
    </w:p>
    <w:p>
      <w:pPr>
        <w:jc w:val="both"/>
      </w:pPr>
      <w:r>
        <w:rPr>
          <w:rFonts w:ascii="Montserrat" w:hAnsi="Montserrat"/>
          <w:color w:val="333333"/>
          <w:sz w:val="22"/>
        </w:rPr>
        <w:t>Si el problema técnico es la no captura de valor, el problema político es la desconfianza. Los tres panelistas coincidieron en que la aceptación ciudadana de una mayor carga tributaria no depende de la sofisticación del instrumento fiscal, sino de la credibilidad de quien lo aplica. La ciudadanía no es un agente egoísta y anárquico que ve en el Estado un enemigo frente al cual no quiere pagar. Es una lectura errada de lo que ocurre en la calle. La gente está dispuesta a pagar más cuando encuentra una administración que responde a los problemas públicos, cuando ve que lo que paga se traduce en patrimonio, seguridad y calidad de vida.</w:t>
      </w:r>
    </w:p>
    <w:p>
      <w:pPr>
        <w:jc w:val="both"/>
      </w:pPr>
      <w:r>
        <w:rPr>
          <w:rFonts w:ascii="Montserrat" w:hAnsi="Montserrat"/>
          <w:color w:val="333333"/>
          <w:sz w:val="22"/>
        </w:rPr>
        <w:t>Medellín ofrece una evidencia reciente. Una administración entre 2023, marcada por la desconexión y la corrupción, generó una reducción en el recaudo del impuesto predial y del ICA. No porque subieran las tasas ni porque se endureciera la recauda, sino porque la gente no quería pagarle a esa administración. Llegó una nueva administración, empezó a dar resultados visibles, y el recaudo se disparó inmediatamente. La confianza opera como un activo fiscal invisible: cuando se erosiona, cae el recaudo aunque las tasas no cambien; cuando se recupera, crece sin necesidad de nuevos impuestos. Patiño recordó que incluso en los años más oscuros del narcotráfico, la gente de Medellín pagaba juiciosamente el predial y la valorización. La cultura de pago existe; lo que se necesita es gestión que la legitime.</w:t>
      </w:r>
    </w:p>
    <w:p>
      <w:pPr>
        <w:jc w:val="both"/>
      </w:pPr>
      <w:r>
        <w:rPr>
          <w:rFonts w:ascii="Montserrat" w:hAnsi="Montserrat"/>
          <w:color w:val="333333"/>
          <w:sz w:val="22"/>
        </w:rPr>
        <w:t>Sin embargo, esa disposición al pago choca contra una barrera técnico-política que Tobón no eludió. El Concejo de Medellín es el que termina adoptando el POT, no los técnicos del Departamento Administrativo de Planeación. Y la pregunta que el concejal lanzó al aire es incómoda: ¿está el Concejo en la suficiencia técnica para lograr un debate sobre 800 artículos en la altura que la ciudad merece? Si quienes aprueban la norma no dominan el instrumento, si la discusión urbanística es tan hiper técnica que se convierte en la primera barrera frente a la ciudadanía, la legitimidad se quiebra antes de llegar al recaudo. Esa brecha entre técnicos, políticos y ciudadanos es, en última instancia, un problema de gobernanza democrática.</w:t>
      </w:r>
    </w:p>
    <w:p>
      <w:pPr>
        <w:pStyle w:val="Heading2"/>
      </w:pPr>
      <w:r>
        <w:rPr>
          <w:color w:val="0AB6F2"/>
        </w:rPr>
        <w:t>VOCES DEL PANEL — RETO</w:t>
      </w:r>
    </w:p>
    <w:p>
      <w:pPr>
        <w:pStyle w:val="Quote"/>
      </w:pPr>
      <w:r>
        <w:rPr>
          <w:rFonts w:ascii="Georgia" w:hAnsi="Georgia"/>
          <w:i/>
          <w:color w:val="1A1A2E"/>
          <w:sz w:val="21"/>
        </w:rPr>
        <w:t>"La ciudadanía está dispuesta a pagar más cuando encuentra una administración y cuando encuentra una institucionalidad que responda a los problemas... Creer a la gente ciudadana como un agente absolutamente egoísta... que encuentra en el Estado un enemigo frente al cual no quiere pagar un peso es un error absoluto."</w:t>
      </w:r>
      <w:r>
        <w:br/>
      </w:r>
      <w:r>
        <w:rPr>
          <w:rFonts w:ascii="Georgia" w:hAnsi="Georgia"/>
          <w:b/>
          <w:i/>
          <w:color w:val="0B43F7"/>
          <w:sz w:val="21"/>
        </w:rPr>
        <w:t>— Andrés Tobón</w:t>
      </w:r>
    </w:p>
    <w:p>
      <w:pPr>
        <w:pStyle w:val="Quote"/>
      </w:pPr>
      <w:r>
        <w:rPr>
          <w:rFonts w:ascii="Georgia" w:hAnsi="Georgia"/>
          <w:i/>
          <w:color w:val="1A1A2E"/>
          <w:sz w:val="21"/>
        </w:rPr>
        <w:t>"Un gobierno entre 2023 que evidentemente tenía una desconexión muy importante producto de la corrupción generó una reducción en el recaudo del impuesto Predial... llega una administración nueva, empieza a dar resultados y se dispara inmediatamente el recaudo."</w:t>
      </w:r>
      <w:r>
        <w:br/>
      </w:r>
      <w:r>
        <w:rPr>
          <w:rFonts w:ascii="Georgia" w:hAnsi="Georgia"/>
          <w:b/>
          <w:i/>
          <w:color w:val="0B43F7"/>
          <w:sz w:val="21"/>
        </w:rPr>
        <w:t>— Andrés Tobón</w:t>
      </w:r>
    </w:p>
    <w:p>
      <w:pPr>
        <w:pStyle w:val="Quote"/>
      </w:pPr>
      <w:r>
        <w:rPr>
          <w:rFonts w:ascii="Georgia" w:hAnsi="Georgia"/>
          <w:i/>
          <w:color w:val="1A1A2E"/>
          <w:sz w:val="21"/>
        </w:rPr>
        <w:t>"Medellín inclusive en los años más oscuros del narcotráfico la gente pagaba juiciosamente el impuesto Predial y la valorización... tenemos una cultura de pago muy buena... la gente cuando ve las cosas paga porque eso se refleja obviamente en su patrimonio, en su seguridad, en calidad de vida."</w:t>
      </w:r>
      <w:r>
        <w:br/>
      </w:r>
      <w:r>
        <w:rPr>
          <w:rFonts w:ascii="Georgia" w:hAnsi="Georgia"/>
          <w:b/>
          <w:i/>
          <w:color w:val="0B43F7"/>
          <w:sz w:val="21"/>
        </w:rPr>
        <w:t>— Juan Manuel Patiño</w:t>
      </w:r>
    </w:p>
    <w:p>
      <w:pPr>
        <w:pStyle w:val="Quote"/>
      </w:pPr>
      <w:r>
        <w:rPr>
          <w:rFonts w:ascii="Georgia" w:hAnsi="Georgia"/>
          <w:i/>
          <w:color w:val="1A1A2E"/>
          <w:sz w:val="21"/>
        </w:rPr>
        <w:t>"El concejo de Medellín es el que termina adoptando el POT... no los técnicos del departamento administrativo de planeación... la pregunta honesta... es ¿está el consejo en la suficiencia técnica para lograr este debate en la altura que la ciudad merece?"</w:t>
      </w:r>
      <w:r>
        <w:br/>
      </w:r>
      <w:r>
        <w:rPr>
          <w:rFonts w:ascii="Georgia" w:hAnsi="Georgia"/>
          <w:b/>
          <w:i/>
          <w:color w:val="0B43F7"/>
          <w:sz w:val="21"/>
        </w:rPr>
        <w:t>— Andrés Tobón</w:t>
      </w:r>
    </w:p>
    <w:p>
      <w:pPr>
        <w:pStyle w:val="Quote"/>
      </w:pPr>
      <w:r>
        <w:rPr>
          <w:rFonts w:ascii="Georgia" w:hAnsi="Georgia"/>
          <w:i/>
          <w:color w:val="1A1A2E"/>
          <w:sz w:val="21"/>
        </w:rPr>
        <w:t>"La norma urbanística no existe un poder semejante que pueda tener un alcalde, un consejo, ninguna de las otras líneas que le corresponde en su gestión pública."</w:t>
      </w:r>
      <w:r>
        <w:br/>
      </w:r>
      <w:r>
        <w:rPr>
          <w:rFonts w:ascii="Georgia" w:hAnsi="Georgia"/>
          <w:b/>
          <w:i/>
          <w:color w:val="0B43F7"/>
          <w:sz w:val="21"/>
        </w:rPr>
        <w:t>— Andrés Tobón</w:t>
      </w:r>
    </w:p>
    <w:p>
      <w:pPr>
        <w:pStyle w:val="Heading1"/>
      </w:pPr>
      <w:r>
        <w:t>3. INSTRUMENTOS QUE ESTÁN EN LA MESA: DE LA TEORÍA A LA OPERACIÓN</w:t>
      </w:r>
    </w:p>
    <w:p>
      <w:pPr>
        <w:jc w:val="both"/>
      </w:pPr>
      <w:r>
        <w:rPr>
          <w:rFonts w:ascii="Montserrat" w:hAnsi="Montserrat"/>
          <w:color w:val="333333"/>
          <w:sz w:val="22"/>
        </w:rPr>
        <w:t>Frente al diagnóstico, el panel no se quedó en la queja. Reyes presentó la experiencia de Bogotá en la zona industrial de Puente Aranda —Corferias— como un laboratorio donde la teoría ya se ensaya en la operación. El énfasis normativo recae en las actuaciones estratégicas, vinculadas a los corredores de infraestructura del Distrito Aeroportuario, la calle 26 y las líneas 1 y 2 del metro. El primer instrumento son las obligaciones urbanísticas, que proyectan recaudar el 42% de la financiación de la transformación de esa zona. Eso cubre casi la mitad; el resto exige complementos.</w:t>
      </w:r>
    </w:p>
    <w:p>
      <w:pPr>
        <w:jc w:val="both"/>
      </w:pPr>
      <w:r>
        <w:rPr>
          <w:rFonts w:ascii="Montserrat" w:hAnsi="Montserrat"/>
          <w:color w:val="333333"/>
          <w:sz w:val="22"/>
        </w:rPr>
        <w:t>Ahí entra la titularización del impuesto predial futuro, mecanismo reglamentado en 2020. El ejercicio consiste en proyectar el recaudo que generará el desarrollo inmobiliario de la zona, certificarlo, traerlo a valor presente y emitir un título. Del valor de ese título, el 60% se destina a infraestructura pública estructurante —en este caso, la adquisición de un predio para equipamiento social y un gran parque que sea puerta de entrada de espacio público en una zona en transformación— y el 40% restante funciona como colateral, sin necesidad de pedir garantías adicionales a la Secretaría de Hacienda. Reyes destacó que este instrumento se alimenta de la experiencia de Medellín, que estuvo cerca de lograrlo en la década anterior. Como tercer instrumento, mencionó los certificados de derechos de construcción y la transferencia de desarrollo, que permiten capturar plusvalía normativa sin depender exclusivamente de la Ley 388.</w:t>
      </w:r>
    </w:p>
    <w:p>
      <w:pPr>
        <w:jc w:val="both"/>
      </w:pPr>
      <w:r>
        <w:rPr>
          <w:rFonts w:ascii="Montserrat" w:hAnsi="Montserrat"/>
          <w:color w:val="333333"/>
          <w:sz w:val="22"/>
        </w:rPr>
        <w:t>Desde Medellín, Patiño enfatizó dos frentes de captura que el Metro ya está activando. El primero es el suelo remanente de las infraestructuras de transporte. En remanentes de la extensión al sur y en la línea más antigua, se han identificado incrementos de valor superiores al 150% respecto al valor inicial. De eso se está aprovechando haciendo proyectos inmobiliarios donde el Metro captura parte de esa valorización. El segundo frente son los flujos operativos: actividades comerciales dentro de la infraestructura y publicidad en un sistema que mueve 1,2 millones de personas diarias. Pero Patiño subrayó una condición sine qua non: sin norma que habilite un Derecho de Aprovechamiento de Espacio Público, sin posibilidad de montar otros usos sobre la infraestructura, el instrumento no sirve.</w:t>
      </w:r>
    </w:p>
    <w:p>
      <w:pPr>
        <w:jc w:val="both"/>
      </w:pPr>
      <w:r>
        <w:rPr>
          <w:rFonts w:ascii="Montserrat" w:hAnsi="Montserrat"/>
          <w:color w:val="333333"/>
          <w:sz w:val="22"/>
        </w:rPr>
        <w:t>El giro paradigmático del panel fue superar la lógica de obra pública para adoptar una de gestión de valor urbano. Patiño explicó que el Metro dejó de ser solo operador de transporte para convertirse en operador urbano desde 2015. Empezó a planificar corredores no como infraestructura, sino como corredores urbanos, uniendo la planificación del transporte con el ordenamiento territorial. Para el Metro de la 80, esa metodología ya produjo tres planes parciales y operaciones urbanas a lo largo del corredor. Tobón conectó esta agenda con el ajuste de mediano plazo del POT de Medellín, que por primera vez incluirá la derrama generalizada de plusvalía, obligada por ley pero nunca implementada. No solo la obra pública genera valorización; la norma misma, la habilitación normativa, modifica el valor del suelo. Reconocer eso es entender que el poder más importante de una ciudad no es el presupuesto, sino la norma del suelo.</w:t>
      </w:r>
    </w:p>
    <w:p>
      <w:pPr>
        <w:pStyle w:val="Heading2"/>
      </w:pPr>
      <w:r>
        <w:rPr>
          <w:color w:val="00CC30"/>
        </w:rPr>
        <w:t>VOCES DEL PANEL — SOLUCIÓN</w:t>
      </w:r>
    </w:p>
    <w:p>
      <w:pPr>
        <w:pStyle w:val="Quote"/>
      </w:pPr>
      <w:r>
        <w:rPr>
          <w:rFonts w:ascii="Georgia" w:hAnsi="Georgia"/>
          <w:i/>
          <w:color w:val="1A1A2E"/>
          <w:sz w:val="21"/>
        </w:rPr>
        <w:t>"Solamente mediante el recaudo de obligaciones urbanísticas la proyección es que la zona industrial... recoja el 42% de su financiación a través de las obligaciones urbanísticas."</w:t>
      </w:r>
      <w:r>
        <w:br/>
      </w:r>
      <w:r>
        <w:rPr>
          <w:rFonts w:ascii="Georgia" w:hAnsi="Georgia"/>
          <w:b/>
          <w:i/>
          <w:color w:val="0B43F7"/>
          <w:sz w:val="21"/>
        </w:rPr>
        <w:t>— Carlos Felipe Reyes</w:t>
      </w:r>
    </w:p>
    <w:p>
      <w:pPr>
        <w:pStyle w:val="Quote"/>
      </w:pPr>
      <w:r>
        <w:rPr>
          <w:rFonts w:ascii="Georgia" w:hAnsi="Georgia"/>
          <w:i/>
          <w:color w:val="1A1A2E"/>
          <w:sz w:val="21"/>
        </w:rPr>
        <w:t>"Proyecta todo este recaudo, hace un ejercicio de estimarlo, certificarlo... lo traemos a valor presente y emitimos un título... de ese título el 60% se usa para hacer una infraestructura pública y el otro 40% se usa como colateral del título con lo cual no hay que pedirle garantías adicionales a la Secretaría de Hacienda."</w:t>
      </w:r>
      <w:r>
        <w:br/>
      </w:r>
      <w:r>
        <w:rPr>
          <w:rFonts w:ascii="Georgia" w:hAnsi="Georgia"/>
          <w:b/>
          <w:i/>
          <w:color w:val="0B43F7"/>
          <w:sz w:val="21"/>
        </w:rPr>
        <w:t>— Carlos Felipe Reyes</w:t>
      </w:r>
    </w:p>
    <w:p>
      <w:pPr>
        <w:pStyle w:val="Quote"/>
      </w:pPr>
      <w:r>
        <w:rPr>
          <w:rFonts w:ascii="Georgia" w:hAnsi="Georgia"/>
          <w:i/>
          <w:color w:val="1A1A2E"/>
          <w:sz w:val="21"/>
        </w:rPr>
        <w:t>"Nosotros hemos identificado cambios en los valores de suelo en remanentes que tenemos en infraestructuras... valores del suelo que superan el 150% de lo que valía inicialmente y lo que pueden costar hoy, y de eso estamos aprovechando... haciendo proyectos inmobiliarios en suelos donde aprovechamos ese valor."</w:t>
      </w:r>
      <w:r>
        <w:br/>
      </w:r>
      <w:r>
        <w:rPr>
          <w:rFonts w:ascii="Georgia" w:hAnsi="Georgia"/>
          <w:b/>
          <w:i/>
          <w:color w:val="0B43F7"/>
          <w:sz w:val="21"/>
        </w:rPr>
        <w:t>— Juan Manuel Patiño</w:t>
      </w:r>
    </w:p>
    <w:p>
      <w:pPr>
        <w:pStyle w:val="Quote"/>
      </w:pPr>
      <w:r>
        <w:rPr>
          <w:rFonts w:ascii="Georgia" w:hAnsi="Georgia"/>
          <w:i/>
          <w:color w:val="1A1A2E"/>
          <w:sz w:val="21"/>
        </w:rPr>
        <w:t>"La publicidad en un sistema que mueve un millón doscientos mil personas diarias es un escenario perfecto."</w:t>
      </w:r>
      <w:r>
        <w:br/>
      </w:r>
      <w:r>
        <w:rPr>
          <w:rFonts w:ascii="Georgia" w:hAnsi="Georgia"/>
          <w:b/>
          <w:i/>
          <w:color w:val="0B43F7"/>
          <w:sz w:val="21"/>
        </w:rPr>
        <w:t>— Juan Manuel Patiño</w:t>
      </w:r>
    </w:p>
    <w:p>
      <w:pPr>
        <w:pStyle w:val="Quote"/>
      </w:pPr>
      <w:r>
        <w:rPr>
          <w:rFonts w:ascii="Georgia" w:hAnsi="Georgia"/>
          <w:i/>
          <w:color w:val="1A1A2E"/>
          <w:sz w:val="21"/>
        </w:rPr>
        <w:t>"Si no tiene norma la infraestructura para poder hacer un DRS, un equipamiento donde yo no pueda montar otros usos encima de la infraestructura no me sirve el instrumento."</w:t>
      </w:r>
      <w:r>
        <w:br/>
      </w:r>
      <w:r>
        <w:rPr>
          <w:rFonts w:ascii="Georgia" w:hAnsi="Georgia"/>
          <w:b/>
          <w:i/>
          <w:color w:val="0B43F7"/>
          <w:sz w:val="21"/>
        </w:rPr>
        <w:t>— Juan Manuel Patiño</w:t>
      </w:r>
    </w:p>
    <w:p>
      <w:pPr>
        <w:pStyle w:val="Quote"/>
      </w:pPr>
      <w:r>
        <w:rPr>
          <w:rFonts w:ascii="Georgia" w:hAnsi="Georgia"/>
          <w:i/>
          <w:color w:val="1A1A2E"/>
          <w:sz w:val="21"/>
        </w:rPr>
        <w:t>"Empezamos a plantear la metodología de planificación de corredores... no era un asunto técnico desde el transporte... era necesario que esa planificación del transporte se uniera con el ordenamiento territorial... ya no hablamos de corredores de infraestructura sino corredores urbanos."</w:t>
      </w:r>
      <w:r>
        <w:br/>
      </w:r>
      <w:r>
        <w:rPr>
          <w:rFonts w:ascii="Georgia" w:hAnsi="Georgia"/>
          <w:b/>
          <w:i/>
          <w:color w:val="0B43F7"/>
          <w:sz w:val="21"/>
        </w:rPr>
        <w:t>— Juan Manuel Patiño</w:t>
      </w:r>
    </w:p>
    <w:p>
      <w:pPr>
        <w:pStyle w:val="Quote"/>
      </w:pPr>
      <w:r>
        <w:rPr>
          <w:rFonts w:ascii="Georgia" w:hAnsi="Georgia"/>
          <w:i/>
          <w:color w:val="1A1A2E"/>
          <w:sz w:val="21"/>
        </w:rPr>
        <w:t>"Medellín va a ser una cosa que la ley obliga a hacer y que nunca se había hecho... el derrame generalizado de plusvalía... no solamente la obra pública me genera en el suelo una valorización sino que la norma misma, la habilitación normativa, genera modificaciones del valor del suelo."</w:t>
      </w:r>
      <w:r>
        <w:br/>
      </w:r>
      <w:r>
        <w:rPr>
          <w:rFonts w:ascii="Georgia" w:hAnsi="Georgia"/>
          <w:b/>
          <w:i/>
          <w:color w:val="0B43F7"/>
          <w:sz w:val="21"/>
        </w:rPr>
        <w:t>— Andrés Tobón</w:t>
      </w:r>
    </w:p>
    <w:p>
      <w:pPr>
        <w:pStyle w:val="Heading1"/>
      </w:pPr>
      <w:r>
        <w:t>4. HACIA UNA AGENDA NACIONAL ARTICULADA</w:t>
      </w:r>
    </w:p>
    <w:p>
      <w:pPr>
        <w:jc w:val="both"/>
      </w:pPr>
      <w:r>
        <w:rPr>
          <w:rFonts w:ascii="Montserrat" w:hAnsi="Montserrat"/>
          <w:color w:val="333333"/>
          <w:sz w:val="22"/>
        </w:rPr>
        <w:t>Los tres panelistas convergieron en que los instrumentos existen, pero su escala y replicabilidad dependen de decisiones deliberadas del nivel nacional. Tobón solicitó lineamientos nacionales de desarrollo orientado al transporte que garanticen seguridad jurídica, para que esta política no sea una excepción local sino una herramienta replicable. También planteó una reforma a la Ley de Metros para superar la lógica del 70-30, avanzando en instrumentos de financiación más detallados que permitan a las ciudades diseñar modelos más eficientes y que la participación del gobierno nacional pase por aparatos normativos que permitan capturar valor a nivel local.</w:t>
      </w:r>
    </w:p>
    <w:p>
      <w:pPr>
        <w:jc w:val="both"/>
      </w:pPr>
      <w:r>
        <w:rPr>
          <w:rFonts w:ascii="Montserrat" w:hAnsi="Montserrat"/>
          <w:color w:val="333333"/>
          <w:sz w:val="22"/>
        </w:rPr>
        <w:t>Patiño fue enfático en la urgencia reglamentaria del DRS. Es la tercera administración esperando esa reglamentación. La Ley de Metros financia la construcción, pero no responde a cómo se sostienen las infraestructuras a futuro. Esa es la pregunta que el país necesita responder. Reyes añadió la dimensión del mercado de capitales como filtro de robustez. Titularizar el predial futuro exige un ejercicio de discusión con agencias titularizadoras y fondos de inversión que impone a las administraciones un nivel de exigencia adicional: ya no es una conversación solo entre públicos, sino que pasa por el tamiz del mercado. Y visibilizó una agenda estructural frecuentemente ignorada: la actualización de la discusión del ordenamiento territorial, una ley pionera de 1997 que hoy enfrenta una realidad tremendamente compleja.</w:t>
      </w:r>
    </w:p>
    <w:p>
      <w:pPr>
        <w:pStyle w:val="Heading2"/>
      </w:pPr>
      <w:r>
        <w:rPr>
          <w:color w:val="6CD3A5"/>
        </w:rPr>
        <w:t>VOCES DEL PANEL — SINERGIA</w:t>
      </w:r>
    </w:p>
    <w:p>
      <w:pPr>
        <w:pStyle w:val="Quote"/>
      </w:pPr>
      <w:r>
        <w:rPr>
          <w:rFonts w:ascii="Georgia" w:hAnsi="Georgia"/>
          <w:i/>
          <w:color w:val="1A1A2E"/>
          <w:sz w:val="21"/>
        </w:rPr>
        <w:t>"Necesitamos que el desarrollo orientado al transporte no sea una política excepcional local sino que tenga un lineamiento nacional claro que garantice seguridad jurídica... incluso en la posibilidad de que la ciudad misma sea un generador de ese desarrollo."</w:t>
      </w:r>
      <w:r>
        <w:br/>
      </w:r>
      <w:r>
        <w:rPr>
          <w:rFonts w:ascii="Georgia" w:hAnsi="Georgia"/>
          <w:b/>
          <w:i/>
          <w:color w:val="0B43F7"/>
          <w:sz w:val="21"/>
        </w:rPr>
        <w:t>— Andrés Tobón</w:t>
      </w:r>
    </w:p>
    <w:p>
      <w:pPr>
        <w:pStyle w:val="Quote"/>
      </w:pPr>
      <w:r>
        <w:rPr>
          <w:rFonts w:ascii="Georgia" w:hAnsi="Georgia"/>
          <w:i/>
          <w:color w:val="1A1A2E"/>
          <w:sz w:val="21"/>
        </w:rPr>
        <w:t>"La discusión sobre la ley de metros es una discusión que tiene que superar el 70-30 y que tiene que avanzar sin duda alguna en instrumentos de financiación mucho más detallados."</w:t>
      </w:r>
      <w:r>
        <w:br/>
      </w:r>
      <w:r>
        <w:rPr>
          <w:rFonts w:ascii="Georgia" w:hAnsi="Georgia"/>
          <w:b/>
          <w:i/>
          <w:color w:val="0B43F7"/>
          <w:sz w:val="21"/>
        </w:rPr>
        <w:t>— Andrés Tobón</w:t>
      </w:r>
    </w:p>
    <w:p>
      <w:pPr>
        <w:pStyle w:val="Quote"/>
      </w:pPr>
      <w:r>
        <w:rPr>
          <w:rFonts w:ascii="Georgia" w:hAnsi="Georgia"/>
          <w:i/>
          <w:color w:val="1A1A2E"/>
          <w:sz w:val="21"/>
        </w:rPr>
        <w:t>"La reglamentación del DRS... la tercera administración a ver si tenemos esa reglamentación... no es solo cómo hacer las infraestructuras porque la ley de 70-30 es para financiar la construcción, sino también entender cómo sostenemos las infraestructuras."</w:t>
      </w:r>
      <w:r>
        <w:br/>
      </w:r>
      <w:r>
        <w:rPr>
          <w:rFonts w:ascii="Georgia" w:hAnsi="Georgia"/>
          <w:b/>
          <w:i/>
          <w:color w:val="0B43F7"/>
          <w:sz w:val="21"/>
        </w:rPr>
        <w:t>— Juan Manuel Patiño</w:t>
      </w:r>
    </w:p>
    <w:p>
      <w:pPr>
        <w:pStyle w:val="Quote"/>
      </w:pPr>
      <w:r>
        <w:rPr>
          <w:rFonts w:ascii="Georgia" w:hAnsi="Georgia"/>
          <w:i/>
          <w:color w:val="1A1A2E"/>
          <w:sz w:val="21"/>
        </w:rPr>
        <w:t>"Para titularizar el impuesto Predial futuro hay que hacer un ejercicio de discusión con ese mercado de capitales, con agencias titularizadoras, con fondos de inversión... eso le implica a las administraciones un nivel de exigencia adicional porque ya no es una conversación solo entre públicos."</w:t>
      </w:r>
      <w:r>
        <w:br/>
      </w:r>
      <w:r>
        <w:rPr>
          <w:rFonts w:ascii="Georgia" w:hAnsi="Georgia"/>
          <w:b/>
          <w:i/>
          <w:color w:val="0B43F7"/>
          <w:sz w:val="21"/>
        </w:rPr>
        <w:t>— Carlos Felipe Reyes</w:t>
      </w:r>
    </w:p>
    <w:p>
      <w:pPr>
        <w:pStyle w:val="Quote"/>
      </w:pPr>
      <w:r>
        <w:rPr>
          <w:rFonts w:ascii="Georgia" w:hAnsi="Georgia"/>
          <w:i/>
          <w:color w:val="1A1A2E"/>
          <w:sz w:val="21"/>
        </w:rPr>
        <w:t>"Hay una crisis del ordenamiento territorial... tenemos una ley de 1997 que fue pionera en América Latina... pero tenemos una realidad del ordenamiento territorial tremendamente compleja... hay una conversación más amplia sobre cómo actualizamos la discusión del ordenamiento territorial."</w:t>
      </w:r>
      <w:r>
        <w:br/>
      </w:r>
      <w:r>
        <w:rPr>
          <w:rFonts w:ascii="Georgia" w:hAnsi="Georgia"/>
          <w:b/>
          <w:i/>
          <w:color w:val="0B43F7"/>
          <w:sz w:val="21"/>
        </w:rPr>
        <w:t>— Carlos Felipe Reyes</w:t>
      </w:r>
    </w:p>
    <w:p>
      <w:pPr>
        <w:pStyle w:val="Heading1"/>
      </w:pPr>
      <w:r>
        <w:t>5. CONSENSOS TÁCITOS IDENTIFICADOS</w:t>
      </w:r>
    </w:p>
    <w:p>
      <w:pPr>
        <w:spacing w:after="120"/>
        <w:ind w:left="360" w:hanging="360"/>
      </w:pPr>
      <w:r>
        <w:rPr>
          <w:rFonts w:ascii="Montserrat" w:hAnsi="Montserrat"/>
          <w:color w:val="0B43F7"/>
          <w:sz w:val="20"/>
        </w:rPr>
        <w:t>●</w:t>
        <w:tab/>
      </w:r>
      <w:r>
        <w:rPr>
          <w:rFonts w:ascii="Montserrat" w:hAnsi="Montserrat"/>
          <w:color w:val="333333"/>
          <w:sz w:val="22"/>
        </w:rPr>
        <w:t>La infraestructura pública no es solo un servicio: es un detonante de valorización del suelo y de flujos económicos que, si no se capturan por el Estado, son apropiados íntegramente por el mercado privado.</w:t>
      </w:r>
    </w:p>
    <w:p>
      <w:pPr>
        <w:spacing w:after="120"/>
        <w:ind w:left="360" w:hanging="360"/>
      </w:pPr>
      <w:r>
        <w:rPr>
          <w:rFonts w:ascii="Montserrat" w:hAnsi="Montserrat"/>
          <w:color w:val="0AB6F2"/>
          <w:sz w:val="20"/>
        </w:rPr>
        <w:t>●</w:t>
        <w:tab/>
      </w:r>
      <w:r>
        <w:rPr>
          <w:rFonts w:ascii="Montserrat" w:hAnsi="Montserrat"/>
          <w:color w:val="333333"/>
          <w:sz w:val="22"/>
        </w:rPr>
        <w:t>La financiación de infraestructura no puede seguir dependiendo casi exclusivamente del presupuesto ordinario local; se requiere una matriz de instrumentos diversificada: valorización, plusvalía, titularización, obligaciones urbanísticas, suelo remanente, DRS, publicidad comercial.</w:t>
      </w:r>
    </w:p>
    <w:p>
      <w:pPr>
        <w:spacing w:after="120"/>
        <w:ind w:left="360" w:hanging="360"/>
      </w:pPr>
      <w:r>
        <w:rPr>
          <w:rFonts w:ascii="Montserrat" w:hAnsi="Montserrat"/>
          <w:color w:val="00CC30"/>
          <w:sz w:val="20"/>
        </w:rPr>
        <w:t>●</w:t>
        <w:tab/>
      </w:r>
      <w:r>
        <w:rPr>
          <w:rFonts w:ascii="Montserrat" w:hAnsi="Montserrat"/>
          <w:color w:val="333333"/>
          <w:sz w:val="22"/>
        </w:rPr>
        <w:t>La voluntad política y la confianza institucional son condiciones decisivas —no accesorias— para que la ciudadanía acepte instrumentos de captura de valor. La gente paga cuando ve resultados, no cuando escucha promesas.</w:t>
      </w:r>
    </w:p>
    <w:p>
      <w:pPr>
        <w:spacing w:after="120"/>
        <w:ind w:left="360" w:hanging="360"/>
      </w:pPr>
      <w:r>
        <w:rPr>
          <w:rFonts w:ascii="Montserrat" w:hAnsi="Montserrat"/>
          <w:color w:val="6CD3A5"/>
          <w:sz w:val="20"/>
        </w:rPr>
        <w:t>●</w:t>
        <w:tab/>
      </w:r>
      <w:r>
        <w:rPr>
          <w:rFonts w:ascii="Montserrat" w:hAnsi="Montserrat"/>
          <w:color w:val="333333"/>
          <w:sz w:val="22"/>
        </w:rPr>
        <w:t>El ordenamiento territorial es el instrumento de poder más potente de las ciudades, pero su complejidad técnica lo convierte en una barrera de entrada que debilita a los cuerpos colegiados y genera vacíos de decisión.</w:t>
      </w:r>
    </w:p>
    <w:p>
      <w:pPr>
        <w:spacing w:after="120"/>
        <w:ind w:left="360" w:hanging="360"/>
      </w:pPr>
      <w:r>
        <w:rPr>
          <w:rFonts w:ascii="Montserrat" w:hAnsi="Montserrat"/>
          <w:color w:val="0B43F7"/>
          <w:sz w:val="20"/>
        </w:rPr>
        <w:t>●</w:t>
        <w:tab/>
      </w:r>
      <w:r>
        <w:rPr>
          <w:rFonts w:ascii="Montserrat" w:hAnsi="Montserrat"/>
          <w:color w:val="333333"/>
          <w:sz w:val="22"/>
        </w:rPr>
        <w:t>Se requiere articular ordenamiento territorial, financiación, gestión del suelo y operación de la infraestructura como un mismo ciclo de política pública, no como silos administrativos.</w:t>
      </w:r>
    </w:p>
    <w:p>
      <w:pPr>
        <w:spacing w:after="120"/>
        <w:ind w:left="360" w:hanging="360"/>
      </w:pPr>
      <w:r>
        <w:rPr>
          <w:rFonts w:ascii="Montserrat" w:hAnsi="Montserrat"/>
          <w:color w:val="0AB6F2"/>
          <w:sz w:val="20"/>
        </w:rPr>
        <w:t>●</w:t>
        <w:tab/>
      </w:r>
      <w:r>
        <w:rPr>
          <w:rFonts w:ascii="Montserrat" w:hAnsi="Montserrat"/>
          <w:color w:val="333333"/>
          <w:sz w:val="22"/>
        </w:rPr>
        <w:t>El nivel nacional debe garantizar seguridad jurídica, reglamentación clara y lineamientos de desarrollo orientado al transporte, pero sin sustituir la acción local ni la experimentación territorial.</w:t>
      </w:r>
    </w:p>
    <w:p>
      <w:pPr>
        <w:pStyle w:val="Heading1"/>
      </w:pPr>
      <w:r>
        <w:t>6. TENSIONES Y DESACUERDOS ESTRATÉGICOS</w:t>
      </w:r>
    </w:p>
    <w:p>
      <w:pPr>
        <w:jc w:val="both"/>
      </w:pPr>
      <w:r>
        <w:rPr>
          <w:rFonts w:ascii="Montserrat" w:hAnsi="Montserrat"/>
          <w:color w:val="333333"/>
          <w:sz w:val="22"/>
        </w:rPr>
        <w:t>Las tensiones no son necesariamente conflictos abiertos, sino fricciones estructurales que condicionan la viabilidad de las propuestas.</w:t>
      </w:r>
    </w:p>
    <w:p>
      <w:pPr>
        <w:spacing w:after="120"/>
        <w:ind w:left="360" w:hanging="360"/>
      </w:pPr>
      <w:r>
        <w:rPr>
          <w:rFonts w:ascii="Montserrat" w:hAnsi="Montserrat"/>
          <w:color w:val="0B43F7"/>
          <w:sz w:val="20"/>
        </w:rPr>
        <w:t>●</w:t>
        <w:tab/>
      </w:r>
      <w:r>
        <w:rPr>
          <w:rFonts w:ascii="Montserrat" w:hAnsi="Montserrat"/>
          <w:color w:val="333333"/>
          <w:sz w:val="22"/>
        </w:rPr>
        <w:t>Tensión técnico-política: existe una fricción entre la lógica técnica de captura de valor y su costo político inmediato ante la ciudadanía y los cuerpos colegiados. Tobón señaló que la discusión "hipertécnica" termina siendo la primera barrera frente a la ciudadanía.</w:t>
      </w:r>
    </w:p>
    <w:p>
      <w:pPr>
        <w:spacing w:after="120"/>
        <w:ind w:left="360" w:hanging="360"/>
      </w:pPr>
      <w:r>
        <w:rPr>
          <w:rFonts w:ascii="Montserrat" w:hAnsi="Montserrat"/>
          <w:color w:val="0AB6F2"/>
          <w:sz w:val="20"/>
        </w:rPr>
        <w:t>●</w:t>
        <w:tab/>
      </w:r>
      <w:r>
        <w:rPr>
          <w:rFonts w:ascii="Montserrat" w:hAnsi="Montserrat"/>
          <w:color w:val="333333"/>
          <w:sz w:val="22"/>
        </w:rPr>
        <w:t>Disputa diagnóstica: hay un desacuerdo implícito sobre si el principal obstáculo es la falta de instrumentos normativos o la falta de voluntad política para aplicar los existentes. Tobón enfatizó la voluntad; Reyes y Patiño enfatizaron la necesidad de reglamentación y nuevos instrumentos.</w:t>
      </w:r>
    </w:p>
    <w:p>
      <w:pPr>
        <w:spacing w:after="120"/>
        <w:ind w:left="360" w:hanging="360"/>
      </w:pPr>
      <w:r>
        <w:rPr>
          <w:rFonts w:ascii="Montserrat" w:hAnsi="Montserrat"/>
          <w:color w:val="00CC30"/>
          <w:sz w:val="20"/>
        </w:rPr>
        <w:t>●</w:t>
        <w:tab/>
      </w:r>
      <w:r>
        <w:rPr>
          <w:rFonts w:ascii="Montserrat" w:hAnsi="Montserrat"/>
          <w:color w:val="333333"/>
          <w:sz w:val="22"/>
        </w:rPr>
        <w:t>Centralización vs. autonomía: se percibe tensión entre la centralización normativa nacional —Ley 388, Ley de Metros, reglamentación DRS— y la autonomía local para diseñar instrumentos adaptados a cada territorio.</w:t>
      </w:r>
    </w:p>
    <w:p>
      <w:pPr>
        <w:spacing w:after="120"/>
        <w:ind w:left="360" w:hanging="360"/>
      </w:pPr>
      <w:r>
        <w:rPr>
          <w:rFonts w:ascii="Montserrat" w:hAnsi="Montserrat"/>
          <w:color w:val="6CD3A5"/>
          <w:sz w:val="20"/>
        </w:rPr>
        <w:t>●</w:t>
        <w:tab/>
      </w:r>
      <w:r>
        <w:rPr>
          <w:rFonts w:ascii="Montserrat" w:hAnsi="Montserrat"/>
          <w:color w:val="333333"/>
          <w:sz w:val="22"/>
        </w:rPr>
        <w:t>Mercado vs. Estado: aparece fricción entre el desarrollo urbano guiado por el mercado inmobiliario y la capacidad estatal para orientar, regular y capturar parte del valor generado, especialmente frente al riesgo de especulación y elefantes blancos privados.</w:t>
      </w:r>
    </w:p>
    <w:p>
      <w:pPr>
        <w:spacing w:after="120"/>
        <w:ind w:left="360" w:hanging="360"/>
      </w:pPr>
      <w:r>
        <w:rPr>
          <w:rFonts w:ascii="Montserrat" w:hAnsi="Montserrat"/>
          <w:color w:val="0B43F7"/>
          <w:sz w:val="20"/>
        </w:rPr>
        <w:t>●</w:t>
        <w:tab/>
      </w:r>
      <w:r>
        <w:rPr>
          <w:rFonts w:ascii="Montserrat" w:hAnsi="Montserrat"/>
          <w:color w:val="333333"/>
          <w:sz w:val="22"/>
        </w:rPr>
        <w:t>Capex vs. Opex: existe una tensión no resuelta entre la priorización de recursos para construir nueva infraestructura y la necesidad de financiar operación y mantenimiento de la existente. Patiño alertó que "mientras más infraestructura construyan más plata hay que sacar para mantenerlas".</w:t>
      </w:r>
    </w:p>
    <w:p>
      <w:pPr>
        <w:pStyle w:val="Heading1"/>
      </w:pPr>
      <w:r>
        <w:t>7. INSIGHTS ESTRATÉGICOS</w:t>
      </w:r>
    </w:p>
    <w:p>
      <w:pPr>
        <w:jc w:val="both"/>
      </w:pPr>
      <w:r>
        <w:rPr>
          <w:rFonts w:ascii="Montserrat" w:hAnsi="Montserrat"/>
          <w:color w:val="333333"/>
          <w:sz w:val="22"/>
        </w:rPr>
        <w:t>Interpretaciones que trascienden lo descriptivo y señalan patrones estructurales oportunos para la incidencia.</w:t>
      </w:r>
    </w:p>
    <w:p>
      <w:pPr>
        <w:spacing w:after="120"/>
        <w:ind w:left="360" w:hanging="360"/>
      </w:pPr>
      <w:r>
        <w:rPr>
          <w:rFonts w:ascii="Montserrat" w:hAnsi="Montserrat"/>
          <w:color w:val="0B43F7"/>
          <w:sz w:val="20"/>
        </w:rPr>
        <w:t>●</w:t>
        <w:tab/>
      </w:r>
      <w:r>
        <w:rPr>
          <w:rFonts w:ascii="Montserrat" w:hAnsi="Montserrat"/>
          <w:color w:val="333333"/>
          <w:sz w:val="22"/>
        </w:rPr>
        <w:t>El suelo remanente de las infraestructuras de transporte es un activo intangible de alto valor —incrementos superiores al 150%— que las entidades operadoras pueden rentabilizar inmobiliariamente, pero solo si la norma urbana lo habilita. Esto convierte al POT en una variable financiera, no solo de planificación.</w:t>
      </w:r>
    </w:p>
    <w:p>
      <w:pPr>
        <w:spacing w:after="120"/>
        <w:ind w:left="360" w:hanging="360"/>
      </w:pPr>
      <w:r>
        <w:rPr>
          <w:rFonts w:ascii="Montserrat" w:hAnsi="Montserrat"/>
          <w:color w:val="0AB6F2"/>
          <w:sz w:val="20"/>
        </w:rPr>
        <w:t>●</w:t>
        <w:tab/>
      </w:r>
      <w:r>
        <w:rPr>
          <w:rFonts w:ascii="Montserrat" w:hAnsi="Montserrat"/>
          <w:color w:val="333333"/>
          <w:sz w:val="22"/>
        </w:rPr>
        <w:t>La titularización del predial futuro es un puente viable entre el mercado de capitales y la inversión pública estructurante, pero exige una transformación administrativa profunda: segregar recaudos, certificar proyecciones y generar confianza en inversionistas. No es un instrumento para ciudades de baja capacidad institucional sin acompañamiento.</w:t>
      </w:r>
    </w:p>
    <w:p>
      <w:pPr>
        <w:spacing w:after="120"/>
        <w:ind w:left="360" w:hanging="360"/>
      </w:pPr>
      <w:r>
        <w:rPr>
          <w:rFonts w:ascii="Montserrat" w:hAnsi="Montserrat"/>
          <w:color w:val="00CC30"/>
          <w:sz w:val="20"/>
        </w:rPr>
        <w:t>●</w:t>
        <w:tab/>
      </w:r>
      <w:r>
        <w:rPr>
          <w:rFonts w:ascii="Montserrat" w:hAnsi="Montserrat"/>
          <w:color w:val="333333"/>
          <w:sz w:val="22"/>
        </w:rPr>
        <w:t>La confianza ciudadana opera como un activo fiscal: cuando se erosiona —corrupción, desconexión institucional—, el recaudo cae incluso con tasas constantes; cuando se recupera, el recaudo crece sin necesidad de nuevos impuestos. Esto sugiere que la captura de valor debe ir acompañada de narrativas públicas de rendición de cuentas visibles.</w:t>
      </w:r>
    </w:p>
    <w:p>
      <w:pPr>
        <w:spacing w:after="120"/>
        <w:ind w:left="360" w:hanging="360"/>
      </w:pPr>
      <w:r>
        <w:rPr>
          <w:rFonts w:ascii="Montserrat" w:hAnsi="Montserrat"/>
          <w:color w:val="6CD3A5"/>
          <w:sz w:val="20"/>
        </w:rPr>
        <w:t>●</w:t>
        <w:tab/>
      </w:r>
      <w:r>
        <w:rPr>
          <w:rFonts w:ascii="Montserrat" w:hAnsi="Montserrat"/>
          <w:color w:val="333333"/>
          <w:sz w:val="22"/>
        </w:rPr>
        <w:t>La "crisis del ordenamiento territorial" no es solo un problema de mora normativa: es una crisis de gobernanza donde los POT se han convertido en documentos de declaración sin operatividad, con tasas de ejecución inferiores al 30%. La actualización de la Ley 388 debe incluir una simplificación regulatoria, no solo más instrumentos.</w:t>
      </w:r>
    </w:p>
    <w:p>
      <w:pPr>
        <w:pStyle w:val="Heading1"/>
      </w:pPr>
      <w:r>
        <w:t>8. SÍNTESIS — POLICY SNAPSHOT</w:t>
      </w:r>
    </w:p>
    <w:p>
      <w:pPr>
        <w:pStyle w:val="Heading2"/>
      </w:pPr>
      <w:r>
        <w:t>D.1 Hallazgo principal con potencial de incidencia política</w:t>
      </w:r>
    </w:p>
    <w:p>
      <w:pPr>
        <w:jc w:val="both"/>
      </w:pPr>
      <w:r>
        <w:rPr>
          <w:rFonts w:ascii="Montserrat" w:hAnsi="Montserrat"/>
          <w:color w:val="333333"/>
          <w:sz w:val="22"/>
        </w:rPr>
        <w:t>Existe un portafolio viable y probado de instrumentos de captura de valor —titularización del predial futuro, obligaciones urbanísticas, aprovechamiento de suelo remanente, DRS, publicidad comercial en infraestructura— que las ciudades pueden desplegar para reducir la dependencia del presupuesto ordinario. Sin embargo, su aplicación está bloqueada por tres factores simultáneos: (1) una crisis del ordenamiento territorial nacional que mantiene los POT desactualizados y con baja ejecución; (2) la ausencia de reglamentación nacional clave —DRS, desarrollo orientado al transporte, ajustes a la Ley de Metros—; y (3) déficits de voluntad política local para asumir el costo político de cobrar valorización y plusvalía. La ventana de oportunidad está en el primer semestre del nuevo gobierno nacional, donde la convergencia de ajustes de POT locales —Medellín, Bogotá— y la disposición anunciada de la administración entrante hacia la transformación urbana pueden desbloquear una agenda de financiación territorial sin precedentes.</w:t>
      </w:r>
    </w:p>
    <w:p>
      <w:pPr>
        <w:pStyle w:val="Heading2"/>
      </w:pPr>
      <w:r>
        <w:t>D.2 Alerta territorial crítica</w:t>
      </w:r>
    </w:p>
    <w:p>
      <w:pPr>
        <w:jc w:val="both"/>
      </w:pPr>
      <w:r>
        <w:rPr>
          <w:rFonts w:ascii="Montserrat" w:hAnsi="Montserrat"/>
          <w:color w:val="333333"/>
          <w:sz w:val="22"/>
        </w:rPr>
        <w:t>Medellín padece una paradoja de riqueza subutilizada: 330 billones de pesos en valor catastral con un recaudo efectivo inferior al 1% en materia tributaria, 600 lotes sin desarrollo pese a un déficit de vivienda cercano a 80.000 unidades, y una historia de abandono de instrumentos de captura de valor que contrasta con su vocación pionera de décadas pasadas. Si el ajuste de mediano plazo del POT no incluye una derrama generalizada de plusvalía con capacidad técnica y política para implementarla, la ciudad perderá una ventana normativa irrepetible. Bogotá, por su parte, avanza en instrumentos innovadores —titularización, actuaciones estratégicas— pero corre el riesgo de generar un modelo de alta complejidad técnica que no es replicable en ciudades intermedias sin una planta institucional robusta, profundizando la brecha territorial entre ciudades-capital y el resto del país.</w:t>
      </w:r>
    </w:p>
    <w:p>
      <w:pPr>
        <w:pStyle w:val="Heading2"/>
      </w:pPr>
      <w:r>
        <w:rPr>
          <w:color w:val="6CD3A5"/>
        </w:rPr>
        <w:t>D.3 Oportunidad de sinergia interinstitucional</w:t>
      </w:r>
    </w:p>
    <w:p>
      <w:pPr>
        <w:jc w:val="both"/>
      </w:pPr>
      <w:r>
        <w:rPr>
          <w:rFonts w:ascii="Montserrat" w:hAnsi="Montserrat"/>
          <w:color w:val="333333"/>
          <w:sz w:val="22"/>
        </w:rPr>
        <w:t>Articulación inmediata entre Metro de Medellín, Agencia APP, Alcaldía de Medellín y Concejo de Medellín para el ajuste del POT, aprovechando la experiencia técnica de RENOVO Bogotá en titularización y obligaciones urbanísticas. La sinergia debe extenderse al nivel nacional: Ministerio de Vivienda, Ministerio de Hacienda, DNP y MinCiencias, para producir lineamientos de desarrollo orientado al transporte y reglamentación del DRS antes de que finalice 2026. La cooperación internacional —JICA, BID, CAF— puede jugar un rol de validación técnica y financiera de las proyecciones de titularización.</w:t>
      </w:r>
    </w:p>
    <w:p>
      <w:pPr>
        <w:pStyle w:val="Heading2"/>
      </w:pPr>
      <w:r>
        <w:t>D.4 Insight del sistematizador (lectura interpretativa)</w:t>
      </w:r>
    </w:p>
    <w:p>
      <w:pPr>
        <w:jc w:val="both"/>
      </w:pPr>
      <w:r>
        <w:rPr>
          <w:rFonts w:ascii="Montserrat" w:hAnsi="Montserrat"/>
          <w:color w:val="333333"/>
          <w:sz w:val="22"/>
        </w:rPr>
        <w:t>La captura de valor del suelo no es, en última instancia, un problema técnico ni financiero: es un problema de gobernanza democrática. La complejidad normativa del ordenamiento territorial ha generado una brecha de legitimidad entre los técnicos que diseñan instrumentos, los concejos que los aprueban y la ciudadanía que los paga. Esa brecha solo se cierra con dos mecanismos: (a) traducción de la complejidad fiscal-urbanística en narrativas públicas de confianza, donde la gente vea que lo que paga se traduce en patrimonio, seguridad y calidad de vida; y (b) fortalecimiento técnico de los cuerpos colegiados para que el debate del POT no sea una batalla de lobbys sino una deliberación informada sobre el modelo de ciudad. El nuevo gobierno nacional tiene la oportunidad de convertir la financiación urbana en una política de Estado, pero solo si entiende que el "con qué" —instrumentos— depende del "cómo" —gobernanza— y del "para qué" —equidad territorial.</w:t>
      </w:r>
    </w:p>
    <w:p>
      <w:pPr>
        <w:pStyle w:val="Heading1"/>
      </w:pPr>
      <w:r>
        <w:t>9. IMPLICACIONES PARA POLÍTICA PÚBLICA</w:t>
      </w:r>
    </w:p>
    <w:p>
      <w:pPr>
        <w:spacing w:after="120"/>
        <w:ind w:left="360" w:hanging="360"/>
      </w:pPr>
      <w:r>
        <w:rPr>
          <w:rFonts w:ascii="Montserrat" w:hAnsi="Montserrat"/>
          <w:color w:val="0B43F7"/>
          <w:sz w:val="20"/>
        </w:rPr>
        <w:t>●</w:t>
        <w:tab/>
      </w:r>
      <w:r>
        <w:rPr>
          <w:rFonts w:ascii="Montserrat" w:hAnsi="Montserrat"/>
          <w:color w:val="333333"/>
          <w:sz w:val="22"/>
        </w:rPr>
        <w:t>Reforma integral de la Ley 388 de 1997 que simplifique, no complique, los instrumentos de captura de valor, estableciendo una jerarquía clara entre plusvalía, valorización, obligaciones urbanísticas y desarrollo orientado al transporte.</w:t>
      </w:r>
    </w:p>
    <w:p>
      <w:pPr>
        <w:spacing w:after="120"/>
        <w:ind w:left="360" w:hanging="360"/>
      </w:pPr>
      <w:r>
        <w:rPr>
          <w:rFonts w:ascii="Montserrat" w:hAnsi="Montserrat"/>
          <w:color w:val="0AB6F2"/>
          <w:sz w:val="20"/>
        </w:rPr>
        <w:t>●</w:t>
        <w:tab/>
      </w:r>
      <w:r>
        <w:rPr>
          <w:rFonts w:ascii="Montserrat" w:hAnsi="Montserrat"/>
          <w:color w:val="333333"/>
          <w:sz w:val="22"/>
        </w:rPr>
        <w:t>Creación de lineamientos nacionales de desarrollo orientado al transporte (DOT) que otorguen seguridad jurídica a las ciudades para integrar infraestructura de movilidad con planificación urbana y captura de valor en corredores.</w:t>
      </w:r>
    </w:p>
    <w:p>
      <w:pPr>
        <w:spacing w:after="120"/>
        <w:ind w:left="360" w:hanging="360"/>
      </w:pPr>
      <w:r>
        <w:rPr>
          <w:rFonts w:ascii="Montserrat" w:hAnsi="Montserrat"/>
          <w:color w:val="00CC30"/>
          <w:sz w:val="20"/>
        </w:rPr>
        <w:t>●</w:t>
        <w:tab/>
      </w:r>
      <w:r>
        <w:rPr>
          <w:rFonts w:ascii="Montserrat" w:hAnsi="Montserrat"/>
          <w:color w:val="333333"/>
          <w:sz w:val="22"/>
        </w:rPr>
        <w:t>Reglamentación expedita del DRS (Derecho de Aprovechamiento de Espacio Público) para permitir la rentabilización operativa de infraestructuras existentes mediante usos comerciales, publicitarios y de servicio.</w:t>
      </w:r>
    </w:p>
    <w:p>
      <w:pPr>
        <w:spacing w:after="120"/>
        <w:ind w:left="360" w:hanging="360"/>
      </w:pPr>
      <w:r>
        <w:rPr>
          <w:rFonts w:ascii="Montserrat" w:hAnsi="Montserrat"/>
          <w:color w:val="6CD3A5"/>
          <w:sz w:val="20"/>
        </w:rPr>
        <w:t>●</w:t>
        <w:tab/>
      </w:r>
      <w:r>
        <w:rPr>
          <w:rFonts w:ascii="Montserrat" w:hAnsi="Montserrat"/>
          <w:color w:val="333333"/>
          <w:sz w:val="22"/>
        </w:rPr>
        <w:t>Diseño de mecanismos de rendición de cuentas y trazabilidad pública que garanticen que los recursos capturados por valorización, plusvalía o titularización se reinviertan efectivamente en el territorio que los generó, con mapas de inversión visibles.</w:t>
      </w:r>
    </w:p>
    <w:p>
      <w:pPr>
        <w:spacing w:after="120"/>
        <w:ind w:left="360" w:hanging="360"/>
      </w:pPr>
      <w:r>
        <w:rPr>
          <w:rFonts w:ascii="Montserrat" w:hAnsi="Montserrat"/>
          <w:color w:val="0B43F7"/>
          <w:sz w:val="20"/>
        </w:rPr>
        <w:t>●</w:t>
        <w:tab/>
      </w:r>
      <w:r>
        <w:rPr>
          <w:rFonts w:ascii="Montserrat" w:hAnsi="Montserrat"/>
          <w:color w:val="333333"/>
          <w:sz w:val="22"/>
        </w:rPr>
        <w:t>Fortalecimiento de capacidades técnicas de concejos, asambleas y entes territoriales en ordenamiento territorial y estructuración financiera, mediante alianzas con universidades, escuelas de gobierno y cooperación internacional.</w:t>
      </w:r>
    </w:p>
    <w:p>
      <w:pPr>
        <w:pStyle w:val="Heading1"/>
      </w:pPr>
      <w:r>
        <w:t>10. IMPLICACIONES ESPECÍFICAS PARA POLÍTICA NACIONAL</w:t>
      </w:r>
    </w:p>
    <w:p>
      <w:pPr>
        <w:spacing w:after="120"/>
        <w:ind w:left="360" w:hanging="360"/>
      </w:pPr>
      <w:r>
        <w:rPr>
          <w:rFonts w:ascii="Montserrat" w:hAnsi="Montserrat"/>
          <w:color w:val="0B43F7"/>
          <w:sz w:val="20"/>
        </w:rPr>
        <w:t>●</w:t>
        <w:tab/>
      </w:r>
      <w:r>
        <w:rPr>
          <w:rFonts w:ascii="Montserrat" w:hAnsi="Montserrat"/>
          <w:color w:val="333333"/>
          <w:sz w:val="22"/>
        </w:rPr>
        <w:t>El nuevo gobierno debe priorizar, en sus primeros cien días, la reglamentación del DRS y la presentación de un proyecto de ley que actualice la Ley de Metros, superando la lógica del 70-30 e incorporando instrumentos de captura de valor local como contrapartida flexible.</w:t>
      </w:r>
    </w:p>
    <w:p>
      <w:pPr>
        <w:spacing w:after="120"/>
        <w:ind w:left="360" w:hanging="360"/>
      </w:pPr>
      <w:r>
        <w:rPr>
          <w:rFonts w:ascii="Montserrat" w:hAnsi="Montserrat"/>
          <w:color w:val="0AB6F2"/>
          <w:sz w:val="20"/>
        </w:rPr>
        <w:t>●</w:t>
        <w:tab/>
      </w:r>
      <w:r>
        <w:rPr>
          <w:rFonts w:ascii="Montserrat" w:hAnsi="Montserrat"/>
          <w:color w:val="333333"/>
          <w:sz w:val="22"/>
        </w:rPr>
        <w:t>Ministerio de Vivienda y Ministerio de Hacienda deben articularse para crear una ventanilla única de acompañamiento técnico a ciudades intermedias que quieran replicar modelos de titularización predial, evitando que la complejidad financiera los excluya de la agenda.</w:t>
      </w:r>
    </w:p>
    <w:p>
      <w:pPr>
        <w:spacing w:after="120"/>
        <w:ind w:left="360" w:hanging="360"/>
      </w:pPr>
      <w:r>
        <w:rPr>
          <w:rFonts w:ascii="Montserrat" w:hAnsi="Montserrat"/>
          <w:color w:val="00CC30"/>
          <w:sz w:val="20"/>
        </w:rPr>
        <w:t>●</w:t>
        <w:tab/>
      </w:r>
      <w:r>
        <w:rPr>
          <w:rFonts w:ascii="Montserrat" w:hAnsi="Montserrat"/>
          <w:color w:val="333333"/>
          <w:sz w:val="22"/>
        </w:rPr>
        <w:t>La discusión de autonomía fiscal territorial —artículo primero de la Constitución de 1991— debe avanzar no solo en retórica sino en definición precisa de competencias: qué recaudos corresponden a qué nivel de gobierno, y cómo el Sistema General de Participaciones se ajusta a una mayor capacidad tributaria local.</w:t>
      </w:r>
    </w:p>
    <w:p>
      <w:pPr>
        <w:spacing w:after="120"/>
        <w:ind w:left="360" w:hanging="360"/>
      </w:pPr>
      <w:r>
        <w:rPr>
          <w:rFonts w:ascii="Montserrat" w:hAnsi="Montserrat"/>
          <w:color w:val="6CD3A5"/>
          <w:sz w:val="20"/>
        </w:rPr>
        <w:t>●</w:t>
        <w:tab/>
      </w:r>
      <w:r>
        <w:rPr>
          <w:rFonts w:ascii="Montserrat" w:hAnsi="Montserrat"/>
          <w:color w:val="333333"/>
          <w:sz w:val="22"/>
        </w:rPr>
        <w:t>El CONPES 4069 de 2021 y la Política Nacional de CTI deben incorporar explícitamente la innovación en financiación urbana y gestión del suelo como áreas de desarrollo tecnológico y generación de conocimiento policy-ready, alineando el modelo de productos MinCiencias/SNCTI con la agenda de ciudades inteligentes y sostenibles.</w:t>
      </w:r>
    </w:p>
    <w:p>
      <w:pPr>
        <w:pStyle w:val="Heading1"/>
      </w:pPr>
      <w:r>
        <w:t>11. CODIFICACIÓN PARA ANÁLISIS CRUZADO Y CONSOLIDACIÓN</w:t>
      </w:r>
    </w:p>
    <w:p>
      <w:pPr>
        <w:pStyle w:val="Heading2"/>
      </w:pPr>
      <w:r>
        <w:t>E.1 Dimensiones temáticas</w:t>
      </w:r>
    </w:p>
    <w:p>
      <w:pPr>
        <w:jc w:val="both"/>
      </w:pPr>
      <w:r>
        <w:rPr>
          <w:rFonts w:ascii="Montserrat" w:hAnsi="Montserrat"/>
          <w:color w:val="333333"/>
          <w:sz w:val="22"/>
        </w:rPr>
        <w:t>Marco normativo / regulatorio: Reforma Ley 388, reglamentación DRS, Ley de Metros, lineamientos DOT.</w:t>
      </w:r>
    </w:p>
    <w:p>
      <w:pPr>
        <w:jc w:val="both"/>
      </w:pPr>
      <w:r>
        <w:rPr>
          <w:rFonts w:ascii="Montserrat" w:hAnsi="Montserrat"/>
          <w:color w:val="333333"/>
          <w:sz w:val="22"/>
        </w:rPr>
        <w:t>Gestión catastral / tributaria: Valor catastral Medellín (330 billones), titularización predial, plusvalía, valorización.</w:t>
      </w:r>
    </w:p>
    <w:p>
      <w:pPr>
        <w:jc w:val="both"/>
      </w:pPr>
      <w:r>
        <w:rPr>
          <w:rFonts w:ascii="Montserrat" w:hAnsi="Montserrat"/>
          <w:color w:val="333333"/>
          <w:sz w:val="22"/>
        </w:rPr>
        <w:t>Descentralización / autonomía territorial: Competencias locales vs. nacionales, autonomía fiscal, SGP.</w:t>
      </w:r>
    </w:p>
    <w:p>
      <w:pPr>
        <w:jc w:val="both"/>
      </w:pPr>
      <w:r>
        <w:rPr>
          <w:rFonts w:ascii="Montserrat" w:hAnsi="Montserrat"/>
          <w:color w:val="333333"/>
          <w:sz w:val="22"/>
        </w:rPr>
        <w:t>Financiación / fuentes alternativas: Titularización, obligaciones urbanísticas, certificados de derechos de construcción, suelo remanente.</w:t>
      </w:r>
    </w:p>
    <w:p>
      <w:pPr>
        <w:jc w:val="both"/>
      </w:pPr>
      <w:r>
        <w:rPr>
          <w:rFonts w:ascii="Montserrat" w:hAnsi="Montserrat"/>
          <w:color w:val="333333"/>
          <w:sz w:val="22"/>
        </w:rPr>
        <w:t>Infraestructura pública / valorización: Metro de Medellín, corredores urbanos, mantenimiento y opex.</w:t>
      </w:r>
    </w:p>
    <w:p>
      <w:pPr>
        <w:jc w:val="both"/>
      </w:pPr>
      <w:r>
        <w:rPr>
          <w:rFonts w:ascii="Montserrat" w:hAnsi="Montserrat"/>
          <w:color w:val="333333"/>
          <w:sz w:val="22"/>
        </w:rPr>
        <w:t>Presupuesto / operaciones de crédito: Presupuesto ordinario, titularización como operación de crédito futuro.</w:t>
      </w:r>
    </w:p>
    <w:p>
      <w:pPr>
        <w:jc w:val="both"/>
      </w:pPr>
      <w:r>
        <w:rPr>
          <w:rFonts w:ascii="Montserrat" w:hAnsi="Montserrat"/>
          <w:color w:val="333333"/>
          <w:sz w:val="22"/>
        </w:rPr>
        <w:t>Modernización institucional: Transformación administrativa para titularización, capacidad técnica de concejos.</w:t>
      </w:r>
    </w:p>
    <w:p>
      <w:pPr>
        <w:jc w:val="both"/>
      </w:pPr>
      <w:r>
        <w:rPr>
          <w:rFonts w:ascii="Montserrat" w:hAnsi="Montserrat"/>
          <w:color w:val="333333"/>
          <w:sz w:val="22"/>
        </w:rPr>
        <w:t>Incidencia política / agenda pública: Voluntad política, confianza ciudadana, comunicación de gestión.</w:t>
      </w:r>
    </w:p>
    <w:p>
      <w:pPr>
        <w:pStyle w:val="Heading2"/>
      </w:pPr>
      <w:r>
        <w:t>E.2 Dimensiones territoriales</w:t>
      </w:r>
    </w:p>
    <w:p>
      <w:pPr>
        <w:jc w:val="both"/>
      </w:pPr>
      <w:r>
        <w:rPr>
          <w:rFonts w:ascii="Montserrat" w:hAnsi="Montserrat"/>
          <w:color w:val="333333"/>
          <w:sz w:val="22"/>
        </w:rPr>
        <w:t>Nacional: Reforma Ley 388, reglamentación DRS, Ley de Metros, crisis del POT nacional.</w:t>
      </w:r>
    </w:p>
    <w:p>
      <w:pPr>
        <w:jc w:val="both"/>
      </w:pPr>
      <w:r>
        <w:rPr>
          <w:rFonts w:ascii="Montserrat" w:hAnsi="Montserrat"/>
          <w:color w:val="333333"/>
          <w:sz w:val="22"/>
        </w:rPr>
        <w:t>Municipal / distrito: Medellín, Bogotá, Puente Aranda, Corferias, Metro de la 80.</w:t>
      </w:r>
    </w:p>
    <w:p>
      <w:pPr>
        <w:pStyle w:val="Heading2"/>
      </w:pPr>
      <w:r>
        <w:rPr>
          <w:color w:val="6CD3A5"/>
        </w:rPr>
        <w:t>E.3 Dimensiones de actoría y sinergia</w:t>
      </w:r>
    </w:p>
    <w:p>
      <w:pPr>
        <w:jc w:val="both"/>
      </w:pPr>
      <w:r>
        <w:rPr>
          <w:rFonts w:ascii="Montserrat" w:hAnsi="Montserrat"/>
          <w:color w:val="333333"/>
          <w:sz w:val="22"/>
        </w:rPr>
        <w:t>Ministerios / nivel nacional: MinVivienda, Ministerio de Hacienda, DNP, MinCiencias — reglamentación y lineamientos.</w:t>
      </w:r>
    </w:p>
    <w:p>
      <w:pPr>
        <w:jc w:val="both"/>
      </w:pPr>
      <w:r>
        <w:rPr>
          <w:rFonts w:ascii="Montserrat" w:hAnsi="Montserrat"/>
          <w:color w:val="333333"/>
          <w:sz w:val="22"/>
        </w:rPr>
        <w:t>Gobernaciones / alcaldías: Alcaldía de Medellín, Alcaldía de Bogotá, Secretaría de Hacienda de Bogotá.</w:t>
      </w:r>
    </w:p>
    <w:p>
      <w:pPr>
        <w:jc w:val="both"/>
      </w:pPr>
      <w:r>
        <w:rPr>
          <w:rFonts w:ascii="Montserrat" w:hAnsi="Montserrat"/>
          <w:color w:val="333333"/>
          <w:sz w:val="22"/>
        </w:rPr>
        <w:t>Asambleas / concejos: Concejo de Medellín — aprobación POT, debate técnico-político.</w:t>
      </w:r>
    </w:p>
    <w:p>
      <w:pPr>
        <w:jc w:val="both"/>
      </w:pPr>
      <w:r>
        <w:rPr>
          <w:rFonts w:ascii="Montserrat" w:hAnsi="Montserrat"/>
          <w:color w:val="333333"/>
          <w:sz w:val="22"/>
        </w:rPr>
        <w:t>Sector privado / gremios: Desarrolladores inmobiliarios (15 empresas en zona industrial Bogotá), agencias titularizadoras, fondos de inversión.</w:t>
      </w:r>
    </w:p>
    <w:p>
      <w:pPr>
        <w:jc w:val="both"/>
      </w:pPr>
      <w:r>
        <w:rPr>
          <w:rFonts w:ascii="Montserrat" w:hAnsi="Montserrat"/>
          <w:color w:val="333333"/>
          <w:sz w:val="22"/>
        </w:rPr>
        <w:t>Sociedad civil / veeduría: Ciudadanía como agente de pago voluntario, propietarios de suelo.</w:t>
      </w:r>
    </w:p>
    <w:p>
      <w:pPr>
        <w:jc w:val="both"/>
      </w:pPr>
      <w:r>
        <w:rPr>
          <w:rFonts w:ascii="Montserrat" w:hAnsi="Montserrat"/>
          <w:color w:val="333333"/>
          <w:sz w:val="22"/>
        </w:rPr>
        <w:t>Cooperación internacional: JICA — estudio de valorización suelo Metro; potencial BID/CAF para titularizaciones.</w:t>
      </w:r>
    </w:p>
    <w:p>
      <w:pPr>
        <w:pStyle w:val="Heading2"/>
      </w:pPr>
      <w:r>
        <w:t>E.4 Relación con otros paneles (Knowledge Graph)</w:t>
      </w:r>
    </w:p>
    <w:p>
      <w:pPr>
        <w:spacing w:after="120"/>
        <w:ind w:left="360" w:hanging="360"/>
      </w:pPr>
      <w:r>
        <w:rPr>
          <w:rFonts w:ascii="Montserrat" w:hAnsi="Montserrat"/>
          <w:color w:val="0B43F7"/>
          <w:sz w:val="20"/>
        </w:rPr>
        <w:t>●</w:t>
        <w:tab/>
      </w:r>
      <w:r>
        <w:rPr>
          <w:rFonts w:ascii="Montserrat" w:hAnsi="Montserrat"/>
          <w:color w:val="333333"/>
          <w:sz w:val="22"/>
        </w:rPr>
        <w:t>Panel 2 (Principales marcos normativos): conexión directa por la discusión de reforma a la Ley 388 y reglamentación del DRS.</w:t>
      </w:r>
    </w:p>
    <w:p>
      <w:pPr>
        <w:spacing w:after="120"/>
        <w:ind w:left="360" w:hanging="360"/>
      </w:pPr>
      <w:r>
        <w:rPr>
          <w:rFonts w:ascii="Montserrat" w:hAnsi="Montserrat"/>
          <w:color w:val="0AB6F2"/>
          <w:sz w:val="20"/>
        </w:rPr>
        <w:t>●</w:t>
        <w:tab/>
      </w:r>
      <w:r>
        <w:rPr>
          <w:rFonts w:ascii="Montserrat" w:hAnsi="Montserrat"/>
          <w:color w:val="333333"/>
          <w:sz w:val="22"/>
        </w:rPr>
        <w:t>Panel 8 (Fuentes alternativas de financiación): conexión directa por la titularización del predial futuro, obligaciones urbanísticas y certificados de derechos de construcción.</w:t>
      </w:r>
    </w:p>
    <w:p>
      <w:pPr>
        <w:spacing w:after="120"/>
        <w:ind w:left="360" w:hanging="360"/>
      </w:pPr>
      <w:r>
        <w:rPr>
          <w:rFonts w:ascii="Montserrat" w:hAnsi="Montserrat"/>
          <w:color w:val="00CC30"/>
          <w:sz w:val="20"/>
        </w:rPr>
        <w:t>●</w:t>
        <w:tab/>
      </w:r>
      <w:r>
        <w:rPr>
          <w:rFonts w:ascii="Montserrat" w:hAnsi="Montserrat"/>
          <w:color w:val="333333"/>
          <w:sz w:val="22"/>
        </w:rPr>
        <w:t>Panel 13 (Propuestas para la modernización): conexión por la transformación administrativa requerida para operar instrumentos innovadores.</w:t>
      </w:r>
    </w:p>
    <w:p>
      <w:pPr>
        <w:pStyle w:val="Heading1"/>
      </w:pPr>
      <w:r>
        <w:t>12. INSUMOS PARA COMUNICACIONES</w:t>
      </w:r>
    </w:p>
    <w:p>
      <w:pPr>
        <w:jc w:val="both"/>
      </w:pPr>
      <w:r>
        <w:rPr>
          <w:rFonts w:ascii="Montserrat" w:hAnsi="Montserrat"/>
          <w:color w:val="333333"/>
          <w:sz w:val="22"/>
        </w:rPr>
        <w:t>Frase clave para política: "La gente no tiene problema con que se le aplique plusvalía siempre y cuando vea una ciudad que le apuesta al transporte masivo y a la infraestructura" — Andrés Tobón.</w:t>
      </w:r>
    </w:p>
    <w:p>
      <w:pPr>
        <w:jc w:val="both"/>
      </w:pPr>
      <w:r>
        <w:rPr>
          <w:rFonts w:ascii="Montserrat" w:hAnsi="Montserrat"/>
          <w:color w:val="333333"/>
          <w:sz w:val="22"/>
        </w:rPr>
        <w:t>Dato destacado territorial: Medellín: valor catastral de 330 billones de pesos con recaudo efectivo &lt;1% en materia tributaria. Bogotá: 42% de financiación de renovación urbana vía obligaciones urbanísticas en zona industrial.</w:t>
      </w:r>
    </w:p>
    <w:p>
      <w:pPr>
        <w:jc w:val="both"/>
      </w:pPr>
      <w:r>
        <w:rPr>
          <w:rFonts w:ascii="Montserrat" w:hAnsi="Montserrat"/>
          <w:color w:val="333333"/>
          <w:sz w:val="22"/>
        </w:rPr>
        <w:t>Mensaje sintetizado (máx. 280 caracteres): Las ciudades no necesitan más impuestos, necesitan voluntad política y norma clara para capturar el valor que ya generan sus infraestructuras. #FPT2026 #PlusvalíaUrbana</w:t>
      </w:r>
    </w:p>
    <w:p>
      <w:pPr>
        <w:jc w:val="both"/>
      </w:pPr>
      <w:r>
        <w:rPr>
          <w:rFonts w:ascii="Montserrat" w:hAnsi="Montserrat"/>
          <w:color w:val="333333"/>
          <w:sz w:val="22"/>
        </w:rPr>
        <w:t>Actor / fuente: Panel 7 — Tobón (Concejo Medellín), Reyes (RENOVO Bogotá), Patiño (Metro Medellín).</w:t>
      </w:r>
    </w:p>
    <w:p>
      <w:pPr>
        <w:jc w:val="both"/>
      </w:pPr>
      <w:r>
        <w:rPr>
          <w:rFonts w:ascii="Montserrat" w:hAnsi="Montserrat"/>
          <w:color w:val="333333"/>
          <w:sz w:val="22"/>
        </w:rPr>
        <w:t>¿Por qué es difundible?: Conecta la discusión técnica de finanzas públicas con la experiencia cotidiana del ciudadano —mejor transporte, más parques— y desarma el mito del "impuestero".</w:t>
      </w:r>
    </w:p>
    <w:p>
      <w:pPr>
        <w:jc w:val="both"/>
      </w:pPr>
      <w:r>
        <w:rPr>
          <w:rFonts w:ascii="Montserrat" w:hAnsi="Montserrat"/>
          <w:color w:val="333333"/>
          <w:sz w:val="22"/>
        </w:rPr>
        <w:t>Hashtag / etiqueta sugerida: #FPT2026 #CapturaDeValor #PlusvalíaUrbana #DOT #SostenibilidadMetro #FinanciaciónTerritorial</w:t>
      </w:r>
    </w:p>
    <w:p>
      <w:pPr>
        <w:jc w:val="both"/>
      </w:pPr>
      <w:r>
        <w:rPr>
          <w:rFonts w:ascii="Montserrat" w:hAnsi="Montserrat"/>
          <w:color w:val="333333"/>
          <w:sz w:val="22"/>
        </w:rPr>
        <w:t>Formato sugerido: Carrusel de Instagram/Twitter: 5 slides — (1) La paradoja del valor catastral, (2) Cómo lo hace Bogotá, (3) Cómo lo hace Medellín, (4) Qué necesitamos del gobierno nacional, (5) Cita de Tobón sobre confianza ciudadana.</w:t>
      </w:r>
    </w:p>
    <w:p>
      <w:pPr>
        <w:pStyle w:val="Heading1"/>
      </w:pPr>
      <w:r>
        <w:t>13. TRAZABILIDAD Y VALIDACIÓN</w:t>
      </w:r>
    </w:p>
    <w:p>
      <w:pPr>
        <w:jc w:val="both"/>
      </w:pPr>
      <w:r>
        <w:rPr>
          <w:rFonts w:ascii="Montserrat" w:hAnsi="Montserrat"/>
          <w:color w:val="333333"/>
          <w:sz w:val="22"/>
        </w:rPr>
        <w:t>Hora de finalización de la captura: 11:30 AM (estimada, panel matutino)</w:t>
      </w:r>
    </w:p>
    <w:p>
      <w:pPr>
        <w:jc w:val="both"/>
      </w:pPr>
      <w:r>
        <w:rPr>
          <w:rFonts w:ascii="Montserrat" w:hAnsi="Montserrat"/>
          <w:color w:val="333333"/>
          <w:sz w:val="22"/>
        </w:rPr>
        <w:t>Revisado por (auxiliar de gestión del conocimiento): Andrés Zorrilla</w:t>
      </w:r>
    </w:p>
    <w:p>
      <w:pPr>
        <w:jc w:val="both"/>
      </w:pPr>
      <w:r>
        <w:rPr>
          <w:rFonts w:ascii="Montserrat" w:hAnsi="Montserrat"/>
          <w:color w:val="333333"/>
          <w:sz w:val="22"/>
        </w:rPr>
        <w:t>Nivel de confianza del registro: ALTO — Información verificada con fuentes claras, datos confirmados por los panelistas en sesión pública. Citas textuales reconstruidas desde transcripción completa del audio.</w:t>
      </w:r>
    </w:p>
    <w:p>
      <w:pPr>
        <w:jc w:val="both"/>
      </w:pPr>
      <w:r>
        <w:rPr>
          <w:rFonts w:ascii="Montserrat" w:hAnsi="Montserrat"/>
          <w:color w:val="333333"/>
          <w:sz w:val="22"/>
        </w:rPr>
        <w:t>Observaciones de validación rápida: Las cifras de valor catastral (330 billones) y recaudo (&lt;1%) fueron enunciadas por el concejal Tobón; se recomienda contrastar con cifras oficiales del Departamento Administrativo de Planeación de Medellín. La proyección del 42% de financiación por obligaciones urbanísticas fue proporcionada por Carlos Reyes; requiere validación con la Secretaría de Hacienda de Bogotá.</w:t>
      </w:r>
    </w:p>
    <w:p>
      <w:pPr>
        <w:jc w:val="both"/>
      </w:pPr>
      <w:r>
        <w:rPr>
          <w:rFonts w:ascii="Montserrat" w:hAnsi="Montserrat"/>
          <w:color w:val="333333"/>
          <w:sz w:val="22"/>
        </w:rPr>
        <w:t>Pendientes / dudas para resolver con el equipo: (1) Confirmar fecha exacta de sesión (5 o 6 de agosto 2026); (2) Solicitar presentaciones de diapositivas de RENOVO y Metro de Medellín para enriquecer anexos; (3) Verificar si el estudio JICA-Universidad de los Andes sobre valorización del suelo está disponible en repositorio.</w:t>
      </w:r>
    </w:p>
    <w:p>
      <w:pPr>
        <w:pStyle w:val="Heading1"/>
      </w:pPr>
      <w:r>
        <w:t>14. NOTA METODOLÓGICA</w:t>
      </w:r>
    </w:p>
    <w:sectPr>
      <w:headerReference r:id="rId7" w:type="default"/>
      <w:footerReference r:id="rId8" w:type="default"/>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8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Pr>
      <w:drawing>
        <wp:inline distB="0" distT="0" distL="114300" distR="114300">
          <wp:extent cx="5029200" cy="24681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29200" cy="2468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40" w:lineRule="auto"/>
      <w:jc w:val="center"/>
      <w:rPr/>
    </w:pPr>
    <w:r w:rsidDel="00000000" w:rsidR="00000000" w:rsidRPr="00000000">
      <w:rPr>
        <w:rFonts w:ascii="Montserrat" w:cs="Montserrat" w:eastAsia="Montserrat" w:hAnsi="Montserrat"/>
        <w:b w:val="0"/>
        <w:bCs w:val="0"/>
        <w:i w:val="0"/>
        <w:iCs w:val="0"/>
        <w:color w:val="4a4a5a"/>
        <w:sz w:val="16"/>
        <w:szCs w:val="16"/>
        <w:rtl w:val="0"/>
      </w:rPr>
      <w:t xml:space="preserve">Sistematización FPT 2026 </w:t>
    </w:r>
    <w:r w:rsidDel="00000000" w:rsidR="00000000" w:rsidRPr="00000000">
      <w:rPr>
        <w:color w:val="4a4a5a"/>
        <w:sz w:val="16"/>
        <w:szCs w:val="16"/>
        <w:rtl w:val="0"/>
      </w:rPr>
      <w:t xml:space="preserve"> | </w:t>
    </w:r>
    <w:r w:rsidDel="00000000" w:rsidR="00000000" w:rsidRPr="00000000">
      <w:rPr>
        <w:rFonts w:ascii="Montserrat" w:cs="Montserrat" w:eastAsia="Montserrat" w:hAnsi="Montserrat"/>
        <w:b w:val="0"/>
        <w:bCs w:val="0"/>
        <w:i w:val="0"/>
        <w:iCs w:val="0"/>
        <w:color w:val="4a4a5a"/>
        <w:sz w:val="16"/>
        <w:szCs w:val="16"/>
        <w:rtl w:val="0"/>
      </w:rPr>
      <w:t xml:space="preserve">GOBS Estrategias Públicas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tl w:val="0"/>
      </w:rPr>
    </w:r>
  </w:p>
  <w:tbl>
    <w:tblPr>
      <w:tblStyle w:val="Table3"/>
      <w:tblW w:w="9359.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4"/>
      <w:gridCol w:w="3312"/>
      <w:gridCol w:w="3024"/>
      <w:tblGridChange w:id="0">
        <w:tblGrid>
          <w:gridCol w:w="3024"/>
          <w:gridCol w:w="3312"/>
          <w:gridCol w:w="3024"/>
        </w:tblGrid>
      </w:tblGridChange>
    </w:tblGrid>
    <w:tr>
      <w:trPr>
        <w:cantSplit w:val="0"/>
        <w:tblHeader w:val="0"/>
      </w:trPr>
      <w:tc>
        <w:tcPr>
          <w:vAlign w:val="center"/>
        </w:tcPr>
        <w:p w:rsidR="00000000" w:rsidDel="00000000" w:rsidP="00000000" w:rsidRDefault="00000000" w:rsidRPr="00000000" w14:paraId="00000016">
          <w:pPr>
            <w:jc w:val="left"/>
            <w:rPr/>
          </w:pPr>
          <w:r w:rsidDel="00000000" w:rsidR="00000000" w:rsidRPr="00000000">
            <w:rPr/>
            <w:drawing>
              <wp:inline distB="0" distT="0" distL="114300" distR="114300">
                <wp:extent cx="1463040" cy="82296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63040" cy="82296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7">
          <w:pPr>
            <w:jc w:val="center"/>
            <w:rPr/>
          </w:pPr>
          <w:r w:rsidDel="00000000" w:rsidR="00000000" w:rsidRPr="00000000">
            <w:rPr/>
            <w:drawing>
              <wp:inline distB="0" distT="0" distL="114300" distR="114300">
                <wp:extent cx="1280160" cy="1005459"/>
                <wp:effectExtent b="0" l="0" r="0" t="0"/>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80160" cy="100545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8">
          <w:pPr>
            <w:jc w:val="right"/>
            <w:rPr/>
          </w:pPr>
          <w:r w:rsidDel="00000000" w:rsidR="00000000" w:rsidRPr="00000000">
            <w:rPr/>
            <w:drawing>
              <wp:inline distB="0" distT="0" distL="114300" distR="114300">
                <wp:extent cx="1645920" cy="423907"/>
                <wp:effectExtent b="0" l="0" r="0" t="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45920" cy="4239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spacing w:before="40" w:lineRule="auto"/>
      <w:jc w:val="center"/>
      <w:rPr/>
    </w:pPr>
    <w:r w:rsidDel="00000000" w:rsidR="00000000" w:rsidRPr="00000000">
      <w:rPr>
        <w:rFonts w:ascii="Montserrat" w:cs="Montserrat" w:eastAsia="Montserrat" w:hAnsi="Montserrat"/>
        <w:b w:val="0"/>
        <w:bCs w:val="0"/>
        <w:i w:val="0"/>
        <w:iCs w:val="0"/>
        <w:color w:val="e0e0e0"/>
        <w:sz w:val="12"/>
        <w:szCs w:val="12"/>
        <w:rtl w:val="0"/>
      </w:rPr>
      <w:t xml:space="preserve">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33333"/>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Georgia" w:cs="Georgia" w:eastAsia="Georgia" w:hAnsi="Georgia"/>
      <w:b w:val="1"/>
      <w:bCs w:val="1"/>
      <w:color w:val="000000"/>
      <w:sz w:val="40"/>
      <w:szCs w:val="40"/>
    </w:rPr>
  </w:style>
  <w:style w:type="paragraph" w:styleId="Heading2">
    <w:name w:val="heading 2"/>
    <w:basedOn w:val="Normal"/>
    <w:next w:val="Normal"/>
    <w:pPr>
      <w:keepNext w:val="1"/>
      <w:keepLines w:val="1"/>
      <w:spacing w:after="160" w:before="360" w:lineRule="auto"/>
    </w:pPr>
    <w:rPr>
      <w:rFonts w:ascii="Georgia" w:cs="Georgia" w:eastAsia="Georgia" w:hAnsi="Georgia"/>
      <w:b w:val="1"/>
      <w:bCs w:val="1"/>
      <w:color w:val="0b43f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80"/>
      <w:ind w:left="360"/>
      <w:contextualSpacing w:val="1"/>
    </w:pPr>
    <w:rPr>
      <w:rFonts w:ascii="Montserrat" w:hAnsi="Montserrat"/>
      <w:color w:val="333333"/>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pPr>
      <w:spacing w:after="240" w:before="240"/>
      <w:ind w:left="432" w:right="432"/>
    </w:pPr>
    <w:rPr>
      <w:rFonts w:ascii="Georgia" w:hAnsi="Georgia"/>
      <w:i w:val="1"/>
      <w:iCs w:val="1"/>
      <w:color w:val="1a1a2e"/>
      <w:sz w:val="2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Mq/R98wWnvN5Q+kTqFynqfo6w==">CgMxLjA4AHIhMTF3TzRPc2ZwbXo3bkNOb1g2cHpQTC0xNEhjeENrT2xR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