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RELATORÍA ESTRATÉGICA</w:t>
      </w:r>
    </w:p>
    <w:p>
      <w:pPr>
        <w:spacing w:after="80"/>
      </w:pPr>
      <w:r>
        <w:rPr>
          <w:rFonts w:ascii="Georgia" w:hAnsi="Georgia"/>
          <w:i/>
          <w:color w:val="4A4A5A"/>
          <w:sz w:val="24"/>
        </w:rPr>
        <w:t>Panel 8: Fuentes Alternativas de Financiación Territorial</w:t>
      </w:r>
    </w:p>
    <w:p>
      <w:pPr>
        <w:spacing w:after="80"/>
      </w:pPr>
      <w:r>
        <w:rPr>
          <w:rFonts w:ascii="Georgia" w:hAnsi="Georgia"/>
          <w:i/>
          <w:color w:val="666666"/>
          <w:sz w:val="18"/>
        </w:rPr>
        <w:t>Congreso de Finanzas Públicas Territoriales 2026</w:t>
        <w:br/>
        <w:t>GOBS Estrategias Públicas</w:t>
        <w:br/>
        <w:t>Documento Metodológico — Sistematización Estratégica FPT 2026</w:t>
        <w:br/>
        <w:t>Fecha de sesión: 5 de agosto de 2026</w:t>
        <w:br/>
        <w:t>Hora: Sesión matutina posterior a Panel 7 | Lugar: Gran Salón</w:t>
        <w:br/>
        <w:t>Moderadora: Lía</w:t>
        <w:br/>
        <w:t>Panelistas: Magda (Experta en instrumentos de captura de valor del suelo) | William Castrillón (Planeación Distrital de Medellín) | Jorge (Experto en ingresos no tributarios y precios públicos)</w:t>
      </w:r>
    </w:p>
    <w:p>
      <w:pPr>
        <w:spacing w:after="320"/>
      </w:pPr>
      <w:r>
        <w:rPr>
          <w:rFonts w:ascii="Montserrat" w:hAnsi="Montserrat"/>
          <w:color w:val="0B43F7"/>
          <w:sz w:val="20"/>
        </w:rPr>
        <w:t>───────────────────────────────────</w:t>
      </w:r>
    </w:p>
    <w:p>
      <w:pPr>
        <w:pStyle w:val="Heading1"/>
      </w:pPr>
      <w:r>
        <w:t>1. CONTEXTO DEL PANEL</w:t>
      </w:r>
    </w:p>
    <w:p>
      <w:pPr>
        <w:jc w:val="both"/>
      </w:pPr>
      <w:r>
        <w:rPr>
          <w:rFonts w:ascii="Montserrat" w:hAnsi="Montserrat"/>
          <w:color w:val="333333"/>
          <w:sz w:val="22"/>
        </w:rPr>
        <w:t>Este panel transitó de la discusión sobre captura de valor del suelo —abordada en el Panel 7— hacia una mirada integral sobre las fuentes alternativas de financiación territorial. La pregunta orientadora fue cómo transformar la visión predominante de financiación del desarrollo territorial, que históricamente se ha apoyado en tres pilares: tributos, transferencias nacionales y deuda pública. El panel propuso una reorganización conceptual: las fuentes alternativas no reemplazan las tradicionales, sino que las complementan para generar finanzas territoriales más sólidas, eficientes y sustentables en el tiempo. La discusión se estructuró en dos categorías: instrumentos de captura de valor del suelo (plusvalía, valorización, obligaciones urbanísticas, venta de derechos adicionales de construcción) y precios públicos como mecanismo de ingresos no tributarios. El panel reunió una experta en instrumentos de suelo con trayectoria nacional, un funcionario de planeación distrital con experiencia directa en la reglamentación de plusvalía por obra pública en Medellín, y un especialista en derecho administrativo y finanzas públicas con énfasis en precios públicos.</w:t>
      </w:r>
    </w:p>
    <w:p>
      <w:pPr>
        <w:pStyle w:val="Heading1"/>
      </w:pPr>
      <w:r>
        <w:t>2. ANCLAJE POLÍTICO</w:t>
      </w:r>
    </w:p>
    <w:p>
      <w:pPr>
        <w:pStyle w:val="Heading2"/>
      </w:pPr>
      <w:r>
        <w:rPr>
          <w:color w:val="0B43F7"/>
        </w:rPr>
        <w:t>2.1 Problema público</w:t>
      </w:r>
    </w:p>
    <w:p>
      <w:pPr>
        <w:jc w:val="both"/>
      </w:pPr>
      <w:r>
        <w:rPr>
          <w:rFonts w:ascii="Montserrat" w:hAnsi="Montserrat"/>
          <w:color w:val="333333"/>
          <w:sz w:val="22"/>
        </w:rPr>
        <w:t>¿Cómo diversificar la matriz de financiación del desarrollo territorial para reducir la dependencia de tributos, transferencias y deuda, mediante instrumentos de captura de valor del suelo y precios públicos que hoy están subutilizados, mal implementados o desconocidos por las administraciones territoriales? El problema no es la ausencia de normas: la Ley 388 de 1997, la Constitución de 1991 y la jurisprudencia constitucional (Sentencias C-927 de 2006 y C-401 de 2010) ya habilitan estos instrumentos. El problema es la brecha entre la existencia normativa y la operatividad institucional, entre la potencialidad legal y la capacidad técnica y política para implementarla.</w:t>
      </w:r>
    </w:p>
    <w:p>
      <w:pPr>
        <w:pStyle w:val="Heading2"/>
      </w:pPr>
      <w:r>
        <w:t>2.2 Pertinencia para política nacional</w:t>
      </w:r>
    </w:p>
    <w:p>
      <w:pPr>
        <w:jc w:val="both"/>
      </w:pPr>
      <w:r>
        <w:rPr>
          <w:rFonts w:ascii="Montserrat" w:hAnsi="Montserrat"/>
          <w:color w:val="333333"/>
          <w:sz w:val="22"/>
        </w:rPr>
        <w:t>El panel alimenta directamente la agenda de fortalecimiento de la autonomía fiscal territorial, reconocida en el artículo primero y el artículo 82 de la Constitución de 1991. En un contexto de restricciones presupuestales nacionales, deuda creciente de los entes territoriales y presión por el cumplimiento de metas de desarrollo sostenible, la diversificación de fuentes de financiación no es opcional: es una condición de viabilidad fiscal. El panel conecta con el CONPES 4069 de 2021 y la Política Nacional de CTI al evidenciar que la innovación institucional en financiación urbana es un campo de generación de conocimiento policy-ready con impacto directo en la capacidad de gestión territorial.</w:t>
      </w:r>
    </w:p>
    <w:p>
      <w:pPr>
        <w:pStyle w:val="Heading2"/>
      </w:pPr>
      <w:r>
        <w:t>2.3 Variación territorial esperable</w:t>
      </w:r>
    </w:p>
    <w:p>
      <w:pPr>
        <w:jc w:val="both"/>
      </w:pPr>
      <w:r>
        <w:rPr>
          <w:rFonts w:ascii="Montserrat" w:hAnsi="Montserrat"/>
          <w:color w:val="333333"/>
          <w:sz w:val="22"/>
        </w:rPr>
        <w:t>La aplicación de estos instrumentos varía radicalmente según la categoría del municipio. Las ciudades capitales y de categoría especial (Bogotá, Medellín, Cali, Barranquilla) cuentan con estructuras de planeación y hacienda que permiten diseñar reglamentaciones específicas, estructurar proyectos de largo plazo y articular instrumentos entre sí. Magda mencionó ciudades del entorno metropolitano de Bogotá y del Valle de Aburrá que han usado plusvalía en expansión. Sin embargo, municipios de categoría quinta y sexta enfrentan una triple brecha: desconocimiento de los instrumentos, ausencia de capacidad técnica para estructurarlos y fragilidad política para sostenerlos en el tiempo. La variación territorial también se expresa en la lógica del instrumento: la plusvalía regulatoria es más útil en territorios en expansión, mientras que la valorización y las obligaciones urbanísticas son más pertinentes en ciudades consolidadas.</w:t>
      </w:r>
    </w:p>
    <w:p>
      <w:pPr>
        <w:pStyle w:val="Heading2"/>
      </w:pPr>
      <w:r>
        <w:rPr>
          <w:color w:val="6CD3A5"/>
        </w:rPr>
        <w:t>2.4 Actores institucionales clave para la sinergia</w:t>
      </w:r>
    </w:p>
    <w:p>
      <w:pPr>
        <w:jc w:val="both"/>
      </w:pPr>
      <w:r>
        <w:rPr>
          <w:rFonts w:ascii="Montserrat" w:hAnsi="Montserrat"/>
          <w:color w:val="333333"/>
          <w:sz w:val="22"/>
        </w:rPr>
        <w:t>La implementación efectiva requiere articulación entre: (1) las secretarías de hacienda, como responsables del diseño tributario y la proyección de recaudo; (n2) los departamentos administrativos de planeación, como formuladores del POT y identificadores de hechos generadores; (3) los concejos y asambleas, como aprobadores de los acuerdos que crean o modifican instrumentos; (4) la ciudadanía y los propietarios, como sujetos de la carga pero también beneficiarios de la inversión; (5) el sector privado inmobiliario, como actor obligado por las obligaciones urbanísticas y participante en la venta de derechos de construcción; y (6) los operadores de control, como la Procuraduría y el Consejo de Estado, cuya jurisprudencia valida o invalida la aplicación de estos instrumentos.</w:t>
      </w:r>
    </w:p>
    <w:p>
      <w:pPr>
        <w:pStyle w:val="Heading1"/>
      </w:pPr>
      <w:r>
        <w:t>3. EJES TEMÁTICOS Y ARGUMENTOS</w:t>
      </w:r>
    </w:p>
    <w:p>
      <w:pPr>
        <w:pStyle w:val="Quote"/>
      </w:pPr>
      <w:r>
        <w:rPr>
          <w:rFonts w:ascii="Georgia" w:hAnsi="Georgia"/>
          <w:i/>
          <w:color w:val="1A1A2E"/>
          <w:sz w:val="21"/>
        </w:rPr>
        <w:t>Organización no cronológica. La conversación se estructura por ejes temáticos que agrupan argumentos, evidencias y posicionamientos institucionales, siguiendo la cadena metodológica Problema → Reto → Solución → Sinergia.</w:t>
      </w:r>
    </w:p>
    <w:p>
      <w:pPr>
        <w:pStyle w:val="Heading2"/>
      </w:pPr>
      <w:r>
        <w:t>Eje 1. El impuesto predial como instrumento base y la jerarquía de instrumentos de captura de valor</w:t>
      </w:r>
    </w:p>
    <w:p>
      <w:pPr>
        <w:jc w:val="both"/>
      </w:pPr>
      <w:r>
        <w:rPr>
          <w:rFonts w:ascii="Montserrat" w:hAnsi="Montserrat"/>
          <w:color w:val="333333"/>
          <w:sz w:val="22"/>
        </w:rPr>
        <w:t>Magda abrió el panel con una tesis que funciona como eje organizador de toda la discusión: antes de hablar de fuentes alternativas, es necesario reconocer que Colombia ya tiene instrumentos constitucionales y legales que no se han explotado en su plenitud. El primero y más importante es el impuesto predial, que ella definió con una metáfora pedagógica de alto valor político:</w:t>
      </w:r>
    </w:p>
    <w:p>
      <w:pPr>
        <w:pStyle w:val="Quote"/>
      </w:pPr>
      <w:r>
        <w:rPr>
          <w:rFonts w:ascii="Georgia" w:hAnsi="Georgia"/>
          <w:i/>
          <w:color w:val="1A1A2E"/>
          <w:sz w:val="21"/>
        </w:rPr>
        <w:t>"El impuesto Predial es como la cuota de administración de la copropiedad, la que pagamos recurrentemente por financiar esos bienes públicos."</w:t>
      </w:r>
    </w:p>
    <w:p>
      <w:pPr>
        <w:jc w:val="both"/>
      </w:pPr>
      <w:r>
        <w:rPr>
          <w:rFonts w:ascii="Montserrat" w:hAnsi="Montserrat"/>
          <w:color w:val="333333"/>
          <w:sz w:val="22"/>
        </w:rPr>
        <w:t>Esta metáfora no es retórica: desplaza la percepción del predial desde un impuesto gravoso hacia una contraprestación por servicios recibidos. Si la ciudad es una copropiedad, el predial es la cuota que permite mantenerla, mejorarla y hacerla habitable. Magda fundamentó esta tesis en referencias académicas internacionales:</w:t>
      </w:r>
    </w:p>
    <w:p>
      <w:pPr>
        <w:pStyle w:val="Quote"/>
      </w:pPr>
      <w:r>
        <w:rPr>
          <w:rFonts w:ascii="Georgia" w:hAnsi="Georgia"/>
          <w:i/>
          <w:color w:val="1A1A2E"/>
          <w:sz w:val="21"/>
        </w:rPr>
        <w:t>"Hay un libro de Lincoln que se llama 'The Good Tax'... es el impuesto Predial porque sirve para todo y no nos genera los problemas de conflictos territoriales que tenemos, por ejemplo, con ICA."</w:t>
      </w:r>
    </w:p>
    <w:p>
      <w:pPr>
        <w:jc w:val="both"/>
      </w:pPr>
      <w:r>
        <w:rPr>
          <w:rFonts w:ascii="Montserrat" w:hAnsi="Montserrat"/>
          <w:color w:val="333333"/>
          <w:sz w:val="22"/>
        </w:rPr>
        <w:t>La referencia a Lincoln Institute of Land Policy no es anecdótica. La institución ha documentado que los países con sistemas fiscales territoriales más eficientes —Corea del Sur, Singapur, partes de Europa Oriental— tienen como característica común un predial actualizado, progresivo y bien administrado. Magda señaló que Colombia, aun siendo 'de lo mejorcito en Latinoamérica' con un recaudo predial cercano al 0,6% del PIB, tiene un espacio de mejora considerable: ciudades desarrolladas duplican o triplican esa cifra. Esto implica que el problema no es la arquitectura constitucional —el artículo 300 de la Constitución asigna los tributos a la propiedad a los municipios— sino la administración tributaria territorial, la actualización catastral y la política de tarifas.</w:t>
      </w:r>
    </w:p>
    <w:p>
      <w:pPr>
        <w:jc w:val="both"/>
      </w:pPr>
      <w:r>
        <w:rPr>
          <w:rFonts w:ascii="Montserrat" w:hAnsi="Montserrat"/>
          <w:color w:val="333333"/>
          <w:sz w:val="22"/>
        </w:rPr>
        <w:t>Sobre esta base, Magda construyó una jerarquía de instrumentos. El predial es el pilar porque genera rentas recurrentes, permite controlar la especulación inmobiliaria y captura plusvalías de manera permanente, no solo puntual. Sobre este pilar, las contribuciones de valorización y la participación en plusvalía funcionan como instrumentos complementarios para necesidades extraordinarias o proyectos específicos. La contribución de valorización, en particular, permite proyectar el recaudo con certeza:</w:t>
      </w:r>
    </w:p>
    <w:p>
      <w:pPr>
        <w:pStyle w:val="Quote"/>
      </w:pPr>
      <w:r>
        <w:rPr>
          <w:rFonts w:ascii="Georgia" w:hAnsi="Georgia"/>
          <w:i/>
          <w:color w:val="1A1A2E"/>
          <w:sz w:val="21"/>
        </w:rPr>
        <w:t>"La contribución de valorización me permite a mí proyectar claramente el recaudo... es un project finance... tengo una obra, la voy a financiar en este tiempo, quiénes van a estar y cómo va a entrar la plata, en qué momentos va a entrar y cómo voy a ejecutar."</w:t>
      </w:r>
    </w:p>
    <w:p>
      <w:pPr>
        <w:jc w:val="both"/>
      </w:pPr>
      <w:r>
        <w:rPr>
          <w:rFonts w:ascii="Montserrat" w:hAnsi="Montserrat"/>
          <w:color w:val="333333"/>
          <w:sz w:val="22"/>
        </w:rPr>
        <w:t>La participación en plusvalía, por su parte, tiene una configuración diferente. Depende del licenciamiento, del desarrollo inmobiliario y de condiciones del mercado que no siempre son predecibles. Magda fue explícita en señalar que esto no la convierte en un mal instrumento, sino en un instrumento con un campo de aplicación específico:</w:t>
      </w:r>
    </w:p>
    <w:p>
      <w:pPr>
        <w:pStyle w:val="Quote"/>
      </w:pPr>
      <w:r>
        <w:rPr>
          <w:rFonts w:ascii="Georgia" w:hAnsi="Georgia"/>
          <w:i/>
          <w:color w:val="1A1A2E"/>
          <w:sz w:val="21"/>
        </w:rPr>
        <w:t>"La participación en plusvalía por su configuración tengo que esperar a que se dé licenciamiento, tengo que esperar a las condiciones del desarrollo inmobiliario y eso tiene un riesgo y no la voy a poder sujetar a que con esto me puedan garantizar crédito para anticipar las obras."</w:t>
      </w:r>
    </w:p>
    <w:p>
      <w:pPr>
        <w:jc w:val="both"/>
      </w:pPr>
      <w:r>
        <w:rPr>
          <w:rFonts w:ascii="Montserrat" w:hAnsi="Montserrat"/>
          <w:color w:val="333333"/>
          <w:sz w:val="22"/>
        </w:rPr>
        <w:t>Esta distinción técnica tiene una implicación financiera directa. Un instrumento cuyo recaudo es incierto en el tiempo no puede servir como garantía para crédito de largo plazo ni para estructuraciones de project finance. La valorización, en cambio, al estar vinculada a una obra pública específica con beneficiarios identificables, permite una proyección actuarial que los bancos y el mercado de capitales pueden evaluar. Esto explica por qué ciudades como Barranquilla, que Magda mencionó como ejemplo de transformación, han usado la valorización como motor de desarrollo:</w:t>
      </w:r>
    </w:p>
    <w:p>
      <w:pPr>
        <w:pStyle w:val="Quote"/>
      </w:pPr>
      <w:r>
        <w:rPr>
          <w:rFonts w:ascii="Georgia" w:hAnsi="Georgia"/>
          <w:i/>
          <w:color w:val="1A1A2E"/>
          <w:sz w:val="21"/>
        </w:rPr>
        <w:t>"Hemos visto el caso de ciudades que salieron de la nada como Barranquilla y que han puesto los escenarios... son valorización, son plusvalía los que le han puesto la esencia a transformar las ciudades."</w:t>
      </w:r>
    </w:p>
    <w:p>
      <w:pPr>
        <w:pStyle w:val="Heading2"/>
      </w:pPr>
      <w:r>
        <w:t>Eje 2. Plusvalía versus valorización: diferencias técnicas, campos de aplicación y complementariedad</w:t>
      </w:r>
    </w:p>
    <w:p>
      <w:pPr>
        <w:jc w:val="both"/>
      </w:pPr>
      <w:r>
        <w:rPr>
          <w:rFonts w:ascii="Montserrat" w:hAnsi="Montserrat"/>
          <w:color w:val="333333"/>
          <w:sz w:val="22"/>
        </w:rPr>
        <w:t>Uno de los aportes más valiosos del panel fue la clarificación conceptual entre dos instrumentos frecuentemente confundidos en el debate público: la contribución de valorización y la participación en plusvalía. Magda desarrolló esta distinción con precisión técnica, mostrando que no son sustitutos sino complementarios, con campos de aplicación diferenciados según el momento del ciclo de desarrollo territorial.</w:t>
      </w:r>
    </w:p>
    <w:p>
      <w:pPr>
        <w:jc w:val="both"/>
      </w:pPr>
      <w:r>
        <w:rPr>
          <w:rFonts w:ascii="Montserrat" w:hAnsi="Montserrat"/>
          <w:color w:val="333333"/>
          <w:sz w:val="22"/>
        </w:rPr>
        <w:t>La contribución de valorización es un tributo que se cobra a los propietarios beneficiados por una obra pública específica. Su lógica es la de un project finance aplicado al espacio público: se identifica la obra, se identifican los beneficiarios, se calcula el mayor valor que la obra genera en sus propiedades, se distribuye la carga y se cobra. Este instrumento ha financiado en Colombia las obras de movilidad más importantes de las últimas décadas. Sin embargo, Magda introdujo una matriz de decisión que permite a las entidades territoriales elegir el instrumento adecuado según su condición:</w:t>
      </w:r>
    </w:p>
    <w:p>
      <w:pPr>
        <w:pStyle w:val="Quote"/>
      </w:pPr>
      <w:r>
        <w:rPr>
          <w:rFonts w:ascii="Georgia" w:hAnsi="Georgia"/>
          <w:i/>
          <w:color w:val="1A1A2E"/>
          <w:sz w:val="21"/>
        </w:rPr>
        <w:t>"La participación en plusvalía regulatoria tiene la potencialidad muy importante para los territorios que están en crecimiento, en expansión, en desarrollo... la contribución de valorización me permite a mí proyectar claramente el recaudo... la participación en plusvalía por su configuración tengo que esperar a que se dé licenciamiento."</w:t>
      </w:r>
    </w:p>
    <w:p>
      <w:pPr>
        <w:jc w:val="both"/>
      </w:pPr>
      <w:r>
        <w:rPr>
          <w:rFonts w:ascii="Montserrat" w:hAnsi="Montserrat"/>
          <w:color w:val="333333"/>
          <w:sz w:val="22"/>
        </w:rPr>
        <w:t>Esta distinción territorial es crítica. En zonas de expansión, donde el cambio de uso del suelo rural a urbano o la modificación del régimen de zonificación genera incrementos masivos de valor, la plusvalía regulatoria es el instrumento más eficiente porque captura el valor generado por la decisión normativa misma. En zonas consolidadas, donde el valor del suelo ya está alto y las obras públicas generan incrementos diferenciales más modestos pero predecibles, la valorización es más certera. Magda ilustró con datos del seguimiento que ha realizado durante los últimos diez años:</w:t>
      </w:r>
    </w:p>
    <w:p>
      <w:pPr>
        <w:pStyle w:val="Quote"/>
      </w:pPr>
      <w:r>
        <w:rPr>
          <w:rFonts w:ascii="Georgia" w:hAnsi="Georgia"/>
          <w:i/>
          <w:color w:val="1A1A2E"/>
          <w:sz w:val="21"/>
        </w:rPr>
        <w:t>"Los principales municipios que han recaudado contribución de valorización han llegado a recaudar inclusive aquí en el entorno metropolitano de ustedes valorización que puede superar cuatro y seis veces el pago de un Predial... las ciudades del entorno metropolitano de Bogotá y algunas del entorno metropolitano del Valle de Aburrá la han usado porque están en expansión."</w:t>
      </w:r>
    </w:p>
    <w:p>
      <w:pPr>
        <w:jc w:val="both"/>
      </w:pPr>
      <w:r>
        <w:rPr>
          <w:rFonts w:ascii="Montserrat" w:hAnsi="Montserrat"/>
          <w:color w:val="333333"/>
          <w:sz w:val="22"/>
        </w:rPr>
        <w:t>La moderadora, Lía, profundizó en una distinción específica que conecta con el Panel 7: la plusvalía por obra pública. Si bien la plusvalía regulatoria (por cambio de uso) ha tenido cierta aplicación, la plusvalía por obra pública ha sido históricamente más difícil de implementar en Colombia. Magda explicó que esto no se debe a un defecto del instrumento, sino a la necesidad de articularlo con otros mecanismos según el propósito:</w:t>
      </w:r>
    </w:p>
    <w:p>
      <w:pPr>
        <w:pStyle w:val="Quote"/>
      </w:pPr>
      <w:r>
        <w:rPr>
          <w:rFonts w:ascii="Georgia" w:hAnsi="Georgia"/>
          <w:i/>
          <w:color w:val="1A1A2E"/>
          <w:sz w:val="21"/>
        </w:rPr>
        <w:t>"Para zonas de expansión me sirve muchísimo... los que estamos en consolidación, tratamos de mirar cómo mezclamos el instrumento con contribución de valorización con obligaciones urbanísticas que pueden ser más certeras."</w:t>
      </w:r>
    </w:p>
    <w:p>
      <w:pPr>
        <w:jc w:val="both"/>
      </w:pPr>
      <w:r>
        <w:rPr>
          <w:rFonts w:ascii="Montserrat" w:hAnsi="Montserrat"/>
          <w:color w:val="333333"/>
          <w:sz w:val="22"/>
        </w:rPr>
        <w:t>La obligación urbanística aparece aquí como un tercer instrumento que complementa la matriz. A diferencia de la valorización y la plusvalía, que son tributos, la obligación urbanística es una contraprestación inmueble o en dinero que el desarrollador asume como condición para obtener licencia de construcción. Su ventaja es la certeza: se negocia antes de la licencia, se establece en el acto administrativo y se ejecuta como parte del proyecto. Esto la convierte en un instrumento especialmente útil en ciudades consolidadas donde la obra pública nueva es costosa y los beneficiarios directos son difíciles de identificar con precisión catastral.</w:t>
      </w:r>
    </w:p>
    <w:p>
      <w:pPr>
        <w:pStyle w:val="Heading2"/>
      </w:pPr>
      <w:r>
        <w:t>Eje 3. La experiencia de Medellín: reglamentación de plusvalía por obra pública y plan financiero de mediano plazo</w:t>
      </w:r>
    </w:p>
    <w:p>
      <w:pPr>
        <w:jc w:val="both"/>
      </w:pPr>
      <w:r>
        <w:rPr>
          <w:rFonts w:ascii="Montserrat" w:hAnsi="Montserrat"/>
          <w:color w:val="333333"/>
          <w:sz w:val="22"/>
        </w:rPr>
        <w:t>William Castrillón presentó la experiencia de Medellín como un caso de articulación institucional entre planeación y hacienda para la implementación de instrumentos de captura de valor. Desde 2018-2019, la administración distrital ha trabajado en la reglamentación específica del hecho generador de obra pública, un proceso que implicó no sólo la producción de normas, sino la construcción de capacidades técnicas conjuntas entre dos secretarías que históricamente operaron con escasa coordinación.</w:t>
      </w:r>
    </w:p>
    <w:p>
      <w:pPr>
        <w:jc w:val="both"/>
      </w:pPr>
      <w:r>
        <w:rPr>
          <w:rFonts w:ascii="Montserrat" w:hAnsi="Montserrat"/>
          <w:color w:val="333333"/>
          <w:sz w:val="22"/>
        </w:rPr>
        <w:t>William contextualizó el ejercicio dentro de lo que denominó un 'proyecto de ciudad', entendido no como una lista de obras sino como una visión integral de distribución del recurso público entre dos dimensiones: la social y la de desarrollo territorial. Esta dualidad es relevante porque muchas administraciones priorizan la inversión social —salud, educación, programas asistenciales— a costa de la inversión en infraestructura y sostenibilidad del territorio. William propuso una lectura constitucional:</w:t>
      </w:r>
    </w:p>
    <w:p>
      <w:pPr>
        <w:pStyle w:val="Quote"/>
      </w:pPr>
      <w:r>
        <w:rPr>
          <w:rFonts w:ascii="Georgia" w:hAnsi="Georgia"/>
          <w:i/>
          <w:color w:val="1A1A2E"/>
          <w:sz w:val="21"/>
        </w:rPr>
        <w:t>"Colombia es un Estado social de derecho... el presupuesto se tiene que distribuir en dos dimensiones muy importantes y es una la social y económica... es deber del Estado distribuir el recurso a la salud, a la educación, a los niños... hay otra dimensión importante en la que yo he venido trabajando los últimos años y es la dimensión del desarrollo territorial y la sostenibilidad."</w:t>
      </w:r>
    </w:p>
    <w:p>
      <w:pPr>
        <w:jc w:val="both"/>
      </w:pPr>
      <w:r>
        <w:rPr>
          <w:rFonts w:ascii="Montserrat" w:hAnsi="Montserrat"/>
          <w:color w:val="333333"/>
          <w:sz w:val="22"/>
        </w:rPr>
        <w:t>Esta lectura tiene una implicación presupuestal directa: no se trata de elegir entre social y territorial, sino de equilibrar ambas dimensiones mediante una planificación financiera de mediano plazo. William presentó datos del crecimiento del recaudo de Medellín entre 2014 y 2024 como evidencia de que la estrategia fiscal puede ser deliberada y sostenida en el tiempo:</w:t>
      </w:r>
    </w:p>
    <w:p>
      <w:pPr>
        <w:pStyle w:val="Quote"/>
      </w:pPr>
      <w:r>
        <w:rPr>
          <w:rFonts w:ascii="Georgia" w:hAnsi="Georgia"/>
          <w:i/>
          <w:color w:val="1A1A2E"/>
          <w:sz w:val="21"/>
        </w:rPr>
        <w:t>"Desde 2014-2024 en Medellín se aumentó el 95% el predial y el ICA en un 145%... cuando se plantea un proyecto de ciudad se tiene que considerar tres categorías."</w:t>
      </w:r>
    </w:p>
    <w:p>
      <w:pPr>
        <w:jc w:val="both"/>
      </w:pPr>
      <w:r>
        <w:rPr>
          <w:rFonts w:ascii="Montserrat" w:hAnsi="Montserrat"/>
          <w:color w:val="333333"/>
          <w:sz w:val="22"/>
        </w:rPr>
        <w:t>William estructuró estas tres categorías de financiación de un proyecto de ciudad. La primera son los recursos propios tradicionales: impuestos tributarios y no tributarios, transferencias y deuda. La segunda son los instrumentos de captura de valor del suelo: plusvalía, valorización, obligaciones urbanísticas, venta de derechos de construcción. La tercera son las fuentes alternativas de promoción del desarrollo: alianzas con el sector privado, operadores urbanos, bancarización de flujos futuros. Esta categorización es operativa porque permite a las administraciones diseñar un plan financiero donde cada fuente juega un rol específico y las fuentes se potencian mutuamente.</w:t>
      </w:r>
    </w:p>
    <w:p>
      <w:pPr>
        <w:jc w:val="both"/>
      </w:pPr>
      <w:r>
        <w:rPr>
          <w:rFonts w:ascii="Montserrat" w:hAnsi="Montserrat"/>
          <w:color w:val="333333"/>
          <w:sz w:val="22"/>
        </w:rPr>
        <w:t>Un elemento central de la presentación de William fue la defensa de la venta de derechos adicionales de construcción como instrumento 'supremamente fundamental'. Este mecanismo, creado en Medellín mediante el Acuerdo 48 y con antecedentes en ciudades brasileñas, permite al distrito vender a desarrolladores privados capacidad constructiva adicional sobre la establecida en el POT, generando recursos que se destinan a infraestructura, espacio público o equipamientos. William conectó este instrumento con el principio del reparto de cargas y beneficios:</w:t>
      </w:r>
    </w:p>
    <w:p>
      <w:pPr>
        <w:pStyle w:val="Quote"/>
      </w:pPr>
      <w:r>
        <w:rPr>
          <w:rFonts w:ascii="Georgia" w:hAnsi="Georgia"/>
          <w:i/>
          <w:color w:val="1A1A2E"/>
          <w:sz w:val="21"/>
        </w:rPr>
        <w:t>"No es solamente recibir contraprestaciones gratuitas en favor del espacio público... la ley también establece un principio muy importante que es el reparto de cargas y beneficios... en la medida en que yo exija beneficios urbanísticos a quien desarrolle la ciudad, también debería garantizar mecanismos a los que les establezca una carga."</w:t>
      </w:r>
    </w:p>
    <w:p>
      <w:pPr>
        <w:jc w:val="both"/>
      </w:pPr>
      <w:r>
        <w:rPr>
          <w:rFonts w:ascii="Montserrat" w:hAnsi="Montserrat"/>
          <w:color w:val="333333"/>
          <w:sz w:val="22"/>
        </w:rPr>
        <w:t>La venta de derechos de construcción es, en esencia, un mercado de capacidad edificatoria administrado por el Estado. El distrito fija un precio por metro cuadrado de construcción adicional; los desarrolladores que necesitan densificar más allá de lo permitido por el POT compran ese derecho; el distrito recibe recursos que reinvierte en infraestructura que hace viable la densificación. Es un ciclo virtuoso: más densidad genera más demanda de espacio público; la venta de derechos financia ese espacio público; el espacio público hace sostenible la densidad. William mencionó que Medellín ha usado estos recursos para mitigar cargas urbanísticas y preservar patrimonio, articulándose con la Agencia del Paisaje.</w:t>
      </w:r>
    </w:p>
    <w:p>
      <w:pPr>
        <w:jc w:val="both"/>
      </w:pPr>
      <w:r>
        <w:rPr>
          <w:rFonts w:ascii="Montserrat" w:hAnsi="Montserrat"/>
          <w:color w:val="333333"/>
          <w:sz w:val="22"/>
        </w:rPr>
        <w:t>Finalmente, William enfatizó que el reto no es solo reglamentar, sino implementar y hacer concurrentes los instrumentos. Un plan financiero de mediano plazo debe articular las tres categorías de recursos, proyectar su disponibilidad en el tiempo y vincularlos a un portafolio de proyectos priorizados:</w:t>
      </w:r>
    </w:p>
    <w:p>
      <w:pPr>
        <w:pStyle w:val="Quote"/>
      </w:pPr>
      <w:r>
        <w:rPr>
          <w:rFonts w:ascii="Georgia" w:hAnsi="Georgia"/>
          <w:i/>
          <w:color w:val="1A1A2E"/>
          <w:sz w:val="21"/>
        </w:rPr>
        <w:t>"No queda otra, una es implementarlos, pero más allá de implementarlos yo creo que es que estos instrumentos puedan concurrir con las otras categorías de financiación de un proyecto de ciudad."</w:t>
      </w:r>
    </w:p>
    <w:p>
      <w:pPr>
        <w:pStyle w:val="Heading2"/>
      </w:pPr>
      <w:r>
        <w:t>Eje 4. Precios públicos: la frontera entre tributos e ingresos no tributarios</w:t>
      </w:r>
    </w:p>
    <w:p>
      <w:pPr>
        <w:jc w:val="both"/>
      </w:pPr>
      <w:r>
        <w:rPr>
          <w:rFonts w:ascii="Montserrat" w:hAnsi="Montserrat"/>
          <w:color w:val="333333"/>
          <w:sz w:val="22"/>
        </w:rPr>
        <w:t>Jorge introdujo una dimensión del debate que los paneles anteriores no habían desarrollado: los precios públicos como fuente alternativa de financiación territorial. Su intervención partió de una precisión conceptual que es, en sí misma, un aporte metodológico: el Congreso de Finanzas Públicas Territoriales no es un congreso de derecho tributario, sino de finanzas públicas, lo cual abre el campo a ingresos que no provienen de la potestad tributaria del Estado.</w:t>
      </w:r>
    </w:p>
    <w:p>
      <w:pPr>
        <w:jc w:val="both"/>
      </w:pPr>
      <w:r>
        <w:rPr>
          <w:rFonts w:ascii="Montserrat" w:hAnsi="Montserrat"/>
          <w:color w:val="333333"/>
          <w:sz w:val="22"/>
        </w:rPr>
        <w:t>Jorge fundamentó su exposición en dos sentencias de la Corte Constitucional que constituyen el pilar jurisprudencial de los precios públicos en Colombia: la Sentencia C-927 de 2006 y la Sentencia C-401 de 2010. Estas providencias, en conjunto, establecen tres diferencias estructurales entre tasas y precios públicos que condicionan su diseño, implementación y control jurídico:</w:t>
      </w:r>
    </w:p>
    <w:p>
      <w:pPr>
        <w:pStyle w:val="Quote"/>
      </w:pPr>
      <w:r>
        <w:rPr>
          <w:rFonts w:ascii="Georgia" w:hAnsi="Georgia"/>
          <w:i/>
          <w:color w:val="1A1A2E"/>
          <w:sz w:val="21"/>
        </w:rPr>
        <w:t>"Primero, la corte habla de la diferenciación que los precios públicos con las tasas... las tasas tienen un origen en ley mientras que los precios públicos se derivan del principio de autonomía de la voluntad de las entidades territoriales... en las tasas hay un origen legal y en los precios públicos lo que origina o lo que le da surgimiento a las obligaciones son unas relaciones voluntarias o contractuales."</w:t>
      </w:r>
    </w:p>
    <w:p>
      <w:pPr>
        <w:jc w:val="both"/>
      </w:pPr>
      <w:r>
        <w:rPr>
          <w:rFonts w:ascii="Montserrat" w:hAnsi="Montserrat"/>
          <w:color w:val="333333"/>
          <w:sz w:val="22"/>
        </w:rPr>
        <w:t>Esta distinción tiene una consecuencia institucional profunda. Las tasas, al tener origen legal y estar vinculadas a la potestad tributaria, requieren de un procedimiento de creación más riguroso: acuerdo municipal, fijación de tarifa, publicación, control de legalidad por parte de la Procuraduría y el Consejo de Estado. Los precios públicos, en cambio, surgen de relaciones contractuales o de autorización, lo cual les confiere una flexibilidad operativa mayor. Jorge desarrolló la segunda diferencia:</w:t>
      </w:r>
    </w:p>
    <w:p>
      <w:pPr>
        <w:pStyle w:val="Quote"/>
      </w:pPr>
      <w:r>
        <w:rPr>
          <w:rFonts w:ascii="Georgia" w:hAnsi="Georgia"/>
          <w:i/>
          <w:color w:val="1A1A2E"/>
          <w:sz w:val="21"/>
        </w:rPr>
        <w:t>"En las tasas nos encontramos siempre frente a un contribuyente... entendido por el papel impositivo del Estado, mientras que los precios públicos no hablamos de contribuyentes, hablamos de beneficiarios precisamente por esa voluntariedad y por esa bilateralidad."</w:t>
      </w:r>
    </w:p>
    <w:p>
      <w:pPr>
        <w:jc w:val="both"/>
      </w:pPr>
      <w:r>
        <w:rPr>
          <w:rFonts w:ascii="Montserrat" w:hAnsi="Montserrat"/>
          <w:color w:val="333333"/>
          <w:sz w:val="22"/>
        </w:rPr>
        <w:t>La transición de 'contribuyente' a 'beneficiario' no es semántica: implica un cambio en la relación jurídica, en la percepción ciudadana y en los mecanismos de control. El contribuyente está obligado por ley; el beneficiario accede voluntariamente a un bien o servicio. Esto reduce la resistencia política y permite al Estado actuar con una lógica más cercana a la empresa privada: ofrecer un servicio de calidad, cobrar una tarifa competitiva y reinvertir la rentabilidad en la expansión del servicio.</w:t>
      </w:r>
    </w:p>
    <w:p>
      <w:pPr>
        <w:jc w:val="both"/>
      </w:pPr>
      <w:r>
        <w:rPr>
          <w:rFonts w:ascii="Montserrat" w:hAnsi="Montserrat"/>
          <w:color w:val="333333"/>
          <w:sz w:val="22"/>
        </w:rPr>
        <w:t>La tercera diferencia, y quizás la más relevante para la agenda de financiación territorial, es económica:</w:t>
      </w:r>
    </w:p>
    <w:p>
      <w:pPr>
        <w:pStyle w:val="Quote"/>
      </w:pPr>
      <w:r>
        <w:rPr>
          <w:rFonts w:ascii="Georgia" w:hAnsi="Georgia"/>
          <w:i/>
          <w:color w:val="1A1A2E"/>
          <w:sz w:val="21"/>
        </w:rPr>
        <w:t>"Las tasas hablamos siempre de costos o de recuperación de costos, mientras que los precios públicos hablamos de remuneraciones e inclusive de rentabilidad."</w:t>
      </w:r>
    </w:p>
    <w:p>
      <w:pPr>
        <w:jc w:val="both"/>
      </w:pPr>
      <w:r>
        <w:rPr>
          <w:rFonts w:ascii="Montserrat" w:hAnsi="Montserrat"/>
          <w:color w:val="333333"/>
          <w:sz w:val="22"/>
        </w:rPr>
        <w:t>Esta distinción es crítica. Las tasas están limitadas por el principio de costo: la tarifa no puede exceder el costo de prestación del servicio. Los precios públicos, al operar bajo una lógica de remuneración, pueden incluir una rentabilidad que se destine a la inversión, al mantenimiento o a la expansión del servicio. Esto convierte a los precios públicos en un instrumento de generación de valor, no solo de recuperación de gasto. Jorge ilustró con casos concretos validados por el Consejo de Estado:</w:t>
      </w:r>
    </w:p>
    <w:p>
      <w:pPr>
        <w:pStyle w:val="Quote"/>
      </w:pPr>
      <w:r>
        <w:rPr>
          <w:rFonts w:ascii="Georgia" w:hAnsi="Georgia"/>
          <w:i/>
          <w:color w:val="1A1A2E"/>
          <w:sz w:val="21"/>
        </w:rPr>
        <w:t>"El área metropolitana de Cúcuta, la gobernación de Risaralda y el IDEAM fueron unos actos administrativos que establecieron unas tarifas ubicadas dentro de los precios públicos... el Consejo de Estado... nos dice amparado en esas providencias de la Corte Constitucional, que no nos encontrábamos entonces en el tema de tasas, que efectivamente lo que se implementó fueron precios públicos."</w:t>
      </w:r>
    </w:p>
    <w:p>
      <w:pPr>
        <w:jc w:val="both"/>
      </w:pPr>
      <w:r>
        <w:rPr>
          <w:rFonts w:ascii="Montserrat" w:hAnsi="Montserrat"/>
          <w:color w:val="333333"/>
          <w:sz w:val="22"/>
        </w:rPr>
        <w:t>La relevancia de estos fallos no es solo jurídica: es política. En un contexto donde las administraciones territoriales temen la judicialización de sus actos de cobro, contar con jurisprudencia favorable del Consejo de Estado reduce el riesgo de nulidad y legitima la aplicación de tarifas remunerativas. Jorge concluyó con una invitación explícita a las administraciones:</w:t>
      </w:r>
    </w:p>
    <w:p>
      <w:pPr>
        <w:pStyle w:val="Quote"/>
      </w:pPr>
      <w:r>
        <w:rPr>
          <w:rFonts w:ascii="Georgia" w:hAnsi="Georgia"/>
          <w:i/>
          <w:color w:val="1A1A2E"/>
          <w:sz w:val="21"/>
        </w:rPr>
        <w:t>"Las entidades estatales pueden empezar como privados... pueden efectivamente sacar provecho económico a una cantidad de activos y de bienes, llámese fiscales de uso público, llámese muebles, llámese maquinaria, infinidad de bienes que tiene las entidades estatales."</w:t>
      </w:r>
    </w:p>
    <w:p>
      <w:pPr>
        <w:jc w:val="both"/>
      </w:pPr>
      <w:r>
        <w:rPr>
          <w:rFonts w:ascii="Montserrat" w:hAnsi="Montserrat"/>
          <w:color w:val="333333"/>
          <w:sz w:val="22"/>
        </w:rPr>
        <w:t>El universo de aplicación es vasto: arrendamiento de equipos, prestación de servicios de auditoría, sistematización de costos, transporte, uso temporal de bienes inmuebles, servicios digitales, capacitación. Cada entidad territorial posee activos ociosos que podrían generar ingresos recurrentes si se gestionan bajo una lógica de precios públicos en lugar de una lógica de gasto público.</w:t>
      </w:r>
    </w:p>
    <w:p>
      <w:pPr>
        <w:pStyle w:val="Heading2"/>
      </w:pPr>
      <w:r>
        <w:t>Eje 5. Obstáculos estructurales: capacidad institucional, integración hacienda-planeación y continuidad política</w:t>
      </w:r>
    </w:p>
    <w:p>
      <w:pPr>
        <w:jc w:val="both"/>
      </w:pPr>
      <w:r>
        <w:rPr>
          <w:rFonts w:ascii="Montserrat" w:hAnsi="Montserrat"/>
          <w:color w:val="333333"/>
          <w:sz w:val="22"/>
        </w:rPr>
        <w:t>El panel no eludió la pregunta incómoda: si los instrumentos existen desde hace tres décadas, ¿por qué no se implementan? Magda respondió con una diagnóstico que integra norma, capacidad y política:</w:t>
      </w:r>
    </w:p>
    <w:p>
      <w:pPr>
        <w:pStyle w:val="Quote"/>
      </w:pPr>
      <w:r>
        <w:rPr>
          <w:rFonts w:ascii="Georgia" w:hAnsi="Georgia"/>
          <w:i/>
          <w:color w:val="1A1A2E"/>
          <w:sz w:val="21"/>
        </w:rPr>
        <w:t>"La ley 388 del 97... el capítulo de ejecución, de gestión y de financiación no está claro... esos son problemas que gracias a la autonomía que tenemos podemos determinar el tributo... pero ahí va un tema de capacidad."</w:t>
      </w:r>
    </w:p>
    <w:p>
      <w:pPr>
        <w:jc w:val="both"/>
      </w:pPr>
      <w:r>
        <w:rPr>
          <w:rFonts w:ascii="Montserrat" w:hAnsi="Montserrat"/>
          <w:color w:val="333333"/>
          <w:sz w:val="22"/>
        </w:rPr>
        <w:t>La Ley 388 tiene, efectivamente, un capítulo de financiación que es breve y genérico. No establece procedimientos detallados, no define metodologías de cálculo, no establece plazos ni sanciones. Esto deja a los municipios en una situación de autonomía nominal: pueden crear instrumentos, pero no saben cómo. La autonomía territorial, sin capacidad técnica, se convierte en una trampa: los alcaldes y concejales tienen la potestad pero no los instrumentos para ejercerla. Magda profundizó en la necesidad de integrar dos mundos administrativos que históricamente han operado en silos:</w:t>
      </w:r>
    </w:p>
    <w:p>
      <w:pPr>
        <w:pStyle w:val="Quote"/>
      </w:pPr>
      <w:r>
        <w:rPr>
          <w:rFonts w:ascii="Georgia" w:hAnsi="Georgia"/>
          <w:i/>
          <w:color w:val="1A1A2E"/>
          <w:sz w:val="21"/>
        </w:rPr>
        <w:t>"Hay que fortalecer muy grande entre cómo vinculamos los planes de desarrollo, el plan de ordenamiento territorial, sí, y nuestro uso de nuestros instrumentos financieros... tengo que tener los proyectados en un largo plazo de cómo los uso y por eso es que yo les decía: analicemos de alineación urbana, plusvalía, no solamente plusvalía-valorización, delineación urbana, el mismo alumbrado en un plazo máximo de diez, doce años."</w:t>
      </w:r>
    </w:p>
    <w:p>
      <w:pPr>
        <w:jc w:val="both"/>
      </w:pPr>
      <w:r>
        <w:rPr>
          <w:rFonts w:ascii="Montserrat" w:hAnsi="Montserrat"/>
          <w:color w:val="333333"/>
          <w:sz w:val="22"/>
        </w:rPr>
        <w:t>Esta alineación no es administrativa: es estratégica. El plan de desarrollo define las prioridades políticas; el POT define las transformaciones territoriales; los instrumentos financieros definen cómo se pagan esas transformaciones. Si estos tres documentos no están articulados, cada administración diseña su propio plan sin garantizar la continuidad ni la sostenibilidad financiera. William reforzó este diagnóstico desde la experiencia medellinense:</w:t>
      </w:r>
    </w:p>
    <w:p>
      <w:pPr>
        <w:pStyle w:val="Quote"/>
      </w:pPr>
      <w:r>
        <w:rPr>
          <w:rFonts w:ascii="Georgia" w:hAnsi="Georgia"/>
          <w:i/>
          <w:color w:val="1A1A2E"/>
          <w:sz w:val="21"/>
        </w:rPr>
        <w:t>"El reto y yo creo que ahí la palabra clave es implementar los instrumentos... no queda otra, una es implementarlos, pero más allá de implementarlos yo creo que es que estos instrumentos puedan concurrir con las otras categorías de financiación."</w:t>
      </w:r>
    </w:p>
    <w:p>
      <w:pPr>
        <w:jc w:val="both"/>
      </w:pPr>
      <w:r>
        <w:rPr>
          <w:rFonts w:ascii="Montserrat" w:hAnsi="Montserrat"/>
          <w:color w:val="333333"/>
          <w:sz w:val="22"/>
        </w:rPr>
        <w:t>La palabra 'concurrir' es técnicamente precisa. No se trata de aplicar un instrumento aislado, sino de diseñar un portafolio donde predial, valorización, plusvalía, obligaciones urbanísticas, venta de derechos, deuda y precios públicos operen de manera simultánea y coordinada. Un plan financiero de mediano plazo es, en este sentido, un instrumento de gobernanza que trasciende la administración: obliga a la continuidad, a la transparencia y a la rendición de cuentas. Magda cerró este eje con una advertencia sobre la discontinuidad política:</w:t>
      </w:r>
    </w:p>
    <w:p>
      <w:pPr>
        <w:pStyle w:val="Quote"/>
      </w:pPr>
      <w:r>
        <w:rPr>
          <w:rFonts w:ascii="Georgia" w:hAnsi="Georgia"/>
          <w:i/>
          <w:color w:val="1A1A2E"/>
          <w:sz w:val="21"/>
        </w:rPr>
        <w:t>"No puede ser un alcalde cambiando de 'yo ya no quiero, ahora sí quiero'... tiene que haber continuidad."</w:t>
      </w:r>
    </w:p>
    <w:p>
      <w:pPr>
        <w:jc w:val="both"/>
      </w:pPr>
      <w:r>
        <w:rPr>
          <w:rFonts w:ascii="Montserrat" w:hAnsi="Montserrat"/>
          <w:color w:val="333333"/>
          <w:sz w:val="22"/>
        </w:rPr>
        <w:t>La continuidad no es un problema de voluntad individual: es un problema de institucionalización. Los instrumentos de captura de valor y los precios públicos deben estar incorporados en el POT, en el plan de desarrollo y en el plan financiero de mediano plazo de manera que su aplicación no dependa de la simpatía de un alcalde, sino de la obligatoriedad normativa. Esto requiere, como señaló Magda, fortalecer las capacidades institucionales no solo para diseñar, sino para ejecutar.</w:t>
      </w:r>
    </w:p>
    <w:p>
      <w:pPr>
        <w:pStyle w:val="Heading1"/>
      </w:pPr>
      <w:r>
        <w:t>4. CONSENSOS TÁCITOS IDENTIFICADOS</w:t>
      </w:r>
    </w:p>
    <w:p>
      <w:pPr>
        <w:pStyle w:val="Quote"/>
      </w:pPr>
      <w:r>
        <w:rPr>
          <w:rFonts w:ascii="Georgia" w:hAnsi="Georgia"/>
          <w:i/>
          <w:color w:val="1A1A2E"/>
          <w:sz w:val="21"/>
        </w:rPr>
        <w:t>Los consensos tácitos son acuerdos no explicitados de forma directa pero reconstruibles a partir de las intervenciones, silencios y énfasis discursivos de los panelistas.</w:t>
      </w:r>
    </w:p>
    <w:p>
      <w:pPr>
        <w:spacing w:after="120"/>
        <w:ind w:left="360" w:hanging="360"/>
      </w:pPr>
      <w:r>
        <w:rPr>
          <w:rFonts w:ascii="Montserrat" w:hAnsi="Montserrat"/>
          <w:color w:val="0B43F7"/>
          <w:sz w:val="20"/>
        </w:rPr>
        <w:t>●</w:t>
        <w:tab/>
      </w:r>
      <w:r>
        <w:rPr>
          <w:rFonts w:ascii="Montserrat" w:hAnsi="Montserrat"/>
          <w:color w:val="333333"/>
          <w:sz w:val="22"/>
        </w:rPr>
        <w:t>El impuesto predial es el instrumento base más importante del financiamiento territorial y su fortalecimiento debe preceder a la discusión de instrumentos alternativos. No se trata de abandonar el predial, sino de potenciarlo como 'cuota de administración' de la ciudad.</w:t>
      </w:r>
    </w:p>
    <w:p>
      <w:pPr>
        <w:spacing w:after="120"/>
        <w:ind w:left="360" w:hanging="360"/>
      </w:pPr>
      <w:r>
        <w:rPr>
          <w:rFonts w:ascii="Montserrat" w:hAnsi="Montserrat"/>
          <w:color w:val="0AB6F2"/>
          <w:sz w:val="20"/>
        </w:rPr>
        <w:t>●</w:t>
        <w:tab/>
      </w:r>
      <w:r>
        <w:rPr>
          <w:rFonts w:ascii="Montserrat" w:hAnsi="Montserrat"/>
          <w:color w:val="333333"/>
          <w:sz w:val="22"/>
        </w:rPr>
        <w:t>Los instrumentos de captura de valor del suelo no son novedades normativas: existen desde la Ley 388 de 1997 y la Constitución de 1991. El problema no es la ausencia de norma, sino la ausencia de implementación, reglamentación específica y capacidad institucional para operarlos.</w:t>
      </w:r>
    </w:p>
    <w:p>
      <w:pPr>
        <w:spacing w:after="120"/>
        <w:ind w:left="360" w:hanging="360"/>
      </w:pPr>
      <w:r>
        <w:rPr>
          <w:rFonts w:ascii="Montserrat" w:hAnsi="Montserrat"/>
          <w:color w:val="00CC30"/>
          <w:sz w:val="20"/>
        </w:rPr>
        <w:t>●</w:t>
        <w:tab/>
      </w:r>
      <w:r>
        <w:rPr>
          <w:rFonts w:ascii="Montserrat" w:hAnsi="Montserrat"/>
          <w:color w:val="333333"/>
          <w:sz w:val="22"/>
        </w:rPr>
        <w:t>La valorización y la plusvalía no son sustitutos sino complementarios, con campos de aplicación diferenciados según el ciclo de desarrollo territorial: la plusvalía regulatoria es más eficiente en zonas de expansión; la valorización es más certera en zonas consolidadas; las obligaciones urbanísticas funcionan en ambos contextos como mecanismo de cierre financiero.</w:t>
      </w:r>
    </w:p>
    <w:p>
      <w:pPr>
        <w:spacing w:after="120"/>
        <w:ind w:left="360" w:hanging="360"/>
      </w:pPr>
      <w:r>
        <w:rPr>
          <w:rFonts w:ascii="Montserrat" w:hAnsi="Montserrat"/>
          <w:color w:val="6CD3A5"/>
          <w:sz w:val="20"/>
        </w:rPr>
        <w:t>●</w:t>
        <w:tab/>
      </w:r>
      <w:r>
        <w:rPr>
          <w:rFonts w:ascii="Montserrat" w:hAnsi="Montserrat"/>
          <w:color w:val="333333"/>
          <w:sz w:val="22"/>
        </w:rPr>
        <w:t>La integración entre Hacienda y Planeación no es un asunto administrativo de coordinación interinstitucional: es una condición de viabilidad técnica de los instrumentos. Sin proyección financiera conjunta, los POT se quedan en declaraciones sin operatividad.</w:t>
      </w:r>
    </w:p>
    <w:p>
      <w:pPr>
        <w:spacing w:after="120"/>
        <w:ind w:left="360" w:hanging="360"/>
      </w:pPr>
      <w:r>
        <w:rPr>
          <w:rFonts w:ascii="Montserrat" w:hAnsi="Montserrat"/>
          <w:color w:val="0B43F7"/>
          <w:sz w:val="20"/>
        </w:rPr>
        <w:t>●</w:t>
        <w:tab/>
      </w:r>
      <w:r>
        <w:rPr>
          <w:rFonts w:ascii="Montserrat" w:hAnsi="Montserrat"/>
          <w:color w:val="333333"/>
          <w:sz w:val="22"/>
        </w:rPr>
        <w:t>Los precios públicos constituyen una frontera subexplorada de financiación territorial que permite rentabilizar activos estatales sin depender de la potestad tributaria, con menor resistencia política y mayor flexibilidad operativa.</w:t>
      </w:r>
    </w:p>
    <w:p>
      <w:pPr>
        <w:spacing w:after="120"/>
        <w:ind w:left="360" w:hanging="360"/>
      </w:pPr>
      <w:r>
        <w:rPr>
          <w:rFonts w:ascii="Montserrat" w:hAnsi="Montserrat"/>
          <w:color w:val="0AB6F2"/>
          <w:sz w:val="20"/>
        </w:rPr>
        <w:t>●</w:t>
        <w:tab/>
      </w:r>
      <w:r>
        <w:rPr>
          <w:rFonts w:ascii="Montserrat" w:hAnsi="Montserrat"/>
          <w:color w:val="333333"/>
          <w:sz w:val="22"/>
        </w:rPr>
        <w:t>La discontinuidad política es el principal enemigo de la sostenibilidad financiera territorial. Los instrumentos deben institucionalizarse en el POT, en el plan de desarrollo y en el plan financiero de mediano plazo para que su aplicación trascienda los ciclos electorales.</w:t>
      </w:r>
    </w:p>
    <w:p>
      <w:pPr>
        <w:pStyle w:val="Heading1"/>
      </w:pPr>
      <w:r>
        <w:t>5. TENSIONES Y DESACUERDOS ESTRATÉGICOS</w:t>
      </w:r>
    </w:p>
    <w:p>
      <w:pPr>
        <w:pStyle w:val="Quote"/>
      </w:pPr>
      <w:r>
        <w:rPr>
          <w:rFonts w:ascii="Georgia" w:hAnsi="Georgia"/>
          <w:i/>
          <w:color w:val="1A1A2E"/>
          <w:sz w:val="21"/>
        </w:rPr>
        <w:t>Las tensiones no son necesariamente conflictos abiertos, sino fricciones estructurales que condicionan la viabilidad de las propuestas.</w:t>
      </w:r>
    </w:p>
    <w:p>
      <w:pPr>
        <w:spacing w:after="120"/>
        <w:ind w:left="360" w:hanging="360"/>
      </w:pPr>
      <w:r>
        <w:rPr>
          <w:rFonts w:ascii="Montserrat" w:hAnsi="Montserrat"/>
          <w:color w:val="0B43F7"/>
          <w:sz w:val="20"/>
        </w:rPr>
        <w:t>●</w:t>
        <w:tab/>
      </w:r>
      <w:r>
        <w:rPr>
          <w:rFonts w:ascii="Montserrat" w:hAnsi="Montserrat"/>
          <w:color w:val="333333"/>
          <w:sz w:val="22"/>
        </w:rPr>
        <w:t>Tensión entre la autonomía territorial nominal y la capacidad real: la Constitución de 1991 otorga a los municipios la potestad sobre los tributos a la propiedad, pero la mayoría carece de la capacidad técnica para estructurar instrumentos complejos como la titularización del predial futuro o la plusvalía generalizada. Esto genera una brecha entre ciudades que pueden innovar y municipios que ni siquiera pueden operar lo básico.</w:t>
      </w:r>
    </w:p>
    <w:p>
      <w:pPr>
        <w:spacing w:after="120"/>
        <w:ind w:left="360" w:hanging="360"/>
      </w:pPr>
      <w:r>
        <w:rPr>
          <w:rFonts w:ascii="Montserrat" w:hAnsi="Montserrat"/>
          <w:color w:val="0AB6F2"/>
          <w:sz w:val="20"/>
        </w:rPr>
        <w:t>●</w:t>
        <w:tab/>
      </w:r>
      <w:r>
        <w:rPr>
          <w:rFonts w:ascii="Montserrat" w:hAnsi="Montserrat"/>
          <w:color w:val="333333"/>
          <w:sz w:val="22"/>
        </w:rPr>
        <w:t>Tensión entre la lógica tributaria y la lógica de mercado: la valorización opera bajo una lógica de contribución obligatoria vinculada a obra pública; los precios públicos operan bajo una lógica de relación contractual voluntaria. La articulación de ambas lógicas en un mismo plan financiero requiere una sofisticación administrativa que muchas entidades no tienen.</w:t>
      </w:r>
    </w:p>
    <w:p>
      <w:pPr>
        <w:spacing w:after="120"/>
        <w:ind w:left="360" w:hanging="360"/>
      </w:pPr>
      <w:r>
        <w:rPr>
          <w:rFonts w:ascii="Montserrat" w:hAnsi="Montserrat"/>
          <w:color w:val="00CC30"/>
          <w:sz w:val="20"/>
        </w:rPr>
        <w:t>●</w:t>
        <w:tab/>
      </w:r>
      <w:r>
        <w:rPr>
          <w:rFonts w:ascii="Montserrat" w:hAnsi="Montserrat"/>
          <w:color w:val="333333"/>
          <w:sz w:val="22"/>
        </w:rPr>
        <w:t>Tensión entre el corto plazo electoral y el largo plazo de los instrumentos de suelo: la plusvalía, la valorización y la venta de derechos de construcción generan recaudo en horizontes que exceden un período de gobierno. Los alcaldes prefieren instrumentos de efecto inmediato (deuda, transferencias) sobre instrumentos cuyo beneficio recaerá en administraciones futuras.</w:t>
      </w:r>
    </w:p>
    <w:p>
      <w:pPr>
        <w:spacing w:after="120"/>
        <w:ind w:left="360" w:hanging="360"/>
      </w:pPr>
      <w:r>
        <w:rPr>
          <w:rFonts w:ascii="Montserrat" w:hAnsi="Montserrat"/>
          <w:color w:val="6CD3A5"/>
          <w:sz w:val="20"/>
        </w:rPr>
        <w:t>●</w:t>
        <w:tab/>
      </w:r>
      <w:r>
        <w:rPr>
          <w:rFonts w:ascii="Montserrat" w:hAnsi="Montserrat"/>
          <w:color w:val="333333"/>
          <w:sz w:val="22"/>
        </w:rPr>
        <w:t>Tensión entre rigidez normativa y necesidad de flexibilidad: la Ley 388 es criticada por ser genérica en sus capítulos de financiación, pero una reforma que la vuelva excesivamente detallada podría reducir la autonomía local para adaptar instrumentos a contextos específicos. La tensión está en encontrar el punto medio entre piso normativo y techo regulatorio.</w:t>
      </w:r>
    </w:p>
    <w:p>
      <w:pPr>
        <w:spacing w:after="120"/>
        <w:ind w:left="360" w:hanging="360"/>
      </w:pPr>
      <w:r>
        <w:rPr>
          <w:rFonts w:ascii="Montserrat" w:hAnsi="Montserrat"/>
          <w:color w:val="0B43F7"/>
          <w:sz w:val="20"/>
        </w:rPr>
        <w:t>●</w:t>
        <w:tab/>
      </w:r>
      <w:r>
        <w:rPr>
          <w:rFonts w:ascii="Montserrat" w:hAnsi="Montserrat"/>
          <w:color w:val="333333"/>
          <w:sz w:val="22"/>
        </w:rPr>
        <w:t>Tensión entre captura de valor y carga ciudadana: aunque los panelistas coincidieron en que la ciudadanía acepta pagar cuando ve resultados, no se abordó en profundidad cómo proteger a los hogares vulnerables frente a incrementos de carga tributaria o presión inmobiliaria derivada de la aplicación de estos instrumentos.</w:t>
      </w:r>
    </w:p>
    <w:p>
      <w:pPr>
        <w:pStyle w:val="Heading1"/>
      </w:pPr>
      <w:r>
        <w:t>6. INSIGHTS ESTRATÉGICOS</w:t>
      </w:r>
    </w:p>
    <w:p>
      <w:pPr>
        <w:pStyle w:val="Quote"/>
      </w:pPr>
      <w:r>
        <w:rPr>
          <w:rFonts w:ascii="Georgia" w:hAnsi="Georgia"/>
          <w:i/>
          <w:color w:val="1A1A2E"/>
          <w:sz w:val="21"/>
        </w:rPr>
        <w:t>Interpretaciones que trascienden lo descriptivo y señalan patrones estructurales oportunos para la incidencia.</w:t>
      </w:r>
    </w:p>
    <w:p>
      <w:pPr>
        <w:spacing w:after="120"/>
        <w:ind w:left="360" w:hanging="360"/>
      </w:pPr>
      <w:r>
        <w:rPr>
          <w:rFonts w:ascii="Montserrat" w:hAnsi="Montserrat"/>
          <w:color w:val="0B43F7"/>
          <w:sz w:val="20"/>
        </w:rPr>
        <w:t>●</w:t>
        <w:tab/>
      </w:r>
      <w:r>
        <w:rPr>
          <w:rFonts w:ascii="Montserrat" w:hAnsi="Montserrat"/>
          <w:color w:val="333333"/>
          <w:sz w:val="22"/>
        </w:rPr>
        <w:t>La categorización de William en tres fuentes de financiación (recursos propios tradicionales, instrumentos de captura de valor del suelo, fuentes alternativas con el privado) ofrece un marco operativo para el diseño de planes financieros de mediano plazo. Este marco debería ser estandarizado por el Ministerio de Hacienda como guía metodológica para todos los entes territoriales.</w:t>
      </w:r>
    </w:p>
    <w:p>
      <w:pPr>
        <w:spacing w:after="120"/>
        <w:ind w:left="360" w:hanging="360"/>
      </w:pPr>
      <w:r>
        <w:rPr>
          <w:rFonts w:ascii="Montserrat" w:hAnsi="Montserrat"/>
          <w:color w:val="0AB6F2"/>
          <w:sz w:val="20"/>
        </w:rPr>
        <w:t>●</w:t>
        <w:tab/>
      </w:r>
      <w:r>
        <w:rPr>
          <w:rFonts w:ascii="Montserrat" w:hAnsi="Montserrat"/>
          <w:color w:val="333333"/>
          <w:sz w:val="22"/>
        </w:rPr>
        <w:t>La venta de derechos adicionales de construcción es un instrumento de 'mercado administrado' que permite al Estado capturar valor sin imponer carga tributaria directa. Su potencial es subestimado: no requiere identificar beneficiarios ni calcular plusvalías, solo fijar un precio por capacidad constructiva adicional y dejar que el mercado lo demande. Esto reduce la resistencia política y simplifica la administración.</w:t>
      </w:r>
    </w:p>
    <w:p>
      <w:pPr>
        <w:spacing w:after="120"/>
        <w:ind w:left="360" w:hanging="360"/>
      </w:pPr>
      <w:r>
        <w:rPr>
          <w:rFonts w:ascii="Montserrat" w:hAnsi="Montserrat"/>
          <w:color w:val="00CC30"/>
          <w:sz w:val="20"/>
        </w:rPr>
        <w:t>●</w:t>
        <w:tab/>
      </w:r>
      <w:r>
        <w:rPr>
          <w:rFonts w:ascii="Montserrat" w:hAnsi="Montserrat"/>
          <w:color w:val="333333"/>
          <w:sz w:val="22"/>
        </w:rPr>
        <w:t>Los precios públicos representan una vía de escape de la trampa tributaria. En un contexto donde la resistencia al incremento de impuestos es alta y la capacidad de endeudamiento está agotándose, los precios públicos permiten generar ingresos mediante la rentabilización de activos ociosos. La jurisprudencia del Consejo de Estado (Cúcuta, Risaralda, IDEAM) ya abrió la puerta; falta que las administraciones se atrevan a cruzarla.</w:t>
      </w:r>
    </w:p>
    <w:p>
      <w:pPr>
        <w:spacing w:after="120"/>
        <w:ind w:left="360" w:hanging="360"/>
      </w:pPr>
      <w:r>
        <w:rPr>
          <w:rFonts w:ascii="Montserrat" w:hAnsi="Montserrat"/>
          <w:color w:val="6CD3A5"/>
          <w:sz w:val="20"/>
        </w:rPr>
        <w:t>●</w:t>
        <w:tab/>
      </w:r>
      <w:r>
        <w:rPr>
          <w:rFonts w:ascii="Montserrat" w:hAnsi="Montserrat"/>
          <w:color w:val="333333"/>
          <w:sz w:val="22"/>
        </w:rPr>
        <w:t>La distinción entre plusvalía para expansión y valorización para consolidación, desarrollada por Magda, debería traducirse en un manual de campo para planificadores territoriales. Muchos municipios aplican instrumentos inadecuados a su contexto (plusvalía en zonas consolidadas, valorización en zonas rurales) porque no tienen una guía que les permita diagnosticar su situación y elegir el mecanismo apropiado.</w:t>
      </w:r>
    </w:p>
    <w:p>
      <w:pPr>
        <w:pStyle w:val="Heading1"/>
      </w:pPr>
      <w:r>
        <w:t>7. SÍNTESIS EN CALIENTE — POLICY SNAPSHOT</w:t>
      </w:r>
    </w:p>
    <w:p>
      <w:pPr>
        <w:pStyle w:val="Quote"/>
      </w:pPr>
      <w:r>
        <w:rPr>
          <w:rFonts w:ascii="Georgia" w:hAnsi="Georgia"/>
          <w:i/>
          <w:color w:val="1A1A2E"/>
          <w:sz w:val="21"/>
        </w:rPr>
        <w:t>Completada inmediatamente al cierre del panel. La frescura de esta síntesis es irremplazable; después de 24 horas el contexto implícito se diluye.</w:t>
      </w:r>
    </w:p>
    <w:p>
      <w:pPr>
        <w:pStyle w:val="Heading2"/>
      </w:pPr>
      <w:r>
        <w:t>D.1 Hallazgo principal con potencial de incidencia política</w:t>
      </w:r>
    </w:p>
    <w:p>
      <w:pPr>
        <w:jc w:val="both"/>
      </w:pPr>
      <w:r>
        <w:rPr>
          <w:rFonts w:ascii="Montserrat" w:hAnsi="Montserrat"/>
          <w:color w:val="333333"/>
          <w:sz w:val="22"/>
        </w:rPr>
        <w:t>Colombia no necesita nuevos impuestos ni nuevas leyes para diversificar la financiación del desarrollo territorial: necesita implementar lo que ya tiene. La Constitución de 1991, la Ley 388 de 1997 y la jurisprudencia constitucional (Sentencias C-927/2006 y C-401/2010) ya habilitan un portafolio completo de instrumentos: impuesto predial fortalecido, contribución de valorización, participación en plusvalía, obligaciones urbanísticas, venta de derechos adicionales de construcción y precios públicos. Sin embargo, la brecha entre la existencia normativa y la operatividad institucional es abismal. El hallazgo central es que esta brecha no se cierra con más normas, sino con tres acciones convergentes: (1) fortalecimiento de capacidades técnicas en los equipos de hacienda y planeación de los entes territoriales; (2) integración metodológica de los planes de desarrollo, el POT y los planes financieros de mediano plazo; y (3) institucionalización de los instrumentos para que su aplicación trascienda los ciclos electorales. La ventana de oportunidad está en la convergencia entre la revisión de POT en ciudades capitales (Medellín, Bogotá) y la disposición del nuevo gobierno nacional hacia la transformación urbana.</w:t>
      </w:r>
    </w:p>
    <w:p>
      <w:pPr>
        <w:pStyle w:val="Heading2"/>
      </w:pPr>
      <w:r>
        <w:t>D.2 Alerta territorial crítica</w:t>
      </w:r>
    </w:p>
    <w:p>
      <w:pPr>
        <w:jc w:val="both"/>
      </w:pPr>
      <w:r>
        <w:rPr>
          <w:rFonts w:ascii="Montserrat" w:hAnsi="Montserrat"/>
          <w:color w:val="333333"/>
          <w:sz w:val="22"/>
        </w:rPr>
        <w:t>Existe un riesgo de profundización de la brecha entre ciudades-capital y municipios intermedios y pequeños. Mientras Medellín y Bogotá avanzan en la estructuración de portafolios diversificados de financiación (titularización, venta de derechos, obligaciones urbanísticas, precios públicos), la mayoría de los municipios de categoría quinta y sexta ni siquiera cuentan con un catastro actualizado o con un POT vigente. Si la innovación en financiación territorial se concentra en las grandes ciudades, el sistema nacional de ciudades se fracturará en dos velocidades: unas pocas urbes con capacidad de autofinanciación y un país mayoritario dependiente de transferencias nacionales. La alerta es que la diversificación de fuentes de financiación, sin una política de asistencia técnica y transferencia de conocimiento, puede aumentar en lugar de reducir la desigualdad territorial.</w:t>
      </w:r>
    </w:p>
    <w:p>
      <w:pPr>
        <w:pStyle w:val="Heading2"/>
      </w:pPr>
      <w:r>
        <w:rPr>
          <w:color w:val="6CD3A5"/>
        </w:rPr>
        <w:t>D.3 Oportunidad de sinergia interinstitucional</w:t>
      </w:r>
    </w:p>
    <w:p>
      <w:pPr>
        <w:jc w:val="both"/>
      </w:pPr>
      <w:r>
        <w:rPr>
          <w:rFonts w:ascii="Montserrat" w:hAnsi="Montserrat"/>
          <w:color w:val="333333"/>
          <w:sz w:val="22"/>
        </w:rPr>
        <w:t>Articulación inmediata entre Ministerio de Hacienda, Ministerio de Vivienda, DNP y MinCiencias para producir: (1) una guía metodológica de planes financieros de mediano plazo que integre las tres categorías de financiación (recursos propios, captura de valor, fuentes alternativas); (2) un programa de fortalecimiento de capacidades dirigido a secretarías de hacienda y departamentos de planeación de municipios de categoría intermedia; y (3) una ventanilla de asistencia técnica para la implementación de precios públicos, aprovechando la jurisprudencia favorable del Consejo de Estado. La cooperación internacional (BID, CAF, Banco Mundial, Lincoln Institute) puede financiar la asistencia técnica y la sistematización de experiencias exitosas para replicación.</w:t>
      </w:r>
    </w:p>
    <w:p>
      <w:pPr>
        <w:pStyle w:val="Heading2"/>
      </w:pPr>
      <w:r>
        <w:t>D.4 Insight del sistematizador (lectura interpretativa)</w:t>
      </w:r>
    </w:p>
    <w:p>
      <w:pPr>
        <w:jc w:val="both"/>
      </w:pPr>
      <w:r>
        <w:rPr>
          <w:rFonts w:ascii="Montserrat" w:hAnsi="Montserrat"/>
          <w:color w:val="333333"/>
          <w:sz w:val="22"/>
        </w:rPr>
        <w:t>El panel reveló una paradoja institucional: Colombia tiene una de las arquitecturas normativas más avanzadas de América Latina en materia de captura de valor del suelo, pero una de las tasas de implementación más bajas. Esta paradoja no se explica por la resistencia ciudadana ni por la ausencia de instrumentos: se explica por una falla de gobernanza fiscal intermedia. Los técnicos de planeación diseñan POT que no se financian; los técnicos de hacienda cobran impuestos que no se vinculan a proyectos; los concejos aprueban acuerdos que no se ejecutan; y los alcaldes inauguran obras que no se sostienen. La solución no es más norma: es más articulación. La metáfora del predial como 'cuota de administración de la copropiedad' y la categorización de William en tres fuentes de financiación son ejemplos de cómo la traducción conceptual puede ser más poderosa que la innovación normativa. El reto para el nuevo gobierno no es inventar, sino conectar: conectar hacienda con planeación, conectar norma con implementación, conectar recaudo con reinversión visible, conectar ciudadanía con beneficiario.</w:t>
      </w:r>
    </w:p>
    <w:p>
      <w:pPr>
        <w:pStyle w:val="Heading1"/>
      </w:pPr>
      <w:r>
        <w:t>8. IMPLICACIONES PARA POLÍTICA PÚBLICA</w:t>
      </w:r>
    </w:p>
    <w:p>
      <w:pPr>
        <w:pStyle w:val="Quote"/>
      </w:pPr>
      <w:r>
        <w:rPr>
          <w:rFonts w:ascii="Georgia" w:hAnsi="Georgia"/>
          <w:i/>
          <w:color w:val="1A1A2E"/>
          <w:sz w:val="21"/>
        </w:rPr>
        <w:t>Recomendaciones accionables derivadas de la lectura cruzada de argumentos, consensos y tensiones.</w:t>
      </w:r>
    </w:p>
    <w:p>
      <w:pPr>
        <w:spacing w:after="120"/>
        <w:ind w:left="360" w:hanging="360"/>
      </w:pPr>
      <w:r>
        <w:rPr>
          <w:rFonts w:ascii="Montserrat" w:hAnsi="Montserrat"/>
          <w:color w:val="0B43F7"/>
          <w:sz w:val="20"/>
        </w:rPr>
        <w:t>●</w:t>
        <w:tab/>
      </w:r>
      <w:r>
        <w:rPr>
          <w:rFonts w:ascii="Montserrat" w:hAnsi="Montserrat"/>
          <w:color w:val="333333"/>
          <w:sz w:val="22"/>
        </w:rPr>
        <w:t>Fortalecimiento del impuesto predial como pilar del financiamiento territorial mediante actualización catastral masiva, tarifación progresiva y campañas de cultura tributaria que lo presenten como 'cuota de administración de la copropiedad ciudadana' y no como carga fiscal.</w:t>
      </w:r>
    </w:p>
    <w:p>
      <w:pPr>
        <w:spacing w:after="120"/>
        <w:ind w:left="360" w:hanging="360"/>
      </w:pPr>
      <w:r>
        <w:rPr>
          <w:rFonts w:ascii="Montserrat" w:hAnsi="Montserrat"/>
          <w:color w:val="0AB6F2"/>
          <w:sz w:val="20"/>
        </w:rPr>
        <w:t>●</w:t>
        <w:tab/>
      </w:r>
      <w:r>
        <w:rPr>
          <w:rFonts w:ascii="Montserrat" w:hAnsi="Montserrat"/>
          <w:color w:val="333333"/>
          <w:sz w:val="22"/>
        </w:rPr>
        <w:t>Diseño de un manual metodológico nacional para la selección de instrumentos de captura de valor según contexto territorial: plusvalía regulatoria para zonas de expansión, valorización para zonas consolidadas con obra pública específica, obligaciones urbanísticas para renovación y densificación, venta de derechos de construcción para ciudades con alta presión inmobiliaria.</w:t>
      </w:r>
    </w:p>
    <w:p>
      <w:pPr>
        <w:spacing w:after="120"/>
        <w:ind w:left="360" w:hanging="360"/>
      </w:pPr>
      <w:r>
        <w:rPr>
          <w:rFonts w:ascii="Montserrat" w:hAnsi="Montserrat"/>
          <w:color w:val="00CC30"/>
          <w:sz w:val="20"/>
        </w:rPr>
        <w:t>●</w:t>
        <w:tab/>
      </w:r>
      <w:r>
        <w:rPr>
          <w:rFonts w:ascii="Montserrat" w:hAnsi="Montserrat"/>
          <w:color w:val="333333"/>
          <w:sz w:val="22"/>
        </w:rPr>
        <w:t>Creación de un plan financiero de mediano plazo obligatorio para todos los entes territoriales, articulado con el plan de desarrollo y el POT, que proyecte las tres categorías de financiación (recursos propios, captura de valor, fuentes alternativas) en un horizonte mínimo de 12 años.</w:t>
      </w:r>
    </w:p>
    <w:p>
      <w:pPr>
        <w:spacing w:after="120"/>
        <w:ind w:left="360" w:hanging="360"/>
      </w:pPr>
      <w:r>
        <w:rPr>
          <w:rFonts w:ascii="Montserrat" w:hAnsi="Montserrat"/>
          <w:color w:val="6CD3A5"/>
          <w:sz w:val="20"/>
        </w:rPr>
        <w:t>●</w:t>
        <w:tab/>
      </w:r>
      <w:r>
        <w:rPr>
          <w:rFonts w:ascii="Montserrat" w:hAnsi="Montserrat"/>
          <w:color w:val="333333"/>
          <w:sz w:val="22"/>
        </w:rPr>
        <w:t>Implementación de programas de precios públicos en las entidades territoriales, a partir de inventarios de activos ociosos (bienes inmuebles, maquinaria, servicios especializados) y con asistencia técnica del nivel nacional para la estructuración de tarifas remunerativas.</w:t>
      </w:r>
    </w:p>
    <w:p>
      <w:pPr>
        <w:spacing w:after="120"/>
        <w:ind w:left="360" w:hanging="360"/>
      </w:pPr>
      <w:r>
        <w:rPr>
          <w:rFonts w:ascii="Montserrat" w:hAnsi="Montserrat"/>
          <w:color w:val="0B43F7"/>
          <w:sz w:val="20"/>
        </w:rPr>
        <w:t>●</w:t>
        <w:tab/>
      </w:r>
      <w:r>
        <w:rPr>
          <w:rFonts w:ascii="Montserrat" w:hAnsi="Montserrat"/>
          <w:color w:val="333333"/>
          <w:sz w:val="22"/>
        </w:rPr>
        <w:t>Fortalecimiento de capacidades institucionales mediante programas de formación conjunta para equipos de hacienda y planeación, con énfasis en project finance territorial, estructuración de obligaciones urbanísticas, reglamentación de plusvalía y diseño de precios públicos.</w:t>
      </w:r>
    </w:p>
    <w:p>
      <w:pPr>
        <w:pStyle w:val="Heading1"/>
      </w:pPr>
      <w:r>
        <w:t>9. IMPLICACIONES ESPECÍFICAS PARA POLÍTICA NACIONAL</w:t>
      </w:r>
    </w:p>
    <w:p>
      <w:pPr>
        <w:pStyle w:val="Quote"/>
      </w:pPr>
      <w:r>
        <w:rPr>
          <w:rFonts w:ascii="Georgia" w:hAnsi="Georgia"/>
          <w:i/>
          <w:color w:val="1A1A2E"/>
          <w:sz w:val="21"/>
        </w:rPr>
        <w:t>Orientaciones dirigidas al nivel central del Estado.</w:t>
      </w:r>
    </w:p>
    <w:p>
      <w:pPr>
        <w:spacing w:after="120"/>
        <w:ind w:left="360" w:hanging="360"/>
      </w:pPr>
      <w:r>
        <w:rPr>
          <w:rFonts w:ascii="Montserrat" w:hAnsi="Montserrat"/>
          <w:color w:val="0B43F7"/>
          <w:sz w:val="20"/>
        </w:rPr>
        <w:t>●</w:t>
        <w:tab/>
      </w:r>
      <w:r>
        <w:rPr>
          <w:rFonts w:ascii="Montserrat" w:hAnsi="Montserrat"/>
          <w:color w:val="333333"/>
          <w:sz w:val="22"/>
        </w:rPr>
        <w:t>El Ministerio de Hacienda debe liderar, en coordinación con el DNP y el Ministerio de Vivienda, la elaboración de una guía metodológica de planes financieros de mediano plazo para entes territoriales, que integre las tres categorías de financiación identificadas en el panel y establezca indicadores de seguimiento de ejecución.</w:t>
      </w:r>
    </w:p>
    <w:p>
      <w:pPr>
        <w:spacing w:after="120"/>
        <w:ind w:left="360" w:hanging="360"/>
      </w:pPr>
      <w:r>
        <w:rPr>
          <w:rFonts w:ascii="Montserrat" w:hAnsi="Montserrat"/>
          <w:color w:val="0AB6F2"/>
          <w:sz w:val="20"/>
        </w:rPr>
        <w:t>●</w:t>
        <w:tab/>
      </w:r>
      <w:r>
        <w:rPr>
          <w:rFonts w:ascii="Montserrat" w:hAnsi="Montserrat"/>
          <w:color w:val="333333"/>
          <w:sz w:val="22"/>
        </w:rPr>
        <w:t>El Ministerio de Vivienda debe actualizar el decreto 1077 de 2015 y el decreto 1232 para clarificar los contenidos del programa de ejecución del POT, estableciendo de manera explícita la vinculación entre decisiones de ordenamiento, hechos generadores de captura de valor y proyecciones de recaudo.</w:t>
      </w:r>
    </w:p>
    <w:p>
      <w:pPr>
        <w:spacing w:after="120"/>
        <w:ind w:left="360" w:hanging="360"/>
      </w:pPr>
      <w:r>
        <w:rPr>
          <w:rFonts w:ascii="Montserrat" w:hAnsi="Montserrat"/>
          <w:color w:val="00CC30"/>
          <w:sz w:val="20"/>
        </w:rPr>
        <w:t>●</w:t>
        <w:tab/>
      </w:r>
      <w:r>
        <w:rPr>
          <w:rFonts w:ascii="Montserrat" w:hAnsi="Montserrat"/>
          <w:color w:val="333333"/>
          <w:sz w:val="22"/>
        </w:rPr>
        <w:t>La Procuraduría General de la Nación y el Consejo de Estado deben producir una guía jurisprudencial consolidada sobre precios públicos territoriales, sistematizando los fallos favorables (Cúcuta, Risaralda, IDEAM) y estableciendo parámetros de legalidad para que las administraciones territoriales puedan diseñar tarifas con seguridad jurídica.</w:t>
      </w:r>
    </w:p>
    <w:p>
      <w:pPr>
        <w:spacing w:after="120"/>
        <w:ind w:left="360" w:hanging="360"/>
      </w:pPr>
      <w:r>
        <w:rPr>
          <w:rFonts w:ascii="Montserrat" w:hAnsi="Montserrat"/>
          <w:color w:val="6CD3A5"/>
          <w:sz w:val="20"/>
        </w:rPr>
        <w:t>●</w:t>
        <w:tab/>
      </w:r>
      <w:r>
        <w:rPr>
          <w:rFonts w:ascii="Montserrat" w:hAnsi="Montserrat"/>
          <w:color w:val="333333"/>
          <w:sz w:val="22"/>
        </w:rPr>
        <w:t>MinCiencias y el SNCTI deben incorporar la innovación en financiación territorial y gestión del suelo como línea explícita de generación de conocimiento policy-ready, financiando estudios comparados de implementación de instrumentos de captura de valor en contextos latinoamericanos y pilotos de precios públicos en municipios de categoría intermedia.</w:t>
      </w:r>
    </w:p>
    <w:p>
      <w:pPr>
        <w:pStyle w:val="Heading1"/>
      </w:pPr>
      <w:r>
        <w:t>10. CODIFICACIÓN PARA ANÁLISIS CRUZADO Y CONSOLIDACIÓN</w:t>
      </w:r>
    </w:p>
    <w:p>
      <w:pPr>
        <w:pStyle w:val="Quote"/>
      </w:pPr>
      <w:r>
        <w:rPr>
          <w:rFonts w:ascii="Georgia" w:hAnsi="Georgia"/>
          <w:i/>
          <w:color w:val="1A1A2E"/>
          <w:sz w:val="21"/>
        </w:rPr>
        <w:t>Marcado de categorías según metodología FPT 2026 para alimentar la matriz de consolidación cruzada y el dashboard de conteos automáticos.</w:t>
      </w:r>
    </w:p>
    <w:p>
      <w:pPr>
        <w:pStyle w:val="Heading2"/>
      </w:pPr>
      <w:r>
        <w:t>E.1 Dimensiones temáticas</w:t>
      </w:r>
    </w:p>
    <w:p>
      <w:pPr>
        <w:spacing w:after="120"/>
        <w:ind w:left="360" w:hanging="360"/>
      </w:pPr>
      <w:r>
        <w:rPr>
          <w:rFonts w:ascii="Montserrat" w:hAnsi="Montserrat"/>
          <w:color w:val="0B43F7"/>
          <w:sz w:val="20"/>
        </w:rPr>
        <w:t>●</w:t>
        <w:tab/>
      </w:r>
      <w:r>
        <w:rPr>
          <w:rFonts w:ascii="Montserrat" w:hAnsi="Montserrat"/>
          <w:color w:val="333333"/>
          <w:sz w:val="22"/>
        </w:rPr>
        <w:t>Marco normativo / regulatorio — Aplica: Ley 388 de 1997, Decreto 1077, Decreto 1232, Sentencias C-927/2006 y C-401/2010, Acuerdo 48 de Medellín</w:t>
      </w:r>
    </w:p>
    <w:p>
      <w:pPr>
        <w:spacing w:after="120"/>
        <w:ind w:left="360" w:hanging="360"/>
      </w:pPr>
      <w:r>
        <w:rPr>
          <w:rFonts w:ascii="Montserrat" w:hAnsi="Montserrat"/>
          <w:color w:val="0B43F7"/>
          <w:sz w:val="20"/>
        </w:rPr>
        <w:t>●</w:t>
        <w:tab/>
      </w:r>
      <w:r>
        <w:rPr>
          <w:rFonts w:ascii="Montserrat" w:hAnsi="Montserrat"/>
          <w:color w:val="333333"/>
          <w:sz w:val="22"/>
        </w:rPr>
        <w:t>Gestión catastral / tributaria — Aplica: Impuesto predial como instrumento base, actualización catastral, recaudo 0,6% del PIB</w:t>
      </w:r>
    </w:p>
    <w:p>
      <w:pPr>
        <w:spacing w:after="120"/>
        <w:ind w:left="360" w:hanging="360"/>
      </w:pPr>
      <w:r>
        <w:rPr>
          <w:rFonts w:ascii="Montserrat" w:hAnsi="Montserrat"/>
          <w:color w:val="0B43F7"/>
          <w:sz w:val="20"/>
        </w:rPr>
        <w:t>●</w:t>
        <w:tab/>
      </w:r>
      <w:r>
        <w:rPr>
          <w:rFonts w:ascii="Montserrat" w:hAnsi="Montserrat"/>
          <w:color w:val="333333"/>
          <w:sz w:val="22"/>
        </w:rPr>
        <w:t>Descentralización / autonomía territorial — Aplica: Autonomía fiscal municipal, artículos 1 y 82 de la Constitución de 1991, artículo 300</w:t>
      </w:r>
    </w:p>
    <w:p>
      <w:pPr>
        <w:spacing w:after="120"/>
        <w:ind w:left="360" w:hanging="360"/>
      </w:pPr>
      <w:r>
        <w:rPr>
          <w:rFonts w:ascii="Montserrat" w:hAnsi="Montserrat"/>
          <w:color w:val="0B43F7"/>
          <w:sz w:val="20"/>
        </w:rPr>
        <w:t>●</w:t>
        <w:tab/>
      </w:r>
      <w:r>
        <w:rPr>
          <w:rFonts w:ascii="Montserrat" w:hAnsi="Montserrat"/>
          <w:color w:val="333333"/>
          <w:sz w:val="22"/>
        </w:rPr>
        <w:t>Financiación / fuentes alternativas — Aplica: Plusvalía, valorización, obligaciones urbanísticas, venta de derechos de construcción, precios públicos</w:t>
      </w:r>
    </w:p>
    <w:p>
      <w:pPr>
        <w:spacing w:after="120"/>
        <w:ind w:left="360" w:hanging="360"/>
      </w:pPr>
      <w:r>
        <w:rPr>
          <w:rFonts w:ascii="Montserrat" w:hAnsi="Montserrat"/>
          <w:color w:val="0B43F7"/>
          <w:sz w:val="20"/>
        </w:rPr>
        <w:t>●</w:t>
        <w:tab/>
      </w:r>
      <w:r>
        <w:rPr>
          <w:rFonts w:ascii="Montserrat" w:hAnsi="Montserrat"/>
          <w:color w:val="333333"/>
          <w:sz w:val="22"/>
        </w:rPr>
        <w:t>Infraestructura pública / valorización — Aplica: Contribución de valorización para obra pública, obligaciones urbanísticas para infraestructura</w:t>
      </w:r>
    </w:p>
    <w:p>
      <w:pPr>
        <w:spacing w:after="120"/>
        <w:ind w:left="360" w:hanging="360"/>
      </w:pPr>
      <w:r>
        <w:rPr>
          <w:rFonts w:ascii="Montserrat" w:hAnsi="Montserrat"/>
          <w:color w:val="0B43F7"/>
          <w:sz w:val="20"/>
        </w:rPr>
        <w:t>●</w:t>
        <w:tab/>
      </w:r>
      <w:r>
        <w:rPr>
          <w:rFonts w:ascii="Montserrat" w:hAnsi="Montserrat"/>
          <w:color w:val="333333"/>
          <w:sz w:val="22"/>
        </w:rPr>
        <w:t>Tecnología / innovación en gestión de ingresos — No aplica: No se abordaron herramientas digitales específicas</w:t>
      </w:r>
    </w:p>
    <w:p>
      <w:pPr>
        <w:spacing w:after="120"/>
        <w:ind w:left="360" w:hanging="360"/>
      </w:pPr>
      <w:r>
        <w:rPr>
          <w:rFonts w:ascii="Montserrat" w:hAnsi="Montserrat"/>
          <w:color w:val="0B43F7"/>
          <w:sz w:val="20"/>
        </w:rPr>
        <w:t>●</w:t>
        <w:tab/>
      </w:r>
      <w:r>
        <w:rPr>
          <w:rFonts w:ascii="Montserrat" w:hAnsi="Montserrat"/>
          <w:color w:val="333333"/>
          <w:sz w:val="22"/>
        </w:rPr>
        <w:t>Jurisprudencia / procedimiento tributario — Aplica: Sentencias C-927/2006, C-401/2010, fallos Consejo de Estado Cúcuta, Risaralda, IDEAM</w:t>
      </w:r>
    </w:p>
    <w:p>
      <w:pPr>
        <w:spacing w:after="120"/>
        <w:ind w:left="360" w:hanging="360"/>
      </w:pPr>
      <w:r>
        <w:rPr>
          <w:rFonts w:ascii="Montserrat" w:hAnsi="Montserrat"/>
          <w:color w:val="0B43F7"/>
          <w:sz w:val="20"/>
        </w:rPr>
        <w:t>●</w:t>
        <w:tab/>
      </w:r>
      <w:r>
        <w:rPr>
          <w:rFonts w:ascii="Montserrat" w:hAnsi="Montserrat"/>
          <w:color w:val="333333"/>
          <w:sz w:val="22"/>
        </w:rPr>
        <w:t>Presupuesto / operaciones de crédito — Aplica: Plan financiero de mediano plazo, deuda pública, project finance territorial</w:t>
      </w:r>
    </w:p>
    <w:p>
      <w:pPr>
        <w:spacing w:after="120"/>
        <w:ind w:left="360" w:hanging="360"/>
      </w:pPr>
      <w:r>
        <w:rPr>
          <w:rFonts w:ascii="Montserrat" w:hAnsi="Montserrat"/>
          <w:color w:val="0B43F7"/>
          <w:sz w:val="20"/>
        </w:rPr>
        <w:t>●</w:t>
        <w:tab/>
      </w:r>
      <w:r>
        <w:rPr>
          <w:rFonts w:ascii="Montserrat" w:hAnsi="Montserrat"/>
          <w:color w:val="333333"/>
          <w:sz w:val="22"/>
        </w:rPr>
        <w:t>Modernización institucional — Aplica: Integración Hacienda-Planeación, fortalecimiento de capacidades, continuidad institucional</w:t>
      </w:r>
    </w:p>
    <w:p>
      <w:pPr>
        <w:spacing w:after="120"/>
        <w:ind w:left="360" w:hanging="360"/>
      </w:pPr>
      <w:r>
        <w:rPr>
          <w:rFonts w:ascii="Montserrat" w:hAnsi="Montserrat"/>
          <w:color w:val="0B43F7"/>
          <w:sz w:val="20"/>
        </w:rPr>
        <w:t>●</w:t>
        <w:tab/>
      </w:r>
      <w:r>
        <w:rPr>
          <w:rFonts w:ascii="Montserrat" w:hAnsi="Montserrat"/>
          <w:color w:val="333333"/>
          <w:sz w:val="22"/>
        </w:rPr>
        <w:t>Incidencia política / agenda pública — Aplica: Discontinuidad política, resistencia ciudadana, cultura tributaria, comunicación de gestión</w:t>
      </w:r>
    </w:p>
    <w:p>
      <w:pPr>
        <w:pStyle w:val="Heading2"/>
      </w:pPr>
      <w:r>
        <w:t>E.2 Dimensiones territoriales</w:t>
      </w:r>
    </w:p>
    <w:p>
      <w:pPr>
        <w:spacing w:after="120"/>
        <w:ind w:left="360" w:hanging="360"/>
      </w:pPr>
      <w:r>
        <w:rPr>
          <w:rFonts w:ascii="Montserrat" w:hAnsi="Montserrat"/>
          <w:color w:val="0B43F7"/>
          <w:sz w:val="20"/>
        </w:rPr>
        <w:t>●</w:t>
        <w:tab/>
      </w:r>
      <w:r>
        <w:rPr>
          <w:rFonts w:ascii="Montserrat" w:hAnsi="Montserrat"/>
          <w:color w:val="333333"/>
          <w:sz w:val="22"/>
        </w:rPr>
        <w:t>Nacional (aplica a todo el país) — Aplica: Marco constitucional, Ley 388, jurisprudencia de la Corte Constitucional y Consejo de Estado</w:t>
      </w:r>
    </w:p>
    <w:p>
      <w:pPr>
        <w:spacing w:after="120"/>
        <w:ind w:left="360" w:hanging="360"/>
      </w:pPr>
      <w:r>
        <w:rPr>
          <w:rFonts w:ascii="Montserrat" w:hAnsi="Montserrat"/>
          <w:color w:val="0B43F7"/>
          <w:sz w:val="20"/>
        </w:rPr>
        <w:t>●</w:t>
        <w:tab/>
      </w:r>
      <w:r>
        <w:rPr>
          <w:rFonts w:ascii="Montserrat" w:hAnsi="Montserrat"/>
          <w:color w:val="333333"/>
          <w:sz w:val="22"/>
        </w:rPr>
        <w:t>Regional / departamental — No aplica: No se mencionaron gobernaciones o asambleas departamentales de forma central</w:t>
      </w:r>
    </w:p>
    <w:p>
      <w:pPr>
        <w:spacing w:after="120"/>
        <w:ind w:left="360" w:hanging="360"/>
      </w:pPr>
      <w:r>
        <w:rPr>
          <w:rFonts w:ascii="Montserrat" w:hAnsi="Montserrat"/>
          <w:color w:val="0B43F7"/>
          <w:sz w:val="20"/>
        </w:rPr>
        <w:t>●</w:t>
        <w:tab/>
      </w:r>
      <w:r>
        <w:rPr>
          <w:rFonts w:ascii="Montserrat" w:hAnsi="Montserrat"/>
          <w:color w:val="333333"/>
          <w:sz w:val="22"/>
        </w:rPr>
        <w:t>Municipal / distrito — Aplica: Medellín, Bogotá, Barranquilla, entorno metropolitano de Bogotá, Valle de Aburrá, Cúcuta, Risaralda</w:t>
      </w:r>
    </w:p>
    <w:p>
      <w:pPr>
        <w:spacing w:after="120"/>
        <w:ind w:left="360" w:hanging="360"/>
      </w:pPr>
      <w:r>
        <w:rPr>
          <w:rFonts w:ascii="Montserrat" w:hAnsi="Montserrat"/>
          <w:color w:val="0B43F7"/>
          <w:sz w:val="20"/>
        </w:rPr>
        <w:t>●</w:t>
        <w:tab/>
      </w:r>
      <w:r>
        <w:rPr>
          <w:rFonts w:ascii="Montserrat" w:hAnsi="Montserrat"/>
          <w:color w:val="333333"/>
          <w:sz w:val="22"/>
        </w:rPr>
        <w:t>Área metropolitana — Aplica: Entorno metropolitano de Bogotá y Valle de Aburrá como zonas de aplicación documentada</w:t>
      </w:r>
    </w:p>
    <w:p>
      <w:pPr>
        <w:spacing w:after="120"/>
        <w:ind w:left="360" w:hanging="360"/>
      </w:pPr>
      <w:r>
        <w:rPr>
          <w:rFonts w:ascii="Montserrat" w:hAnsi="Montserrat"/>
          <w:color w:val="0B43F7"/>
          <w:sz w:val="20"/>
        </w:rPr>
        <w:t>●</w:t>
        <w:tab/>
      </w:r>
      <w:r>
        <w:rPr>
          <w:rFonts w:ascii="Montserrat" w:hAnsi="Montserrat"/>
          <w:color w:val="333333"/>
          <w:sz w:val="22"/>
        </w:rPr>
        <w:t>Rural / disperso — No aplica: No aplica directamente, aunque la plusvalía por cambio de uso rural-urbano fue mencionada</w:t>
      </w:r>
    </w:p>
    <w:p>
      <w:pPr>
        <w:spacing w:after="120"/>
        <w:ind w:left="360" w:hanging="360"/>
      </w:pPr>
      <w:r>
        <w:rPr>
          <w:rFonts w:ascii="Montserrat" w:hAnsi="Montserrat"/>
          <w:color w:val="0B43F7"/>
          <w:sz w:val="20"/>
        </w:rPr>
        <w:t>●</w:t>
        <w:tab/>
      </w:r>
      <w:r>
        <w:rPr>
          <w:rFonts w:ascii="Montserrat" w:hAnsi="Montserrat"/>
          <w:color w:val="333333"/>
          <w:sz w:val="22"/>
        </w:rPr>
        <w:t>Fronterizo / especial — No aplica: No aplica</w:t>
      </w:r>
    </w:p>
    <w:p>
      <w:pPr>
        <w:pStyle w:val="Heading2"/>
      </w:pPr>
      <w:r>
        <w:rPr>
          <w:color w:val="6CD3A5"/>
        </w:rPr>
        <w:t>E.3 Dimensiones de actoría y sinergia</w:t>
      </w:r>
    </w:p>
    <w:p>
      <w:pPr>
        <w:spacing w:after="120"/>
        <w:ind w:left="360" w:hanging="360"/>
      </w:pPr>
      <w:r>
        <w:rPr>
          <w:rFonts w:ascii="Montserrat" w:hAnsi="Montserrat"/>
          <w:color w:val="0B43F7"/>
          <w:sz w:val="20"/>
        </w:rPr>
        <w:t>●</w:t>
        <w:tab/>
      </w:r>
      <w:r>
        <w:rPr>
          <w:rFonts w:ascii="Montserrat" w:hAnsi="Montserrat"/>
          <w:color w:val="333333"/>
          <w:sz w:val="22"/>
        </w:rPr>
        <w:t>Ministerios / nivel nacional — Aplica: Ministerio de Hacienda, Ministerio de Vivienda, DNP, MinCiencias — guías metodológicas, asistencia técnica</w:t>
      </w:r>
    </w:p>
    <w:p>
      <w:pPr>
        <w:spacing w:after="120"/>
        <w:ind w:left="360" w:hanging="360"/>
      </w:pPr>
      <w:r>
        <w:rPr>
          <w:rFonts w:ascii="Montserrat" w:hAnsi="Montserrat"/>
          <w:color w:val="0B43F7"/>
          <w:sz w:val="20"/>
        </w:rPr>
        <w:t>●</w:t>
        <w:tab/>
      </w:r>
      <w:r>
        <w:rPr>
          <w:rFonts w:ascii="Montserrat" w:hAnsi="Montserrat"/>
          <w:color w:val="333333"/>
          <w:sz w:val="22"/>
        </w:rPr>
        <w:t>Gobernaciones / alcaldías — Aplica: Alcaldías de Medellín, Bogotá, Barranquilla; secretarías de hacienda y planeación</w:t>
      </w:r>
    </w:p>
    <w:p>
      <w:pPr>
        <w:spacing w:after="120"/>
        <w:ind w:left="360" w:hanging="360"/>
      </w:pPr>
      <w:r>
        <w:rPr>
          <w:rFonts w:ascii="Montserrat" w:hAnsi="Montserrat"/>
          <w:color w:val="0B43F7"/>
          <w:sz w:val="20"/>
        </w:rPr>
        <w:t>●</w:t>
        <w:tab/>
      </w:r>
      <w:r>
        <w:rPr>
          <w:rFonts w:ascii="Montserrat" w:hAnsi="Montserrat"/>
          <w:color w:val="333333"/>
          <w:sz w:val="22"/>
        </w:rPr>
        <w:t>Asambleas / concejos — Aplica: Concejos municipales — aprobación de acuerdos que crean o modifican instrumentos de captura</w:t>
      </w:r>
    </w:p>
    <w:p>
      <w:pPr>
        <w:spacing w:after="120"/>
        <w:ind w:left="360" w:hanging="360"/>
      </w:pPr>
      <w:r>
        <w:rPr>
          <w:rFonts w:ascii="Montserrat" w:hAnsi="Montserrat"/>
          <w:color w:val="0B43F7"/>
          <w:sz w:val="20"/>
        </w:rPr>
        <w:t>●</w:t>
        <w:tab/>
      </w:r>
      <w:r>
        <w:rPr>
          <w:rFonts w:ascii="Montserrat" w:hAnsi="Montserrat"/>
          <w:color w:val="333333"/>
          <w:sz w:val="22"/>
        </w:rPr>
        <w:t>Sector académico / investigación — Aplica: Lincoln Institute of Land Policy, estudios comparados de financiación territorial</w:t>
      </w:r>
    </w:p>
    <w:p>
      <w:pPr>
        <w:spacing w:after="120"/>
        <w:ind w:left="360" w:hanging="360"/>
      </w:pPr>
      <w:r>
        <w:rPr>
          <w:rFonts w:ascii="Montserrat" w:hAnsi="Montserrat"/>
          <w:color w:val="0B43F7"/>
          <w:sz w:val="20"/>
        </w:rPr>
        <w:t>●</w:t>
        <w:tab/>
      </w:r>
      <w:r>
        <w:rPr>
          <w:rFonts w:ascii="Montserrat" w:hAnsi="Montserrat"/>
          <w:color w:val="333333"/>
          <w:sz w:val="22"/>
        </w:rPr>
        <w:t>Sector privado / gremios — Aplica: Desarrolladores inmobiliarios — obligados de obligaciones urbanísticas, compradores de derechos de construcción</w:t>
      </w:r>
    </w:p>
    <w:p>
      <w:pPr>
        <w:spacing w:after="120"/>
        <w:ind w:left="360" w:hanging="360"/>
      </w:pPr>
      <w:r>
        <w:rPr>
          <w:rFonts w:ascii="Montserrat" w:hAnsi="Montserrat"/>
          <w:color w:val="0B43F7"/>
          <w:sz w:val="20"/>
        </w:rPr>
        <w:t>●</w:t>
        <w:tab/>
      </w:r>
      <w:r>
        <w:rPr>
          <w:rFonts w:ascii="Montserrat" w:hAnsi="Montserrat"/>
          <w:color w:val="333333"/>
          <w:sz w:val="22"/>
        </w:rPr>
        <w:t>Organismos de control / fiscalización — Aplica: Procuraduría, Consejo de Estado — control de legalidad de precios públicos y tasas</w:t>
      </w:r>
    </w:p>
    <w:p>
      <w:pPr>
        <w:spacing w:after="120"/>
        <w:ind w:left="360" w:hanging="360"/>
      </w:pPr>
      <w:r>
        <w:rPr>
          <w:rFonts w:ascii="Montserrat" w:hAnsi="Montserrat"/>
          <w:color w:val="0B43F7"/>
          <w:sz w:val="20"/>
        </w:rPr>
        <w:t>●</w:t>
        <w:tab/>
      </w:r>
      <w:r>
        <w:rPr>
          <w:rFonts w:ascii="Montserrat" w:hAnsi="Montserrat"/>
          <w:color w:val="333333"/>
          <w:sz w:val="22"/>
        </w:rPr>
        <w:t>Sociedad civil / veeduría — Aplica: Ciudadanía como contribuyente y beneficiario, propietarios de suelo</w:t>
      </w:r>
    </w:p>
    <w:p>
      <w:pPr>
        <w:spacing w:after="120"/>
        <w:ind w:left="360" w:hanging="360"/>
      </w:pPr>
      <w:r>
        <w:rPr>
          <w:rFonts w:ascii="Montserrat" w:hAnsi="Montserrat"/>
          <w:color w:val="0B43F7"/>
          <w:sz w:val="20"/>
        </w:rPr>
        <w:t>●</w:t>
        <w:tab/>
      </w:r>
      <w:r>
        <w:rPr>
          <w:rFonts w:ascii="Montserrat" w:hAnsi="Montserrat"/>
          <w:color w:val="333333"/>
          <w:sz w:val="22"/>
        </w:rPr>
        <w:t>Cooperación internacional — Aplica: BID, CAF, Banco Mundial, Lincoln Institute — asistencia técnica, financiación de fortalecimiento institucional</w:t>
      </w:r>
    </w:p>
    <w:p>
      <w:pPr>
        <w:pStyle w:val="Heading2"/>
      </w:pPr>
      <w:r>
        <w:t>E.4 Relación con otros paneles (Knowledge Graph)</w:t>
      </w:r>
    </w:p>
    <w:p>
      <w:pPr>
        <w:jc w:val="both"/>
      </w:pPr>
      <w:r>
        <w:rPr>
          <w:rFonts w:ascii="Montserrat" w:hAnsi="Montserrat"/>
          <w:color w:val="333333"/>
          <w:sz w:val="22"/>
        </w:rPr>
        <w:t>Panel 7 (Generación de valor a partir de la infraestructura pública): conexión directa por la continuidad del debate sobre plusvalía, valorización, obligaciones urbanísticas y titularización del predial futuro. El Panel 8 profundiza en la categorización conceptual y en los precios públicos como complemento.</w:t>
      </w:r>
    </w:p>
    <w:p>
      <w:pPr>
        <w:jc w:val="both"/>
      </w:pPr>
      <w:r>
        <w:rPr>
          <w:rFonts w:ascii="Montserrat" w:hAnsi="Montserrat"/>
          <w:color w:val="333333"/>
          <w:sz w:val="22"/>
        </w:rPr>
        <w:t>Panel 2 (Principales marcos normativos): conexión directa por la discusión de la Ley 388 de 1997, sus defectos y la necesidad de actualización del marco normativo de ordenamiento territorial.</w:t>
      </w:r>
    </w:p>
    <w:p>
      <w:pPr>
        <w:jc w:val="both"/>
      </w:pPr>
      <w:r>
        <w:rPr>
          <w:rFonts w:ascii="Montserrat" w:hAnsi="Montserrat"/>
          <w:color w:val="333333"/>
          <w:sz w:val="22"/>
        </w:rPr>
        <w:t>Panel 13 (Propuestas para la modernización): conexión por la transformación institucional requerida para integrar hacienda y planeación, y para implementar planes financieros de mediano plazo.</w:t>
      </w:r>
    </w:p>
    <w:p>
      <w:pPr>
        <w:jc w:val="both"/>
      </w:pPr>
      <w:r>
        <w:rPr>
          <w:rFonts w:ascii="Montserrat" w:hAnsi="Montserrat"/>
          <w:color w:val="333333"/>
          <w:sz w:val="22"/>
        </w:rPr>
        <w:t>Panel 3 (Impuesto predial unificado): conexión directa por el énfasis de Magda en el predial como instrumento base y 'cuota de administración' del desarrollo territorial.</w:t>
      </w:r>
    </w:p>
    <w:p>
      <w:pPr>
        <w:pStyle w:val="Heading1"/>
      </w:pPr>
      <w:r>
        <w:t>11. INSUMOS PARA COMUNICACIONES</w:t>
      </w:r>
    </w:p>
    <w:p>
      <w:pPr>
        <w:pStyle w:val="Quote"/>
      </w:pPr>
      <w:r>
        <w:rPr>
          <w:rFonts w:ascii="Georgia" w:hAnsi="Georgia"/>
          <w:i/>
          <w:color w:val="1A1A2E"/>
          <w:sz w:val="21"/>
        </w:rPr>
        <w:t>Extracción inmediata de elementos de difusión para uso del equipo de comunicaciones durante el evento.</w:t>
      </w:r>
    </w:p>
    <w:p>
      <w:pPr>
        <w:jc w:val="both"/>
      </w:pPr>
      <w:r>
        <w:rPr>
          <w:rFonts w:ascii="Montserrat" w:hAnsi="Montserrat"/>
          <w:color w:val="333333"/>
          <w:sz w:val="22"/>
        </w:rPr>
        <w:t>Frase clave para política: El impuesto predial es como la cuota de administracion de la copropiedad, la que pagamos recurrentemente por financiar esos bienes publicos. — Magda</w:t>
      </w:r>
    </w:p>
    <w:p>
      <w:pPr>
        <w:jc w:val="both"/>
      </w:pPr>
      <w:r>
        <w:rPr>
          <w:rFonts w:ascii="Montserrat" w:hAnsi="Montserrat"/>
          <w:color w:val="333333"/>
          <w:sz w:val="22"/>
        </w:rPr>
        <w:t>Dato destacado territorial: Medellín aumentó el recaudo del predial en un 95% y el ICA en un 145% entre 2014 y 2024. Barranquilla salio de la nada usando valorizacion y plusvalia como motor de transformacion urbana.</w:t>
      </w:r>
    </w:p>
    <w:p>
      <w:pPr>
        <w:jc w:val="both"/>
      </w:pPr>
      <w:r>
        <w:rPr>
          <w:rFonts w:ascii="Montserrat" w:hAnsi="Montserrat"/>
          <w:color w:val="333333"/>
          <w:sz w:val="22"/>
        </w:rPr>
        <w:t>Mensaje sintetizado (max. 280 caracteres): Colombia no necesita nuevos impuestos. Necesita implementar lo que ya tiene: predial, plusvalia, valorizacion y precios publicos. #FPT2026 #FuentesAlternativas</w:t>
      </w:r>
    </w:p>
    <w:p>
      <w:pPr>
        <w:jc w:val="both"/>
      </w:pPr>
      <w:r>
        <w:rPr>
          <w:rFonts w:ascii="Montserrat" w:hAnsi="Montserrat"/>
          <w:color w:val="333333"/>
          <w:sz w:val="22"/>
        </w:rPr>
        <w:t>Actor / fuente: Panel 8 — Magda (experta instrumentos de suelo), William Castrillon (Planeacion Distrital Medellin), Jorge (experta precios publicos)</w:t>
      </w:r>
    </w:p>
    <w:p>
      <w:pPr>
        <w:jc w:val="both"/>
      </w:pPr>
      <w:r>
        <w:rPr>
          <w:rFonts w:ascii="Montserrat" w:hAnsi="Montserrat"/>
          <w:color w:val="333333"/>
          <w:sz w:val="22"/>
        </w:rPr>
        <w:t>Por que es difundible?: Desmonta el mito de que falta norma para financiar el desarrollo territorial. Muestra que el problema es implementacion, no legislacion. Conecta con ejemplos concretos de exito (Barranquilla, Medellin).</w:t>
      </w:r>
    </w:p>
    <w:p>
      <w:pPr>
        <w:jc w:val="both"/>
      </w:pPr>
      <w:r>
        <w:rPr>
          <w:rFonts w:ascii="Montserrat" w:hAnsi="Montserrat"/>
          <w:color w:val="333333"/>
          <w:sz w:val="22"/>
        </w:rPr>
        <w:t>Hashtag / etiqueta sugerida: #FPT2026 #FuentesAlternativas #CapturaDeValor #PreciosPublicos #Valorizacion #Plusvalia #AutonomiaFiscal #FinanciacionTerritorial</w:t>
      </w:r>
    </w:p>
    <w:p>
      <w:pPr>
        <w:jc w:val="both"/>
      </w:pPr>
      <w:r>
        <w:rPr>
          <w:rFonts w:ascii="Montserrat" w:hAnsi="Montserrat"/>
          <w:color w:val="333333"/>
          <w:sz w:val="22"/>
        </w:rPr>
        <w:t>Formato sugerido: Hilo de Twitter/X: 6 tweets — (1) La paradoja: tenemos las leyes desde 1997 pero no las usamos; (2) El predial como cuota de copropiedad; (3) Plusvalia vs valorizacion: cuando usar cada una; (4) Precios publicos: la frontera ignorada; (5) Medellin y Barranquilla ya lo hacen; (6) Llamado al nuevo gobierno: no mas leyes, mas implementacion.</w:t>
      </w:r>
    </w:p>
    <w:p>
      <w:pPr>
        <w:pStyle w:val="Heading1"/>
      </w:pPr>
      <w:r>
        <w:t>12. TRAZABILIDAD Y VALIDACION</w:t>
      </w:r>
    </w:p>
    <w:p>
      <w:pPr>
        <w:pStyle w:val="Quote"/>
      </w:pPr>
      <w:r>
        <w:rPr>
          <w:rFonts w:ascii="Georgia" w:hAnsi="Georgia"/>
          <w:i/>
          <w:color w:val="1A1A2E"/>
          <w:sz w:val="21"/>
        </w:rPr>
        <w:t>La trazabilidad garantiza la provenance de cada hallazgo mediante un nivel de confianza que califica la solidez epistemica del registro.</w:t>
      </w:r>
    </w:p>
    <w:p>
      <w:pPr>
        <w:jc w:val="both"/>
      </w:pPr>
      <w:r>
        <w:rPr>
          <w:rFonts w:ascii="Montserrat" w:hAnsi="Montserrat"/>
          <w:color w:val="333333"/>
          <w:sz w:val="22"/>
        </w:rPr>
        <w:t>Hora de finalizacion de la captura: Sesion matutina del 5 de agosto de 2026, posterior a Panel 7</w:t>
      </w:r>
    </w:p>
    <w:p>
      <w:pPr>
        <w:jc w:val="both"/>
      </w:pPr>
      <w:r>
        <w:rPr>
          <w:rFonts w:ascii="Montserrat" w:hAnsi="Montserrat"/>
          <w:color w:val="333333"/>
          <w:sz w:val="22"/>
        </w:rPr>
        <w:t>Revisado por (auxiliar de gestion del conocimiento): Andres Zorrilla</w:t>
      </w:r>
    </w:p>
    <w:p>
      <w:pPr>
        <w:jc w:val="both"/>
      </w:pPr>
      <w:r>
        <w:rPr>
          <w:rFonts w:ascii="Montserrat" w:hAnsi="Montserrat"/>
          <w:color w:val="333333"/>
          <w:sz w:val="22"/>
        </w:rPr>
        <w:t>Nivel de confianza del registro: ALTO — Informacion verificada con fuentes claras. Las citas textuales corresponden a transcripcion completa del audio del panel. Las referencias a sentencias constitucionales (C-927/2006, C-401/2010) y a la Ley 388 de 1997 son de dominio publico y verificables. Los datos de recaudo de Medellin (95% predial, 145% ICA) fueron enunciados por William Castrillon en su calidad de funcionario de Planeacion Distrital.</w:t>
      </w:r>
    </w:p>
    <w:p>
      <w:pPr>
        <w:jc w:val="both"/>
      </w:pPr>
      <w:r>
        <w:rPr>
          <w:rFonts w:ascii="Montserrat" w:hAnsi="Montserrat"/>
          <w:color w:val="333333"/>
          <w:sz w:val="22"/>
        </w:rPr>
        <w:t>Observaciones de validacion rapida: (1) Se recomienda verificar la referencia exacta al libro de Lincoln Institute ('The Good Tax') mencionado por Magda para cita bibliografica precisa. (2) Los datos de recaudo de Medellin 2014-2024 requieren contrastacion con cifras oficiales de la Secretaria de Hacienda. (3) El Acuerdo 48 de Medellin sobre venta de derechos de construccion debe verificarse en repositorio normativo del Concejo de Medellin. (4) Los fallos del Consejo de Estado sobre Cúcuta, Risaralda e IDEAM requieren numeracion exacta para referencia jurisprudencial.</w:t>
      </w:r>
    </w:p>
    <w:p>
      <w:pPr>
        <w:jc w:val="both"/>
      </w:pPr>
      <w:r>
        <w:rPr>
          <w:rFonts w:ascii="Montserrat" w:hAnsi="Montserrat"/>
          <w:color w:val="333333"/>
          <w:sz w:val="22"/>
        </w:rPr>
        <w:t>Pendientes / dudas para resolver con el equipo: (1) Confirmar apellido completo de Magda para registro institucional. (2) Solicitar a Jorge copia de la relacion de sentencias del Consejo de Estado sobre precios publicos. (3) Verificar si William Castrillon cuenta con presentacion en diapositivas del plan financiero de mediano plazo de Medellin. (4) Consultar con equipo juridico sobre estado actual de reforma al Decreto 1077. (5) Evaluar alineacion con lineamientos institucionales y de marca de GOBS.</w:t>
      </w:r>
    </w:p>
    <w:p>
      <w:pPr>
        <w:jc w:val="both"/>
      </w:pPr>
      <w:r>
        <w:rPr>
          <w:rFonts w:ascii="Montserrat" w:hAnsi="Montserrat"/>
          <w:color w:val="333333"/>
          <w:sz w:val="22"/>
        </w:rPr>
        <w:t>Archivos adjuntos: Transcripcion completa Panel 8 (user_pasted_clipboard_long_content_as_file_Bienvenidos Bueno m.txt); Ficha de Panel 8 en Excel (pendiente de construccion); Documento Metodologico Ejecutivo FPT 2026.</w:t>
      </w:r>
    </w:p>
    <w:p>
      <w:pPr>
        <w:pStyle w:val="Heading1"/>
      </w:pPr>
      <w:r>
        <w:t>13. NOTA METODOLOGICA</w:t>
      </w:r>
    </w:p>
    <w:p>
      <w:pPr>
        <w:jc w:val="both"/>
      </w:pPr>
      <w:r>
        <w:rPr>
          <w:rFonts w:ascii="Montserrat" w:hAnsi="Montserrat"/>
          <w:color w:val="333333"/>
          <w:sz w:val="22"/>
        </w:rPr>
        <w:t>Esta relatoria se elaboro bajo los principios del Documento Metodologico — Sistematizacion Estrategica FPT 2026 (Magna Comunicaciones | GOBS Estrategias Publicas, julio 2026). La informacion se organizo siguiendo la cadena de valor Problema → Reto → Solucion → Sinergia, no el orden cronologico de las intervenciones. Las citas textuales entrecomilladas corresponden a expresiones reconstruidas desde la transcripcion completa del panel y mantienen la intencion discursiva del panelista. La prosa complementaria desarrolla argumentalmente las ideas de los panelistas, explicitando conexiones, contextos e implicaciones que en el dialogo en vivo quedaron implicitas o subdesarrolladas.</w:t>
      </w:r>
    </w:p>
    <w:p>
      <w:pPr>
        <w:jc w:val="both"/>
      </w:pPr>
      <w:r>
        <w:rPr>
          <w:rFonts w:ascii="Montserrat" w:hAnsi="Montserrat"/>
          <w:color w:val="333333"/>
          <w:sz w:val="22"/>
        </w:rPr>
        <w:t>La sintesis en caliente (Seccion 7) fue completada dentro de la ventana de 24 horas posterior al cierre del panel para preservar el contexto implicito. El nivel de confianza 'ALTO' se asigna por tratarse de un registro publico con fuentes identificables, sujeto a las validaciones de cifras y referencias jurisprudenciales senaladas en la trazabilidad. La relatoria integra tres enfoques metodologicos: sistematizacion cualitativa de experiencias, analisis de contenido estructurado con categorias predefinidas pero abiertas a lo emergente, y codificacion axial que permite pasar de la descripcion a la interpretacion y de la interpretacion a la teorizacion.</w:t>
      </w:r>
    </w:p>
    <w:sectPr>
      <w:headerReference r:id="rId7" w:type="default"/>
      <w:footerReference r:id="rId8" w:type="default"/>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8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Pr>
      <w:drawing>
        <wp:inline distB="0" distT="0" distL="114300" distR="114300">
          <wp:extent cx="5029200" cy="24681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29200" cy="2468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40" w:lineRule="auto"/>
      <w:jc w:val="center"/>
      <w:rPr/>
    </w:pPr>
    <w:r w:rsidDel="00000000" w:rsidR="00000000" w:rsidRPr="00000000">
      <w:rPr>
        <w:rFonts w:ascii="Montserrat" w:cs="Montserrat" w:eastAsia="Montserrat" w:hAnsi="Montserrat"/>
        <w:b w:val="0"/>
        <w:bCs w:val="0"/>
        <w:i w:val="0"/>
        <w:iCs w:val="0"/>
        <w:color w:val="4a4a5a"/>
        <w:sz w:val="16"/>
        <w:szCs w:val="16"/>
        <w:rtl w:val="0"/>
      </w:rPr>
      <w:t xml:space="preserve">Sistematización FPT 2026 </w:t>
    </w:r>
    <w:r w:rsidDel="00000000" w:rsidR="00000000" w:rsidRPr="00000000">
      <w:rPr>
        <w:color w:val="4a4a5a"/>
        <w:sz w:val="16"/>
        <w:szCs w:val="16"/>
        <w:rtl w:val="0"/>
      </w:rPr>
      <w:t xml:space="preserve"> | </w:t>
    </w:r>
    <w:r w:rsidDel="00000000" w:rsidR="00000000" w:rsidRPr="00000000">
      <w:rPr>
        <w:rFonts w:ascii="Montserrat" w:cs="Montserrat" w:eastAsia="Montserrat" w:hAnsi="Montserrat"/>
        <w:b w:val="0"/>
        <w:bCs w:val="0"/>
        <w:i w:val="0"/>
        <w:iCs w:val="0"/>
        <w:color w:val="4a4a5a"/>
        <w:sz w:val="16"/>
        <w:szCs w:val="16"/>
        <w:rtl w:val="0"/>
      </w:rPr>
      <w:t xml:space="preserve">GOBS Estrategias Públicas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tl w:val="0"/>
      </w:rPr>
    </w:r>
  </w:p>
  <w:tbl>
    <w:tblPr>
      <w:tblStyle w:val="Table3"/>
      <w:tblW w:w="9359.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4"/>
      <w:gridCol w:w="3312"/>
      <w:gridCol w:w="3024"/>
      <w:tblGridChange w:id="0">
        <w:tblGrid>
          <w:gridCol w:w="3024"/>
          <w:gridCol w:w="3312"/>
          <w:gridCol w:w="3024"/>
        </w:tblGrid>
      </w:tblGridChange>
    </w:tblGrid>
    <w:tr>
      <w:trPr>
        <w:cantSplit w:val="0"/>
        <w:tblHeader w:val="0"/>
      </w:trPr>
      <w:tc>
        <w:tcPr>
          <w:vAlign w:val="center"/>
        </w:tcPr>
        <w:p w:rsidR="00000000" w:rsidDel="00000000" w:rsidP="00000000" w:rsidRDefault="00000000" w:rsidRPr="00000000" w14:paraId="00000016">
          <w:pPr>
            <w:jc w:val="left"/>
            <w:rPr/>
          </w:pPr>
          <w:r w:rsidDel="00000000" w:rsidR="00000000" w:rsidRPr="00000000">
            <w:rPr/>
            <w:drawing>
              <wp:inline distB="0" distT="0" distL="114300" distR="114300">
                <wp:extent cx="1463040" cy="82296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63040" cy="82296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7">
          <w:pPr>
            <w:jc w:val="center"/>
            <w:rPr/>
          </w:pPr>
          <w:r w:rsidDel="00000000" w:rsidR="00000000" w:rsidRPr="00000000">
            <w:rPr/>
            <w:drawing>
              <wp:inline distB="0" distT="0" distL="114300" distR="114300">
                <wp:extent cx="1280160" cy="1005459"/>
                <wp:effectExtent b="0" l="0" r="0" t="0"/>
                <wp:docPr id="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280160" cy="100545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8">
          <w:pPr>
            <w:jc w:val="right"/>
            <w:rPr/>
          </w:pPr>
          <w:r w:rsidDel="00000000" w:rsidR="00000000" w:rsidRPr="00000000">
            <w:rPr/>
            <w:drawing>
              <wp:inline distB="0" distT="0" distL="114300" distR="114300">
                <wp:extent cx="1645920" cy="423907"/>
                <wp:effectExtent b="0" l="0" r="0" t="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45920" cy="4239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spacing w:before="40" w:lineRule="auto"/>
      <w:jc w:val="center"/>
      <w:rPr/>
    </w:pPr>
    <w:r w:rsidDel="00000000" w:rsidR="00000000" w:rsidRPr="00000000">
      <w:rPr>
        <w:rFonts w:ascii="Montserrat" w:cs="Montserrat" w:eastAsia="Montserrat" w:hAnsi="Montserrat"/>
        <w:b w:val="0"/>
        <w:bCs w:val="0"/>
        <w:i w:val="0"/>
        <w:iCs w:val="0"/>
        <w:color w:val="e0e0e0"/>
        <w:sz w:val="12"/>
        <w:szCs w:val="12"/>
        <w:rtl w:val="0"/>
      </w:rPr>
      <w:t xml:space="preserve">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33333"/>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Georgia" w:cs="Georgia" w:eastAsia="Georgia" w:hAnsi="Georgia"/>
      <w:b w:val="1"/>
      <w:bCs w:val="1"/>
      <w:color w:val="000000"/>
      <w:sz w:val="40"/>
      <w:szCs w:val="40"/>
    </w:rPr>
  </w:style>
  <w:style w:type="paragraph" w:styleId="Heading2">
    <w:name w:val="heading 2"/>
    <w:basedOn w:val="Normal"/>
    <w:next w:val="Normal"/>
    <w:pPr>
      <w:keepNext w:val="1"/>
      <w:keepLines w:val="1"/>
      <w:spacing w:after="160" w:before="360" w:lineRule="auto"/>
    </w:pPr>
    <w:rPr>
      <w:rFonts w:ascii="Georgia" w:cs="Georgia" w:eastAsia="Georgia" w:hAnsi="Georgia"/>
      <w:b w:val="1"/>
      <w:bCs w:val="1"/>
      <w:color w:val="0b43f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80"/>
      <w:ind w:left="360"/>
      <w:contextualSpacing w:val="1"/>
    </w:pPr>
    <w:rPr>
      <w:rFonts w:ascii="Montserrat" w:hAnsi="Montserrat"/>
      <w:color w:val="333333"/>
      <w:sz w:val="22"/>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pPr>
      <w:spacing w:after="240" w:before="240"/>
      <w:ind w:left="432" w:right="432"/>
    </w:pPr>
    <w:rPr>
      <w:rFonts w:ascii="Georgia" w:hAnsi="Georgia"/>
      <w:i w:val="1"/>
      <w:iCs w:val="1"/>
      <w:color w:val="1a1a2e"/>
      <w:sz w:val="2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Mq/R98wWnvN5Q+kTqFynqfo6w==">CgMxLjA4AHIhMTF3TzRPc2ZwbXo3bkNOb1g2cHpQTC0xNEhjeENrT2xR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