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RELATORÍA ESTRATÉGICA — PANEL 9</w:t>
      </w:r>
    </w:p>
    <w:p>
      <w:pPr>
        <w:spacing w:after="80"/>
      </w:pPr>
      <w:r>
        <w:rPr>
          <w:rFonts w:ascii="Georgia" w:hAnsi="Georgia"/>
          <w:i/>
          <w:color w:val="4A4A5A"/>
          <w:sz w:val="24"/>
        </w:rPr>
        <w:t>Procedimiento Tributario: Cuando el Estatuto Nacional No Encaja en el Territorio</w:t>
      </w:r>
    </w:p>
    <w:p>
      <w:pPr>
        <w:spacing w:after="80"/>
      </w:pPr>
      <w:r>
        <w:rPr>
          <w:rFonts w:ascii="Georgia" w:hAnsi="Georgia"/>
          <w:i/>
          <w:color w:val="666666"/>
          <w:sz w:val="18"/>
        </w:rPr>
        <w:t>Congreso de Finanzas Públicas Territoriales 2026 | GOBS Estrategias Públicas</w:t>
      </w:r>
      <w:r>
        <w:br/>
      </w:r>
      <w:r>
        <w:rPr>
          <w:rFonts w:ascii="Georgia" w:hAnsi="Georgia"/>
          <w:i/>
          <w:color w:val="666666"/>
          <w:sz w:val="18"/>
        </w:rPr>
        <w:t>Documento Metodológico — Sistematización Estratégica FPT 2026</w:t>
      </w:r>
      <w:r>
        <w:br/>
      </w:r>
      <w:r>
        <w:rPr>
          <w:rFonts w:ascii="Georgia" w:hAnsi="Georgia"/>
          <w:i/>
          <w:color w:val="666666"/>
          <w:sz w:val="18"/>
        </w:rPr>
        <w:t>Fecha de sesión: 6 de agosto de 2026 | Hora: 11:00 AM — Gran Salón Plaza Mayor</w:t>
      </w:r>
      <w:r>
        <w:br/>
      </w:r>
      <w:r>
        <w:rPr>
          <w:rFonts w:ascii="Georgia" w:hAnsi="Georgia"/>
          <w:i/>
          <w:color w:val="666666"/>
          <w:sz w:val="18"/>
        </w:rPr>
        <w:t>Moderador: Lucas Montoya (Experto GOBS)</w:t>
      </w:r>
      <w:r>
        <w:br/>
      </w:r>
      <w:r>
        <w:rPr>
          <w:rFonts w:ascii="Georgia" w:hAnsi="Georgia"/>
          <w:i/>
          <w:color w:val="666666"/>
          <w:sz w:val="18"/>
        </w:rPr>
        <w:t>Panelistas: Mari Claudia Sánchez Peña (Líder Área de Impuestos, CESE Jurídica; Asesora de Entidades Territoriales), Norbey Vargas (Socio Director, Estrategia Fiscal SAAS; Centro de Estudios de Tributos Territoriales)</w:t>
      </w:r>
    </w:p>
    <w:p>
      <w:pPr>
        <w:spacing w:after="320"/>
      </w:pPr>
      <w:r>
        <w:rPr>
          <w:rFonts w:ascii="Montserrat" w:hAnsi="Montserrat"/>
          <w:color w:val="0B43F7"/>
          <w:sz w:val="20"/>
        </w:rPr>
        <w:t>───────────────────────────────────</w:t>
      </w:r>
    </w:p>
    <w:p>
      <w:pPr>
        <w:pStyle w:val="Heading1"/>
      </w:pPr>
      <w:r>
        <w:t>1. EL MOLDE QUE NO CALZA</w:t>
      </w:r>
    </w:p>
    <w:p>
      <w:pPr>
        <w:jc w:val="both"/>
      </w:pPr>
      <w:r>
        <w:rPr>
          <w:rFonts w:ascii="Montserrat" w:hAnsi="Montserrat"/>
          <w:color w:val="333333"/>
          <w:sz w:val="22"/>
        </w:rPr>
        <w:t>El panel se abrió con una premisa que atraviesa toda la gestión tributaria local: el derecho de defensa y el debido proceso no son abstractos constitucionales, sino pilares que dependen directamente de cómo las entidades territoriales adoptan su procedimiento tributario. En 2002, la Ley 788 intentó armonizar los procedimientos nacionales, departamentales y municipales para generar eficacia, eficiencia y transparencia. Veinticinco años después, esa armonización se revela como un molde rígido que no calza con la realidad de los tributos locales.</w:t>
      </w:r>
    </w:p>
    <w:p>
      <w:pPr>
        <w:spacing w:before="120"/>
      </w:pPr>
      <w:r>
        <w:rPr>
          <w:rFonts w:ascii="Montserrat" w:hAnsi="Montserrat"/>
          <w:b/>
          <w:color w:val="1A1A2E"/>
          <w:sz w:val="22"/>
        </w:rPr>
        <w:t>Eje A. La obligación normativa: el artículo 59 y la remisión al Estatuto Nacional</w:t>
      </w:r>
    </w:p>
    <w:p>
      <w:pPr>
        <w:jc w:val="both"/>
      </w:pPr>
      <w:r>
        <w:rPr>
          <w:rFonts w:ascii="Montserrat" w:hAnsi="Montserrat"/>
          <w:color w:val="333333"/>
          <w:sz w:val="22"/>
        </w:rPr>
        <w:t>Lucas Montoya situó el problema en su dimensión jurídica: el artículo 59 de la Ley 788 impone a las entidades territoriales usar los procedimientos tributarios del Estatuto Tributario Nacional, pero nadie se pregunta si ese mecanismo es realmente idóneo para impuestos cuya connotación, naturaleza y gestión son totalmente diferentes a las del nivel nacional. La historia del artículo 59 parte de una intención loable: antes de su expedición, la ausencia de uniformidad generaba incertidumbre jurídica, poco equidad para el contribuyente y poca eficiencia para las administraciones. La Corte Constitucional así lo señaló. Pero la solución normativa creó un nuevo problema: al remitir automáticamente al Estatuto Nacional, se asumió que todos los tributos se parecen, cuando en el territorio no es así.</w:t>
      </w:r>
    </w:p>
    <w:p>
      <w:pPr>
        <w:pStyle w:val="Quote"/>
      </w:pPr>
      <w:r>
        <w:rPr>
          <w:rFonts w:ascii="Georgia" w:hAnsi="Georgia"/>
          <w:i/>
          <w:color w:val="1A1A2E"/>
          <w:sz w:val="21"/>
        </w:rPr>
        <w:t>"el derecho de defensa y el debido proceso son Pilares fundamentales que dependen directamente de la forma en que las entidades territoriales adoptan su procedimiento tributario."</w:t>
      </w:r>
      <w:r>
        <w:br/>
      </w:r>
      <w:r>
        <w:rPr>
          <w:rFonts w:ascii="Georgia" w:hAnsi="Georgia"/>
          <w:b/>
          <w:i/>
          <w:color w:val="0B43F7"/>
          <w:sz w:val="21"/>
        </w:rPr>
        <w:t>— Lucas Montoya</w:t>
      </w:r>
    </w:p>
    <w:p>
      <w:pPr>
        <w:pStyle w:val="Quote"/>
      </w:pPr>
      <w:r>
        <w:rPr>
          <w:rFonts w:ascii="Georgia" w:hAnsi="Georgia"/>
          <w:i/>
          <w:color w:val="1A1A2E"/>
          <w:sz w:val="21"/>
        </w:rPr>
        <w:t>"la ley 788 en su Artículo 59, impone, la obligación a las entidades territoriales a usar, los procedimientos tributarios que trae el estatuto, pero no sabemos si realmente son el mecanismo idóneo para la administración y materialización de unos impuestos que tiene una connotación totalmente diferente."</w:t>
      </w:r>
      <w:r>
        <w:br/>
      </w:r>
      <w:r>
        <w:rPr>
          <w:rFonts w:ascii="Georgia" w:hAnsi="Georgia"/>
          <w:b/>
          <w:i/>
          <w:color w:val="0B43F7"/>
          <w:sz w:val="21"/>
        </w:rPr>
        <w:t>— Lucas Montoya</w:t>
      </w:r>
    </w:p>
    <w:p>
      <w:pPr>
        <w:spacing w:before="120"/>
      </w:pPr>
      <w:r>
        <w:rPr>
          <w:rFonts w:ascii="Montserrat" w:hAnsi="Montserrat"/>
          <w:b/>
          <w:color w:val="1A1A2E"/>
          <w:sz w:val="22"/>
        </w:rPr>
        <w:t>Eje B. La diversidad de familias tributarias que el molde ignora</w:t>
      </w:r>
    </w:p>
    <w:p>
      <w:pPr>
        <w:jc w:val="both"/>
      </w:pPr>
      <w:r>
        <w:rPr>
          <w:rFonts w:ascii="Montserrat" w:hAnsi="Montserrat"/>
          <w:color w:val="333333"/>
          <w:sz w:val="22"/>
        </w:rPr>
        <w:t>Mari Claudia Sánchez fue tajante al distinguir las familias tributarias. El impuesto predial unificado no es declarable: se determina oficialmente por la administración, no por autoliquidación del contribuyente. El Título Quinto del Estatuto Tributario Nacional, en cambio, está concebido para tributos declarativos —renta, IVA, patrimonio— donde el contribuyente liquida, declara y paga. Las reglas sobre deber de declarar, corrección y régimen sancionatorio vinculado a esa declaración simplemente no tienen sentido aplicadas a un tributo que, por definición, no se declara. El impuesto de industria y comercio sí es declarable, pero las sanciones del Estatuto Nacional están diseñadas para la estructura y los montos de los impuestos nacionales, no para la realidad de un tributo territorial cuya base gravable y hecho generador son distintos. Así lo ha reconocido reiteradamente el Consejo de Estado: no se puede asimilar mecánicamente el hecho generador de la renta con el de industria y comercio.</w:t>
      </w:r>
    </w:p>
    <w:p>
      <w:pPr>
        <w:pStyle w:val="Quote"/>
      </w:pPr>
      <w:r>
        <w:rPr>
          <w:rFonts w:ascii="Georgia" w:hAnsi="Georgia"/>
          <w:i/>
          <w:color w:val="1A1A2E"/>
          <w:sz w:val="21"/>
        </w:rPr>
        <w:t>"la ausencia de una disposición que generara esta remisión y en consecuencia permitiera o apuntara a una uniformidad en el procedimiento aplicable, pues generaba una incertidumbre jurídica que por supuesto y así lo señaló de hecho la corte constitucional resultaba poco equitativa para el contribuyente y poco eficiente para las administraciones."</w:t>
      </w:r>
      <w:r>
        <w:br/>
      </w:r>
      <w:r>
        <w:rPr>
          <w:rFonts w:ascii="Georgia" w:hAnsi="Georgia"/>
          <w:b/>
          <w:i/>
          <w:color w:val="0B43F7"/>
          <w:sz w:val="21"/>
        </w:rPr>
        <w:t>— Mari Claudia Sánchez</w:t>
      </w:r>
    </w:p>
    <w:p>
      <w:pPr>
        <w:pStyle w:val="Quote"/>
      </w:pPr>
      <w:r>
        <w:rPr>
          <w:rFonts w:ascii="Georgia" w:hAnsi="Georgia"/>
          <w:i/>
          <w:color w:val="1A1A2E"/>
          <w:sz w:val="21"/>
        </w:rPr>
        <w:t>"esa disposición resulta inaplicable y resulta insuficiente respecto de ciertos tributos en materia territorial que por su naturaleza y en particular por la forma como se determina la obligación pues tributo frente a los cuales no resultan aplicables las disposiciones del título quinto del estatuto tributario nacional."</w:t>
      </w:r>
      <w:r>
        <w:br/>
      </w:r>
      <w:r>
        <w:rPr>
          <w:rFonts w:ascii="Georgia" w:hAnsi="Georgia"/>
          <w:b/>
          <w:i/>
          <w:color w:val="0B43F7"/>
          <w:sz w:val="21"/>
        </w:rPr>
        <w:t>— Mari Claudia Sánchez</w:t>
      </w:r>
    </w:p>
    <w:p>
      <w:pPr>
        <w:pStyle w:val="Quote"/>
      </w:pPr>
      <w:r>
        <w:rPr>
          <w:rFonts w:ascii="Georgia" w:hAnsi="Georgia"/>
          <w:i/>
          <w:color w:val="1A1A2E"/>
          <w:sz w:val="21"/>
        </w:rPr>
        <w:t>"estamos frente a un tributo que no es declarable y lo cierto Es que las disposiciones del título quinto del estatuto tributario nacional están concebidas y definidas para atributos que se autoliquidan por parte del contribuyente a través de un sistema declarativo."</w:t>
      </w:r>
      <w:r>
        <w:br/>
      </w:r>
      <w:r>
        <w:rPr>
          <w:rFonts w:ascii="Georgia" w:hAnsi="Georgia"/>
          <w:b/>
          <w:i/>
          <w:color w:val="0B43F7"/>
          <w:sz w:val="21"/>
        </w:rPr>
        <w:t>— Mari Claudia Sánchez</w:t>
      </w:r>
    </w:p>
    <w:p>
      <w:pPr>
        <w:spacing w:before="120"/>
      </w:pPr>
      <w:r>
        <w:rPr>
          <w:rFonts w:ascii="Montserrat" w:hAnsi="Montserrat"/>
          <w:b/>
          <w:color w:val="1A1A2E"/>
          <w:sz w:val="22"/>
        </w:rPr>
        <w:t>Eje C. Veinticinco años después: un avance que hoy resulta insuficiente</w:t>
      </w:r>
    </w:p>
    <w:p>
      <w:pPr>
        <w:jc w:val="both"/>
      </w:pPr>
      <w:r>
        <w:rPr>
          <w:rFonts w:ascii="Montserrat" w:hAnsi="Montserrat"/>
          <w:color w:val="333333"/>
          <w:sz w:val="22"/>
        </w:rPr>
        <w:t>Norbey Vargas cerró el círculo diagnóstico desde la experiencia del sector privado. El artículo 59 fue un avance en su momento, pero veinte años después el procedimiento nacional aplicado a los territoriales no resulta suficiente. Los tributos territoriales requieren un matiz, una adecuación que el Estatuto Nacional no provee. El régimen sancionatorio es el campo minado más visible: las sanciones tipificadas en el Estatuto son de orden sustancial, aplicadas a los territoriales sin ajuste, y resultan excesivas. La sanción por no declarar alcanza el 10% del ingreso cuando el impuesto, en la mayoría de los casos, ronda el 1% de ese mismo ingreso. Las sanciones asociadas al deber de informar, especialmente en información exógena, son desproporcionadas y exorbitantes respecto al monto del tributo que se liquida. Todo ello genera dificultades en el cumplimiento y una conclusión compartida por los tres panelistas: se requiere un régimen sancionatorio propio de los tributos territoriales y un régimen de procedimiento tributario igualmente propio.</w:t>
      </w:r>
    </w:p>
    <w:p>
      <w:pPr>
        <w:pStyle w:val="Quote"/>
      </w:pPr>
      <w:r>
        <w:rPr>
          <w:rFonts w:ascii="Georgia" w:hAnsi="Georgia"/>
          <w:i/>
          <w:color w:val="1A1A2E"/>
          <w:sz w:val="21"/>
        </w:rPr>
        <w:t>"ese artículo 59 de la ley siete ochenta y ocho en su momento Fue una gran un gran avance cierto para determinar los tributos de orden territorial llevo 25 años después podemos decirle entonces así veinte años después que efectivamente este procedimiento de orden nacional aplicado a los territoriales no resulta suficiente."</w:t>
      </w:r>
      <w:r>
        <w:br/>
      </w:r>
      <w:r>
        <w:rPr>
          <w:rFonts w:ascii="Georgia" w:hAnsi="Georgia"/>
          <w:b/>
          <w:i/>
          <w:color w:val="0B43F7"/>
          <w:sz w:val="21"/>
        </w:rPr>
        <w:t>— Norbey Vargas</w:t>
      </w:r>
    </w:p>
    <w:p>
      <w:pPr>
        <w:pStyle w:val="Quote"/>
      </w:pPr>
      <w:r>
        <w:rPr>
          <w:rFonts w:ascii="Georgia" w:hAnsi="Georgia"/>
          <w:i/>
          <w:color w:val="1A1A2E"/>
          <w:sz w:val="21"/>
        </w:rPr>
        <w:t>"son tributos de orden distintos Quizás El industrial y comercio es el que más se asimila los impuestos nacionales pero ese procedimiento tributario nacional aplicado a los territoriales hay que hacerle un Matiz una adecuación para que sirva efectivamente para determinar y fiscalizar los tributos de orden territorial."</w:t>
      </w:r>
      <w:r>
        <w:br/>
      </w:r>
      <w:r>
        <w:rPr>
          <w:rFonts w:ascii="Georgia" w:hAnsi="Georgia"/>
          <w:b/>
          <w:i/>
          <w:color w:val="0B43F7"/>
          <w:sz w:val="21"/>
        </w:rPr>
        <w:t>— Norbey Vargas</w:t>
      </w:r>
    </w:p>
    <w:p>
      <w:pPr>
        <w:pStyle w:val="Heading1"/>
      </w:pPr>
      <w:r>
        <w:t>2. LA TELARAÑA JURÍDICA: ENTRE EL TECHO, EL PISO Y EL VACÍO</w:t>
      </w:r>
    </w:p>
    <w:p>
      <w:pPr>
        <w:jc w:val="both"/>
      </w:pPr>
      <w:r>
        <w:rPr>
          <w:rFonts w:ascii="Montserrat" w:hAnsi="Montserrat"/>
          <w:color w:val="333333"/>
          <w:sz w:val="22"/>
        </w:rPr>
        <w:t>Si el problema es que el Estatuto Nacional no encaja, el reto es navegar la telaraña jurídica que deja esa desajuste sin caer en nulidades. El artículo 59 de la Ley 788 ofrece dos válvulas de escape: simplificar el procedimiento y disminuir el valor de las sanciones. Pero ambas válvulas están rodeadas de alambres de púas jurisprudenciales que las entidades territoriales no siempre logran esquivar.</w:t>
      </w:r>
    </w:p>
    <w:p>
      <w:pPr>
        <w:jc w:val="both"/>
      </w:pPr>
      <w:r>
        <w:rPr>
          <w:rFonts w:ascii="Montserrat" w:hAnsi="Montserrat"/>
          <w:color w:val="333333"/>
          <w:sz w:val="22"/>
        </w:rPr>
        <w:t>Mari Claudia Sánchez desplegó tres criterios reiterados de la Sección Cuarta del Consejo de Estado que funcionan como brújula para quienes diseñan estatutos tributarios locales. Primero: el artículo 59 debe leerse casi en tenor literal. La facultad de los entes territoriales está limitada a disminuir el valor de las sanciones; el Estatuto Tributario Nacional no es un piso, sino un techo. La sanción local no puede ser más gravosa que la nacional. Segundo: simplificar el procedimiento es válido, pero nunca puede implicar desconocer el debido proceso. No se pueden omitir oportunidades de defensa ni hacer más gravosa la condición del contribuyente frente al procedimiento que define el Estatuto. Tercero —y aquí reside una trampa frecuente—: el artículo 59 no establece una competencia material sancionatoria. Los entes territoriales no pueden crear autónomamente sanciones distintas a las que define el Estatuto Nacional. Ese límite ha sido especialmente claro en el nivel departamental, donde durante años se crearon sanciones relacionadas con impuestos al consumo y monopolio de licores sin base legal propia, hasta que la Ley Anticontrabando sanjó la discusión definiendo un régimen sancionatorio y un procedimiento especial.</w:t>
      </w:r>
    </w:p>
    <w:p>
      <w:pPr>
        <w:jc w:val="both"/>
      </w:pPr>
      <w:r>
        <w:rPr>
          <w:rFonts w:ascii="Montserrat" w:hAnsi="Montserrat"/>
          <w:color w:val="333333"/>
          <w:sz w:val="22"/>
        </w:rPr>
        <w:t>Norbey Vargas profundizó en la tensión entre simplificación y garantías. Disminuir sanciones es relativamente sencillo; simplificar el procedimiento no lo es, porque muchas veces esa simplificación afecta garantías. El debido proceso es fundamental en las normas sancionatorias, y el principio cardinal del procedimiento tributario —asociado al artículo 29 de la Constitución— es el derecho de defensa. No se puede simplificar a costa de vaciar ese derecho. Además, las sanciones son sustantivas y exigen reserva de ley. Una simple remisión no basta; la sanción debe estar autorizada en una ley. Hay tributos frente a los cuales el Estatuto Nacional no estipula sanción, y los concejos y asambleas no tienen competencia para fijarlas por analogía. La sanción implementada, además, debe obedecer los principios de proporcionalidad y gradualidad.</w:t>
      </w:r>
    </w:p>
    <w:p>
      <w:pPr>
        <w:jc w:val="both"/>
      </w:pPr>
      <w:r>
        <w:rPr>
          <w:rFonts w:ascii="Montserrat" w:hAnsi="Montserrat"/>
          <w:color w:val="333333"/>
          <w:sz w:val="22"/>
        </w:rPr>
        <w:t>Desde la administración territorial, el reto se traduce en rigor jurídico constante. Mari Claudia describió la situación como un reto más que como un problema: la necesidad de adecuar las disposiciones en los estatutos locales sin generar riesgos antijurídicos, sin establecer sanciones o inclusiones que finalmente tengan un vicio de legalidad. El costo de un error no es teórico: una sanción mal diseñada, una prescripción mal contada, un acto previo omitido, pueden tumbar un proceso de cobro, dejar prescrita una obligación o exponer al funcionario a responsabilidad fiscal. La autonomía territorial está limitada por la Constitución —artículo 287— y por los principios de equidad y justicia material, de los cuales derivan la razonabilidad y proporcionalidad que el Consejo de Estado vigila con lupa.</w:t>
      </w:r>
    </w:p>
    <w:p>
      <w:pPr>
        <w:pStyle w:val="Heading2"/>
      </w:pPr>
      <w:r>
        <w:rPr>
          <w:color w:val="0AB6F2"/>
        </w:rPr>
        <w:t>VOCES DEL PANEL — RETO</w:t>
      </w:r>
    </w:p>
    <w:p>
      <w:pPr>
        <w:pStyle w:val="Quote"/>
      </w:pPr>
      <w:r>
        <w:rPr>
          <w:rFonts w:ascii="Georgia" w:hAnsi="Georgia"/>
          <w:i/>
          <w:color w:val="1A1A2E"/>
          <w:sz w:val="21"/>
        </w:rPr>
        <w:t>"ese régimen sancionatorio se refería Magic Claudia en el sentido de que hay una sanción es que están tipificadas en el estatuto son de orden sustancial aplicaba a los territoriales y resultan sanciones excesivas en relación con cada tributo."</w:t>
      </w:r>
      <w:r>
        <w:br/>
      </w:r>
      <w:r>
        <w:rPr>
          <w:rFonts w:ascii="Georgia" w:hAnsi="Georgia"/>
          <w:b/>
          <w:i/>
          <w:color w:val="0B43F7"/>
          <w:sz w:val="21"/>
        </w:rPr>
        <w:t>— Norbey Vargas</w:t>
      </w:r>
    </w:p>
    <w:p>
      <w:pPr>
        <w:pStyle w:val="Quote"/>
      </w:pPr>
      <w:r>
        <w:rPr>
          <w:rFonts w:ascii="Georgia" w:hAnsi="Georgia"/>
          <w:i/>
          <w:color w:val="1A1A2E"/>
          <w:sz w:val="21"/>
        </w:rPr>
        <w:t>"la sanción por no declarar diez por ciento del ingreso cuando realmente el impuesto en la mayoría de los casos, el uno por ciento del impuesto sanciones asociadas al deber de informar. Sobre todo en tema de información exógena sanción es desproporcionadas exorbitantes en relación con el impuesto que se liquida."</w:t>
      </w:r>
      <w:r>
        <w:br/>
      </w:r>
      <w:r>
        <w:rPr>
          <w:rFonts w:ascii="Georgia" w:hAnsi="Georgia"/>
          <w:b/>
          <w:i/>
          <w:color w:val="0B43F7"/>
          <w:sz w:val="21"/>
        </w:rPr>
        <w:t>— Norbey Vargas</w:t>
      </w:r>
    </w:p>
    <w:p>
      <w:pPr>
        <w:pStyle w:val="Quote"/>
      </w:pPr>
      <w:r>
        <w:rPr>
          <w:rFonts w:ascii="Georgia" w:hAnsi="Georgia"/>
          <w:i/>
          <w:color w:val="1A1A2E"/>
          <w:sz w:val="21"/>
        </w:rPr>
        <w:t>"el procedimiento tributario y sancionatorio que hoy adoptan los territorios por disposición normativa no está pensado. Específicamente para la naturaleza y las condiciones y los ocho generadores de cada tributo."</w:t>
      </w:r>
      <w:r>
        <w:br/>
      </w:r>
      <w:r>
        <w:rPr>
          <w:rFonts w:ascii="Georgia" w:hAnsi="Georgia"/>
          <w:b/>
          <w:i/>
          <w:color w:val="0B43F7"/>
          <w:sz w:val="21"/>
        </w:rPr>
        <w:t>— Lucas Montoya</w:t>
      </w:r>
    </w:p>
    <w:p>
      <w:pPr>
        <w:pStyle w:val="Quote"/>
      </w:pPr>
      <w:r>
        <w:rPr>
          <w:rFonts w:ascii="Georgia" w:hAnsi="Georgia"/>
          <w:i/>
          <w:color w:val="1A1A2E"/>
          <w:sz w:val="21"/>
        </w:rPr>
        <w:t>"La necesidad de tener el rigor jurídico suficiente para adecuar estas disposiciones en términos de nuestros estatutos tributarios de forma que no generemos riesgos antijurídicos."</w:t>
      </w:r>
      <w:r>
        <w:br/>
      </w:r>
      <w:r>
        <w:rPr>
          <w:rFonts w:ascii="Georgia" w:hAnsi="Georgia"/>
          <w:b/>
          <w:i/>
          <w:color w:val="0B43F7"/>
          <w:sz w:val="21"/>
        </w:rPr>
        <w:t>— Mari Claudia Sánchez</w:t>
      </w:r>
    </w:p>
    <w:p>
      <w:pPr>
        <w:pStyle w:val="Quote"/>
      </w:pPr>
      <w:r>
        <w:rPr>
          <w:rFonts w:ascii="Georgia" w:hAnsi="Georgia"/>
          <w:i/>
          <w:color w:val="1A1A2E"/>
          <w:sz w:val="21"/>
        </w:rPr>
        <w:t>"el artículo 59 debemos entenderlo aquí casi que en un tenor literal y es que deja salvo la facultad que tienen los entes territoriales que está limitada a disminuir el valor de las sanciones y en ese sentido entiéndase que la competencia... el estatuto tributario no es un piso, sino un techo."</w:t>
      </w:r>
      <w:r>
        <w:br/>
      </w:r>
      <w:r>
        <w:rPr>
          <w:rFonts w:ascii="Georgia" w:hAnsi="Georgia"/>
          <w:b/>
          <w:i/>
          <w:color w:val="0B43F7"/>
          <w:sz w:val="21"/>
        </w:rPr>
        <w:t>— Mari Claudia Sánchez</w:t>
      </w:r>
    </w:p>
    <w:p>
      <w:pPr>
        <w:pStyle w:val="Quote"/>
      </w:pPr>
      <w:r>
        <w:rPr>
          <w:rFonts w:ascii="Georgia" w:hAnsi="Georgia"/>
          <w:i/>
          <w:color w:val="1A1A2E"/>
          <w:sz w:val="21"/>
        </w:rPr>
        <w:t>"el artículo 59 de la ley 788 no establece una competencia material en materia en en términos sancionatorios... los entes territoriales no pueden crear de forma Autónoma sanciones distintas a las que Define el estatuto tributario nacional."</w:t>
      </w:r>
      <w:r>
        <w:br/>
      </w:r>
      <w:r>
        <w:rPr>
          <w:rFonts w:ascii="Georgia" w:hAnsi="Georgia"/>
          <w:b/>
          <w:i/>
          <w:color w:val="0B43F7"/>
          <w:sz w:val="21"/>
        </w:rPr>
        <w:t>— Mari Claudia Sánchez</w:t>
      </w:r>
    </w:p>
    <w:p>
      <w:pPr>
        <w:pStyle w:val="Quote"/>
      </w:pPr>
      <w:r>
        <w:rPr>
          <w:rFonts w:ascii="Georgia" w:hAnsi="Georgia"/>
          <w:i/>
          <w:color w:val="1A1A2E"/>
          <w:sz w:val="21"/>
        </w:rPr>
        <w:t>"no se nos puede olvidar que la sanciones son sustantivas la sanción ellos se pueden aplicar fuera analogía, una simple remisión la sanción es exigen el principio de reserva de gay en ese orden de ideas de sanciones tienen que estar autorizadas en una ley."</w:t>
      </w:r>
      <w:r>
        <w:br/>
      </w:r>
      <w:r>
        <w:rPr>
          <w:rFonts w:ascii="Georgia" w:hAnsi="Georgia"/>
          <w:b/>
          <w:i/>
          <w:color w:val="0B43F7"/>
          <w:sz w:val="21"/>
        </w:rPr>
        <w:t>— Norbey Vargas</w:t>
      </w:r>
    </w:p>
    <w:p>
      <w:pPr>
        <w:pStyle w:val="Quote"/>
      </w:pPr>
      <w:r>
        <w:rPr>
          <w:rFonts w:ascii="Georgia" w:hAnsi="Georgia"/>
          <w:i/>
          <w:color w:val="1A1A2E"/>
          <w:sz w:val="21"/>
        </w:rPr>
        <w:t>"simplificar el procedimiento No es tan fácil porque muchas veces simplificando el procedimiento se afectan garantías debido proceso es fundamental en las normas sancionatorias."</w:t>
      </w:r>
      <w:r>
        <w:br/>
      </w:r>
      <w:r>
        <w:rPr>
          <w:rFonts w:ascii="Georgia" w:hAnsi="Georgia"/>
          <w:b/>
          <w:i/>
          <w:color w:val="0B43F7"/>
          <w:sz w:val="21"/>
        </w:rPr>
        <w:t>— Norbey Vargas</w:t>
      </w:r>
    </w:p>
    <w:p>
      <w:pPr>
        <w:pStyle w:val="Heading1"/>
      </w:pPr>
      <w:r>
        <w:t>3. TRES FRENTE DE ACCIÓN: EL ACTO PREVIO, LA PRESCRIPCIÓN Y EL RÉGIMEN PROPIO</w:t>
      </w:r>
    </w:p>
    <w:p>
      <w:pPr>
        <w:jc w:val="both"/>
      </w:pPr>
      <w:r>
        <w:rPr>
          <w:rFonts w:ascii="Montserrat" w:hAnsi="Montserrat"/>
          <w:color w:val="333333"/>
          <w:sz w:val="22"/>
        </w:rPr>
        <w:t>Frente al embrollo, el panel no se quedó en el diagnóstico. Identificó tres frentes donde la acción normativa es urgente: el acto previo en tributos de determinación oficial, el cómputo de la prescripción y caducidad, y la construcción de un régimen sancionatorio y procedimental propio para los tributos territoriales.</w:t>
      </w:r>
    </w:p>
    <w:p>
      <w:pPr>
        <w:jc w:val="both"/>
      </w:pPr>
      <w:r>
        <w:rPr>
          <w:rFonts w:ascii="Montserrat" w:hAnsi="Montserrat"/>
          <w:color w:val="333333"/>
          <w:sz w:val="22"/>
        </w:rPr>
        <w:t>El acto previo es el primer frente. En tributos no declarativos —predial, alumbrado público, contribución especial de obra—, el Consejo de Estado ha sostenido reiteradamente que el contribuyente debe poder discutir la obligación antes de que se emita el acto administrativo definitivo. Esa garantía del derecho de defensa y del debido proceso no se satisface con el recurso de reconsideración contra la factura o liquidación oficial, porque una vez emitido el acto definitivo, la contradicción es reactiva, no preventiva. Mari Claudia Sánchez reconoció que no existe en el ordenamiento positivo una disposición legal que establezca expresamente la exigencia del acto previo para tributos de determinación oficial; el Consejo de Estado lo ha construido vía interpretación armónica del artículo 29 de la Constitución y del artículo 42 del Código de Procedimiento Administrativo y de lo Contencioso Administrativo. Eso genera un riesgo antijurídico real para las entidades territoriales que omiten el acto previo. Sin embargo, señaló una regla diferenciadora: si el sistema de facturación está habilitado normativamente como sistema de determinación oficial y el estatuto local regula un procedimiento donde el acto previo no es requisito, hay una sentencia de 2025 —con ponencia de la doctora Miriam Estela— que valida esa omisión. Pero es una posición aislada, única frente a la línea reiterada de la Sección Cuarta. El riesgo de no expedir el acto previo persiste, y el costo de generarlo y enviarlo es mínimo comparado con el riesgo de que un proceso de cobro coactivo se caiga por su inexistencia. Norbey Vargas, desde el sector privado, fue categórico: la expedición del acto previo es una garantía del derecho de defensa que no puede subestimarse. Cualquier acto administrativo definitivo requiere, en lo no estipulado de forma residual, las garantías del debido proceso. Y citó un caso concreto: la ordenanza 050 de 2024 del departamento de Antioquia, que expidió 625.000 liquidaciones de una contribución de seguridad sin acto previo, dejando a los contribuyentes sin saber que iban a ser objeto de un cobro tributario.</w:t>
      </w:r>
    </w:p>
    <w:p>
      <w:pPr>
        <w:jc w:val="both"/>
      </w:pPr>
      <w:r>
        <w:rPr>
          <w:rFonts w:ascii="Montserrat" w:hAnsi="Montserrat"/>
          <w:color w:val="333333"/>
          <w:sz w:val="22"/>
        </w:rPr>
        <w:t>El segundo frente es la prescripción y la caducidad. El Consejo de Estado ha tomado posiciones que confunden a las administraciones territoriales. En cuatro decisiones, ha sostenido que para el impuesto predial unificado el término de caducidad para determinar oficialmente el tributo y el término de prescripción de la acción de cobro inician desde el momento de la causación —el 1 de enero—. Mari Claudia Sánchez difiere ampliamente de esa posición. El artículo 829 del Estatuto Tributario Nacional define cuándo un título presta mérito ejecutivo: los actos de liquidación oficial, una vez ejecutoriados, son el soporte para iniciar cobro coactivo. Solo una vez ejecutoriado ese acto, según el artículo 817, inicia el cómputo del término de prescripción de cinco años de la acción de cobro. Contar la prescripción desde la causación —y no desde la ejecutoria del acto— tiene un impacto fiscal devastador: obligaciones determinadas hace más de cinco años pero cobradas recientemente quedarían prescritas. La cuantificación, relató desde su experiencia en una entidad territorial en 2020, fue absolutamente preocupante. Además, expone al funcionario que declara la prescripción y al secretario de Hacienda que coordina la gestión. El Ministerio de Hacienda, en un concepto de 2017, había sostenido la misma línea —computo desde la ejecutoria—, pero el Consejo de Estado lo desestimó al señalar que los conceptos de la Dirección de Apoyo Fiscal no tienen fuerza vinculante. Mari Claudia, sin embargo, sí recomienda que el término de caducidad para la determinación oficial —el plazo de cinco años para que la administración liquide— se compute desde la causación y no desde el vencimiento del plazo de pago, como antes se entendía aplicando el artículo 717 del Estatuto. Esa distinción —caducidad para determinar desde la causación, prescripción de la acción de cobro desde la ejecutoria— es clave para dar seguridad sin sacrificar recaudo. Norbey Vargas agregó una precisión práctica: la prescripción de la acción de cobro debería iniciarse desde la exigibilidad de la obligación, porque "si yo todavía no me ha llegado el cobro, cómo voy a extinguir una obligación que no conozco". Y llamó la atención sobre otra regla jurisprudencial: la autoridad tributaria debe esperar al menos cuatro meses —el término de caducidad de la acción de restablecimiento del derecho— antes de iniciar cobro coactivo, porque la interposición de una demanda en ese plazo termina con el cobro.</w:t>
      </w:r>
    </w:p>
    <w:p>
      <w:pPr>
        <w:jc w:val="both"/>
      </w:pPr>
      <w:r>
        <w:rPr>
          <w:rFonts w:ascii="Montserrat" w:hAnsi="Montserrat"/>
          <w:color w:val="333333"/>
          <w:sz w:val="22"/>
        </w:rPr>
        <w:t>El tercer frente es la solución estructural. Mari Claudia Sánchez citó la sentencia de 2025 del municipio de Tierra Alta para señalar que si el estatuto tributario local define el procedimiento para la determinación oficial, el ente territorial puede aplicarlo válidamente. Eso abre una puerta: ante la ausencia de una disposición legal especial, el primer llamado es definir y regular ese procedimiento en los estatutos tributarios locales. Pero no basta. Es necesaria una regulación en el nivel legal, especialmente en el régimen sancionatorio. El antecedente existe: la Ley Anticontrabando, que definió régimen sancionatorio y procedimiento especial para el nivel departamental. Norbey Vargas propuso una vía intermedia mientras llega la gran reforma: ajustar el artículo 59 de la Ley 788 para que, en redacción imperativa, las entidades territoriales deban disminuir las sanciones y simplificar los procedimientos de acuerdo con el nivel de cada municipio y el tipo de impuesto. Eso daría seguridad jurídica inmediata. Y subrayó un abuso concreto que requiere atención urgente del Consejo de Estado: las sanciones por información exógena en industria y comercio, donde se incluyen dentro de la base gravable de la sanción los ingresos de otros municipios, violando el ámbito de aplicación espacial de la norma sancionatoria. Un contribuyente que paga un millón de pesos de ICA puede enfrentar una sanción de 7.500 millones por no presentar información exógena. Son sanciones que se caen de su propio peso, pero mientras tanto generan litigio, desconfianza y costos.</w:t>
      </w:r>
    </w:p>
    <w:p>
      <w:pPr>
        <w:pStyle w:val="Heading2"/>
      </w:pPr>
      <w:r>
        <w:rPr>
          <w:color w:val="00CC30"/>
        </w:rPr>
        <w:t>VOCES DEL PANEL — SOLUCIÓN</w:t>
      </w:r>
    </w:p>
    <w:p>
      <w:pPr>
        <w:pStyle w:val="Quote"/>
      </w:pPr>
      <w:r>
        <w:rPr>
          <w:rFonts w:ascii="Georgia" w:hAnsi="Georgia"/>
          <w:i/>
          <w:color w:val="1A1A2E"/>
          <w:sz w:val="21"/>
        </w:rPr>
        <w:t>"si el estatuto tributario local Define el procedimiento para la determinación oficial pues deberá el ente territorial y es legalmente válido que que aplique y de aplicación a ese procedimiento para la determinación oficial del tributo."</w:t>
      </w:r>
      <w:r>
        <w:br/>
      </w:r>
      <w:r>
        <w:rPr>
          <w:rFonts w:ascii="Georgia" w:hAnsi="Georgia"/>
          <w:b/>
          <w:i/>
          <w:color w:val="0B43F7"/>
          <w:sz w:val="21"/>
        </w:rPr>
        <w:t>— Mari Claudia Sánchez</w:t>
      </w:r>
    </w:p>
    <w:p>
      <w:pPr>
        <w:pStyle w:val="Quote"/>
      </w:pPr>
      <w:r>
        <w:rPr>
          <w:rFonts w:ascii="Georgia" w:hAnsi="Georgia"/>
          <w:i/>
          <w:color w:val="1A1A2E"/>
          <w:sz w:val="21"/>
        </w:rPr>
        <w:t>"ante la ausencia de una disposición legal que regule de manera especial un procedimiento para fines de la determinación oficial de tributos como el impuesto Predial alumbrado público contribución especial de obra entre otros... el primer llamado es definir y regular ese procedimiento en los estatutos tributarios locales."</w:t>
      </w:r>
      <w:r>
        <w:br/>
      </w:r>
      <w:r>
        <w:rPr>
          <w:rFonts w:ascii="Georgia" w:hAnsi="Georgia"/>
          <w:b/>
          <w:i/>
          <w:color w:val="0B43F7"/>
          <w:sz w:val="21"/>
        </w:rPr>
        <w:t>— Mari Claudia Sánchez</w:t>
      </w:r>
    </w:p>
    <w:p>
      <w:pPr>
        <w:pStyle w:val="Quote"/>
      </w:pPr>
      <w:r>
        <w:rPr>
          <w:rFonts w:ascii="Georgia" w:hAnsi="Georgia"/>
          <w:i/>
          <w:color w:val="1A1A2E"/>
          <w:sz w:val="21"/>
        </w:rPr>
        <w:t>"sí se hace necesario una regulación en el nivel legal."</w:t>
      </w:r>
      <w:r>
        <w:br/>
      </w:r>
      <w:r>
        <w:rPr>
          <w:rFonts w:ascii="Georgia" w:hAnsi="Georgia"/>
          <w:b/>
          <w:i/>
          <w:color w:val="0B43F7"/>
          <w:sz w:val="21"/>
        </w:rPr>
        <w:t>— Mari Claudia Sánchez</w:t>
      </w:r>
    </w:p>
    <w:p>
      <w:pPr>
        <w:pStyle w:val="Quote"/>
      </w:pPr>
      <w:r>
        <w:rPr>
          <w:rFonts w:ascii="Georgia" w:hAnsi="Georgia"/>
          <w:i/>
          <w:color w:val="1A1A2E"/>
          <w:sz w:val="21"/>
        </w:rPr>
        <w:t>"Lo ideal sería específicamente un régimen sancionatorio propio de los tributos territoriales así como su procedimiento."</w:t>
      </w:r>
      <w:r>
        <w:br/>
      </w:r>
      <w:r>
        <w:rPr>
          <w:rFonts w:ascii="Georgia" w:hAnsi="Georgia"/>
          <w:b/>
          <w:i/>
          <w:color w:val="0B43F7"/>
          <w:sz w:val="21"/>
        </w:rPr>
        <w:t>— Norbey Vargas</w:t>
      </w:r>
    </w:p>
    <w:p>
      <w:pPr>
        <w:pStyle w:val="Quote"/>
      </w:pPr>
      <w:r>
        <w:rPr>
          <w:rFonts w:ascii="Georgia" w:hAnsi="Georgia"/>
          <w:i/>
          <w:color w:val="1A1A2E"/>
          <w:sz w:val="21"/>
        </w:rPr>
        <w:t>"Reforma tributaria un ajuste al artículo 59 de la ley ciento ochenta y ocho... deberán imperativo disminuir la sanciones y simplificar los procedimientos de acuerdo con los niveles de municipio de acuerdo con cada tipo de impuesto eso daría seguridad jurídica en el cumplimiento de las obligaciones y sobre todo en el la determinación de sanciones."</w:t>
      </w:r>
      <w:r>
        <w:br/>
      </w:r>
      <w:r>
        <w:rPr>
          <w:rFonts w:ascii="Georgia" w:hAnsi="Georgia"/>
          <w:b/>
          <w:i/>
          <w:color w:val="0B43F7"/>
          <w:sz w:val="21"/>
        </w:rPr>
        <w:t>— Norbey Vargas</w:t>
      </w:r>
    </w:p>
    <w:p>
      <w:pPr>
        <w:pStyle w:val="Quote"/>
      </w:pPr>
      <w:r>
        <w:rPr>
          <w:rFonts w:ascii="Georgia" w:hAnsi="Georgia"/>
          <w:i/>
          <w:color w:val="1A1A2E"/>
          <w:sz w:val="21"/>
        </w:rPr>
        <w:t>"no deberíamos desestimar ese acto predio porque se puede caer el proceso."</w:t>
      </w:r>
      <w:r>
        <w:br/>
      </w:r>
      <w:r>
        <w:rPr>
          <w:rFonts w:ascii="Georgia" w:hAnsi="Georgia"/>
          <w:b/>
          <w:i/>
          <w:color w:val="0B43F7"/>
          <w:sz w:val="21"/>
        </w:rPr>
        <w:t>— Mari Claudia Sánchez</w:t>
      </w:r>
    </w:p>
    <w:p>
      <w:pPr>
        <w:pStyle w:val="Quote"/>
      </w:pPr>
      <w:r>
        <w:rPr>
          <w:rFonts w:ascii="Georgia" w:hAnsi="Georgia"/>
          <w:i/>
          <w:color w:val="1A1A2E"/>
          <w:sz w:val="21"/>
        </w:rPr>
        <w:t>"el término para el término de caducidad para que la administración pueda determinar oficialmente el tributo... inician desde el momento de la causación de la obligación tributaria Es decir desde el primero de enero."</w:t>
      </w:r>
      <w:r>
        <w:br/>
      </w:r>
      <w:r>
        <w:rPr>
          <w:rFonts w:ascii="Georgia" w:hAnsi="Georgia"/>
          <w:b/>
          <w:i/>
          <w:color w:val="0B43F7"/>
          <w:sz w:val="21"/>
        </w:rPr>
        <w:t>— Consejo de Estado (posición reiterada, discutida por el panel)</w:t>
      </w:r>
    </w:p>
    <w:p>
      <w:pPr>
        <w:pStyle w:val="Quote"/>
      </w:pPr>
      <w:r>
        <w:rPr>
          <w:rFonts w:ascii="Georgia" w:hAnsi="Georgia"/>
          <w:i/>
          <w:color w:val="1A1A2E"/>
          <w:sz w:val="21"/>
        </w:rPr>
        <w:t>"difiero ampliamente de esa posición... el artículo ochocientos veintinueve del estatuto tributario nacional que Define Cuáles cuándo un título presta mérito ejecutivo... solo una vez ejecutoriado ese acto... inicia el cómputo del término de prescripción de cinco años de la acción de cobro."</w:t>
      </w:r>
      <w:r>
        <w:br/>
      </w:r>
      <w:r>
        <w:rPr>
          <w:rFonts w:ascii="Georgia" w:hAnsi="Georgia"/>
          <w:b/>
          <w:i/>
          <w:color w:val="0B43F7"/>
          <w:sz w:val="21"/>
        </w:rPr>
        <w:t>— Mari Claudia Sánchez</w:t>
      </w:r>
    </w:p>
    <w:p>
      <w:pPr>
        <w:pStyle w:val="Quote"/>
      </w:pPr>
      <w:r>
        <w:rPr>
          <w:rFonts w:ascii="Georgia" w:hAnsi="Georgia"/>
          <w:i/>
          <w:color w:val="1A1A2E"/>
          <w:sz w:val="21"/>
        </w:rPr>
        <w:t>"el cómputo del término de prescripción de la acción de cobro inicia... Cómputo a partir de la ejecutoria del acto administrativo que sustenta el procedimiento de cobro coactivo."</w:t>
      </w:r>
      <w:r>
        <w:br/>
      </w:r>
      <w:r>
        <w:rPr>
          <w:rFonts w:ascii="Georgia" w:hAnsi="Georgia"/>
          <w:b/>
          <w:i/>
          <w:color w:val="0B43F7"/>
          <w:sz w:val="21"/>
        </w:rPr>
        <w:t>— Mari Claudia Sánchez</w:t>
      </w:r>
    </w:p>
    <w:p>
      <w:pPr>
        <w:pStyle w:val="Quote"/>
      </w:pPr>
      <w:r>
        <w:rPr>
          <w:rFonts w:ascii="Georgia" w:hAnsi="Georgia"/>
          <w:i/>
          <w:color w:val="1A1A2E"/>
          <w:sz w:val="21"/>
        </w:rPr>
        <w:t>"la autoridad tributaria debería esperar por lo menos cuatro meses que es el término de caducidad de la acción de restablecimiento del derecho para iniciar cualquier código activo porque la interposición de la demanda Pues eso en excepción que termina con el codo coactivo."</w:t>
      </w:r>
      <w:r>
        <w:br/>
      </w:r>
      <w:r>
        <w:rPr>
          <w:rFonts w:ascii="Georgia" w:hAnsi="Georgia"/>
          <w:b/>
          <w:i/>
          <w:color w:val="0B43F7"/>
          <w:sz w:val="21"/>
        </w:rPr>
        <w:t>— Norbey Vargas</w:t>
      </w:r>
    </w:p>
    <w:p>
      <w:pPr>
        <w:pStyle w:val="Quote"/>
      </w:pPr>
      <w:r>
        <w:rPr>
          <w:rFonts w:ascii="Georgia" w:hAnsi="Georgia"/>
          <w:i/>
          <w:color w:val="1A1A2E"/>
          <w:sz w:val="21"/>
        </w:rPr>
        <w:t>"si en esa Norma sancionatoria al incluir dentro de la base gravable para el cálculo de la sanción, los ingresos de otros municipios no estamos aplicando o llorando el concepto de ámbito de aplicación espacial de la norma sancionatoria."</w:t>
      </w:r>
      <w:r>
        <w:br/>
      </w:r>
      <w:r>
        <w:rPr>
          <w:rFonts w:ascii="Georgia" w:hAnsi="Georgia"/>
          <w:b/>
          <w:i/>
          <w:color w:val="0B43F7"/>
          <w:sz w:val="21"/>
        </w:rPr>
        <w:t>— Norbey Vargas</w:t>
      </w:r>
    </w:p>
    <w:p>
      <w:pPr>
        <w:pStyle w:val="Quote"/>
      </w:pPr>
      <w:r>
        <w:rPr>
          <w:rFonts w:ascii="Georgia" w:hAnsi="Georgia"/>
          <w:i/>
          <w:color w:val="1A1A2E"/>
          <w:sz w:val="21"/>
        </w:rPr>
        <w:t>"contribuyente que paga un millón de pesos en el municipio x cierto, un millón de pesos y está obligada a presentar información Eso en el tributaria, no presentó la información o le faltó la información exógena ingresos de los demás municipios y la sanción es la máxima siete mil quinientas vs y tantos millones cuando pagó un millón de pesos por impuesto."</w:t>
      </w:r>
      <w:r>
        <w:br/>
      </w:r>
      <w:r>
        <w:rPr>
          <w:rFonts w:ascii="Georgia" w:hAnsi="Georgia"/>
          <w:b/>
          <w:i/>
          <w:color w:val="0B43F7"/>
          <w:sz w:val="21"/>
        </w:rPr>
        <w:t>— Norbey Vargas</w:t>
      </w:r>
    </w:p>
    <w:p>
      <w:pPr>
        <w:pStyle w:val="Heading1"/>
      </w:pPr>
      <w:r>
        <w:t>4. HACIA UN PROCEDIMIENTO QUE NO FINANCIE AL ESTADO CON SANCIONES</w:t>
      </w:r>
    </w:p>
    <w:p>
      <w:pPr>
        <w:jc w:val="both"/>
      </w:pPr>
      <w:r>
        <w:rPr>
          <w:rFonts w:ascii="Montserrat" w:hAnsi="Montserrat"/>
          <w:color w:val="333333"/>
          <w:sz w:val="22"/>
        </w:rPr>
        <w:t>Los tres panelistas convergieron en una visión de fondo: el procedimiento tributario territorial debe apuntar a la certeza jurídica, la simplificación y la modernización administrativa, pero sin perder de vista los límites constitucionales. La sinergia entre nivel nacional y nivel local no puede seguir siendo una remisión automática que genera incertidumbre; necesita una arquitectura deliberada donde cada nivel juegue su rol.</w:t>
      </w:r>
    </w:p>
    <w:p>
      <w:pPr>
        <w:jc w:val="both"/>
      </w:pPr>
      <w:r>
        <w:rPr>
          <w:rFonts w:ascii="Montserrat" w:hAnsi="Montserrat"/>
          <w:color w:val="333333"/>
          <w:sz w:val="22"/>
        </w:rPr>
        <w:t>Mari Claudia Sánchez delineó tres rutas de acción. Primero: generar certeza jurídica en los procedimientos y el régimen sancionatorio, lo cual puede lograrse con modernización administrativa, herramientas tecnológicas y actualización normativa que respete los límites constitucionales. Segundo: aprovechar las herramientas que el Estatuto Nacional sí ofrece y que pueden adecuarse a los tributos territoriales —retención en la fuente, autoretención— para mejorar el recaudo y simplificar trámites. Tercero: apuntar a la unificación de formularios, procedimientos y sistemas electrónicos de presentación de declaraciones, gestión y pagos, siempre dentro de los parámetros legales. Y cerró con una advertencia que conecta el procedimiento con la política pública: las recientes decisiones del Consejo de Estado frente a sanciones —no solo por deber de informar, sino también por no declarar el ICA— exigen una revisión urgente de los estatutos locales. No es posible que desde el año 2000 el Consejo de Estado haya reconocido reiteradamente la aplicación de la excepción de inconstitucionalidad frente a actos administrativos que determinan sanciones por no declarar, desconociendo el principio de territorialidad del ICA y la proporcionalidad entre la sanción y los ingresos efectivamente gravados. La sugerencia es clara: gestionar las rentas, aplicar los mecanismos que la ley permite, usar la tecnología como facilitador, pero siempre dentro del marco legal y constitucional.</w:t>
      </w:r>
    </w:p>
    <w:p>
      <w:pPr>
        <w:jc w:val="both"/>
      </w:pPr>
      <w:r>
        <w:rPr>
          <w:rFonts w:ascii="Montserrat" w:hAnsi="Montserrat"/>
          <w:color w:val="333333"/>
          <w:sz w:val="22"/>
        </w:rPr>
        <w:t>Norbey Vargas cerró con un principio que resume la filosofía del panel: aplicar el artículo 683 del Estatuto Tributario en armonía con el artículo 95 numeral 9 de la Constitución. El Estado no aspira a que el contribuyente pague más de lo que la ley ha querido que coadyuve al financiamiento de los gastos e inversiones del Estado. El sistema tributario no está diseñado para financiarse con sanciones, sino con verdaderos tributos. El foco debe estar en mejorar los procesos y procedimientos de recaudo para facilitar el cumplimiento, no en poner letrinas que dificulten la obligación. La sanción es un mecanismo de compulsa, no una fuente de ingreso. Cuando el procedimiento se convierte en trampa, el contribuyente deja de cumplir voluntariamente y el sistema entra en un círculo vicioso de litigio, desconfianza y menor recaudo.</w:t>
      </w:r>
    </w:p>
    <w:p>
      <w:pPr>
        <w:pStyle w:val="Heading2"/>
      </w:pPr>
      <w:r>
        <w:rPr>
          <w:color w:val="6CD3A5"/>
        </w:rPr>
        <w:t>VOCES DEL PANEL — SINERGIA</w:t>
      </w:r>
    </w:p>
    <w:p>
      <w:pPr>
        <w:pStyle w:val="Quote"/>
      </w:pPr>
      <w:r>
        <w:rPr>
          <w:rFonts w:ascii="Georgia" w:hAnsi="Georgia"/>
          <w:i/>
          <w:color w:val="1A1A2E"/>
          <w:sz w:val="21"/>
        </w:rPr>
        <w:t>"a generar certeza jurídica frente a los procedimientos y régimen sancionatorio a simplificar los procedimientos por supuesto lo cual puede lograrse con ayuda de una modernización de la Administración por supuesto uso de herramientas tecnológicas acompañadas de una actualización normativa que no deje de lado y no pierda de vista los límites constitucionales."</w:t>
      </w:r>
      <w:r>
        <w:br/>
      </w:r>
      <w:r>
        <w:rPr>
          <w:rFonts w:ascii="Georgia" w:hAnsi="Georgia"/>
          <w:b/>
          <w:i/>
          <w:color w:val="0B43F7"/>
          <w:sz w:val="21"/>
        </w:rPr>
        <w:t>— Mari Claudia Sánchez</w:t>
      </w:r>
    </w:p>
    <w:p>
      <w:pPr>
        <w:pStyle w:val="Quote"/>
      </w:pPr>
      <w:r>
        <w:rPr>
          <w:rFonts w:ascii="Georgia" w:hAnsi="Georgia"/>
          <w:i/>
          <w:color w:val="1A1A2E"/>
          <w:sz w:val="21"/>
        </w:rPr>
        <w:t>"mecanismos como retención en la Fuente auto retención es Mecanismos que hoy están en el estatuto tributario nacional, que podemos adecuar a nuestros tributos territoriales."</w:t>
      </w:r>
      <w:r>
        <w:br/>
      </w:r>
      <w:r>
        <w:rPr>
          <w:rFonts w:ascii="Georgia" w:hAnsi="Georgia"/>
          <w:b/>
          <w:i/>
          <w:color w:val="0B43F7"/>
          <w:sz w:val="21"/>
        </w:rPr>
        <w:t>— Mari Claudia Sánchez</w:t>
      </w:r>
    </w:p>
    <w:p>
      <w:pPr>
        <w:pStyle w:val="Quote"/>
      </w:pPr>
      <w:r>
        <w:rPr>
          <w:rFonts w:ascii="Georgia" w:hAnsi="Georgia"/>
          <w:i/>
          <w:color w:val="1A1A2E"/>
          <w:sz w:val="21"/>
        </w:rPr>
        <w:t>"debemos apuntarle a la unificación por supuesto de formularios Procedimientos Y por supuesto también de procedimientos para fines de la presentación de declaraciones gestión de declaraciones y pagos de manera que puedan realizarse de forma electrónica ágil, siempre cumpliendo con los parámetros legales."</w:t>
      </w:r>
      <w:r>
        <w:br/>
      </w:r>
      <w:r>
        <w:rPr>
          <w:rFonts w:ascii="Georgia" w:hAnsi="Georgia"/>
          <w:b/>
          <w:i/>
          <w:color w:val="0B43F7"/>
          <w:sz w:val="21"/>
        </w:rPr>
        <w:t>— Mari Claudia Sánchez</w:t>
      </w:r>
    </w:p>
    <w:p>
      <w:pPr>
        <w:pStyle w:val="Quote"/>
      </w:pPr>
      <w:r>
        <w:rPr>
          <w:rFonts w:ascii="Georgia" w:hAnsi="Georgia"/>
          <w:i/>
          <w:color w:val="1A1A2E"/>
          <w:sz w:val="21"/>
        </w:rPr>
        <w:t>"las recientes decisiones del Consejo de estado frente a sanciones no solo relacionados con el deber de informar sino también con la sanción por no declarar el impuesto de industria y comercio exigen necesariamente una revisión de nuestros estatutos."</w:t>
      </w:r>
      <w:r>
        <w:br/>
      </w:r>
      <w:r>
        <w:rPr>
          <w:rFonts w:ascii="Georgia" w:hAnsi="Georgia"/>
          <w:b/>
          <w:i/>
          <w:color w:val="0B43F7"/>
          <w:sz w:val="21"/>
        </w:rPr>
        <w:t>— Mari Claudia Sánchez</w:t>
      </w:r>
    </w:p>
    <w:p>
      <w:pPr>
        <w:pStyle w:val="Quote"/>
      </w:pPr>
      <w:r>
        <w:rPr>
          <w:rFonts w:ascii="Georgia" w:hAnsi="Georgia"/>
          <w:i/>
          <w:color w:val="1A1A2E"/>
          <w:sz w:val="21"/>
        </w:rPr>
        <w:t>"aplicar el principio de Justicia seis ochenta y tres del estatuto tributario en armonía con el artículo 95 numeral nueve de la Constitución las entidades y el estado no aspira a que el contribuyente pague más de aquello que la ley ha querido que coadyuve al financiamiento de los gastos de inversiones del Estado."</w:t>
      </w:r>
      <w:r>
        <w:br/>
      </w:r>
      <w:r>
        <w:rPr>
          <w:rFonts w:ascii="Georgia" w:hAnsi="Georgia"/>
          <w:b/>
          <w:i/>
          <w:color w:val="0B43F7"/>
          <w:sz w:val="21"/>
        </w:rPr>
        <w:t>— Norbey Vargas</w:t>
      </w:r>
    </w:p>
    <w:p>
      <w:pPr>
        <w:pStyle w:val="Quote"/>
      </w:pPr>
      <w:r>
        <w:rPr>
          <w:rFonts w:ascii="Georgia" w:hAnsi="Georgia"/>
          <w:i/>
          <w:color w:val="1A1A2E"/>
          <w:sz w:val="21"/>
        </w:rPr>
        <w:t>"no para financiarse con sanciones, sino con verdaderos tributos enfocarnos a mejorar los procesos y los procedimientos de recaudo de los tributos para facilitarle el cumplimiento de las obligaciones a los contribuyentes y no poner letradas, sino esa facilidad en el cumplimiento de la obligación."</w:t>
      </w:r>
      <w:r>
        <w:br/>
      </w:r>
      <w:r>
        <w:rPr>
          <w:rFonts w:ascii="Georgia" w:hAnsi="Georgia"/>
          <w:b/>
          <w:i/>
          <w:color w:val="0B43F7"/>
          <w:sz w:val="21"/>
        </w:rPr>
        <w:t>— Norbey Vargas</w:t>
      </w:r>
    </w:p>
    <w:p>
      <w:pPr>
        <w:pStyle w:val="Heading1"/>
      </w:pPr>
      <w:r>
        <w:t>5. CONSENSOS TÁCITOS IDENTIFICADOS</w:t>
      </w:r>
    </w:p>
    <w:p>
      <w:pPr>
        <w:jc w:val="both"/>
      </w:pPr>
      <w:r>
        <w:rPr>
          <w:rFonts w:ascii="Montserrat" w:hAnsi="Montserrat"/>
          <w:color w:val="333333"/>
          <w:sz w:val="22"/>
        </w:rPr>
        <w:t>Los consensos tácitos son acuerdos no explicitados de forma directa pero reconstruibles a partir de las intervenciones, silencios y énfasis discursivos de los panelistas.</w:t>
      </w:r>
    </w:p>
    <w:p>
      <w:pPr>
        <w:spacing w:after="120"/>
        <w:ind w:left="360" w:hanging="360"/>
      </w:pPr>
      <w:r>
        <w:rPr>
          <w:rFonts w:ascii="Montserrat" w:hAnsi="Montserrat"/>
          <w:color w:val="0B43F7"/>
          <w:sz w:val="20"/>
        </w:rPr>
        <w:t>●</w:t>
        <w:tab/>
      </w:r>
      <w:r>
        <w:rPr>
          <w:rFonts w:ascii="Montserrat" w:hAnsi="Montserrat"/>
          <w:color w:val="333333"/>
          <w:sz w:val="22"/>
        </w:rPr>
        <w:t>El procedimiento tributario territorial no encaja plenamente con la naturaleza de todos los tributos locales. La remisión automática al Estatuto Tributario Nacional, aunque nació de una intención de uniformidad, genera inaplicabilidad e insuficiencia frente a tributos de determinación oficial como el predial.</w:t>
      </w:r>
    </w:p>
    <w:p>
      <w:pPr>
        <w:spacing w:after="120"/>
        <w:ind w:left="360" w:hanging="360"/>
      </w:pPr>
      <w:r>
        <w:rPr>
          <w:rFonts w:ascii="Montserrat" w:hAnsi="Montserrat"/>
          <w:color w:val="0AB6F2"/>
          <w:sz w:val="20"/>
        </w:rPr>
        <w:t>●</w:t>
        <w:tab/>
      </w:r>
      <w:r>
        <w:rPr>
          <w:rFonts w:ascii="Montserrat" w:hAnsi="Montserrat"/>
          <w:color w:val="333333"/>
          <w:sz w:val="22"/>
        </w:rPr>
        <w:t>El régimen sancionatorio nacional, aplicado sin ajustes a los territorios, tiende a ser desproporcionado. Las sanciones por no declarar y por deber de informar —especialmente en información exógena— están diseñadas para la estructura de los impuestos nacionales y resultan exorbitantes respecto al monto de los tributos territoriales.</w:t>
      </w:r>
    </w:p>
    <w:p>
      <w:pPr>
        <w:spacing w:after="120"/>
        <w:ind w:left="360" w:hanging="360"/>
      </w:pPr>
      <w:r>
        <w:rPr>
          <w:rFonts w:ascii="Montserrat" w:hAnsi="Montserrat"/>
          <w:color w:val="00CC30"/>
          <w:sz w:val="20"/>
        </w:rPr>
        <w:t>●</w:t>
        <w:tab/>
      </w:r>
      <w:r>
        <w:rPr>
          <w:rFonts w:ascii="Montserrat" w:hAnsi="Montserrat"/>
          <w:color w:val="333333"/>
          <w:sz w:val="22"/>
        </w:rPr>
        <w:t>El derecho al debido proceso y el derecho de defensa son el eje de legitimidad de la gestión tributaria territorial. Toda simplificación procedural o reducción sancionatoria debe respetar esas garantías constitucionales; no pueden sacrificarse en nombre de la eficiencia administrativa.</w:t>
      </w:r>
    </w:p>
    <w:p>
      <w:pPr>
        <w:spacing w:after="120"/>
        <w:ind w:left="360" w:hanging="360"/>
      </w:pPr>
      <w:r>
        <w:rPr>
          <w:rFonts w:ascii="Montserrat" w:hAnsi="Montserrat"/>
          <w:color w:val="6CD3A5"/>
          <w:sz w:val="20"/>
        </w:rPr>
        <w:t>●</w:t>
        <w:tab/>
      </w:r>
      <w:r>
        <w:rPr>
          <w:rFonts w:ascii="Montserrat" w:hAnsi="Montserrat"/>
          <w:color w:val="333333"/>
          <w:sz w:val="22"/>
        </w:rPr>
        <w:t>Se requiere mayor certeza jurídica para evitar nulidades y litigios repetitivos. Veinte años de decisiones del Consejo de Estado anulando disposiciones locales revelan un ciclo de inseguridad que solo se rompe con reglas claras, ya sea por vía de estatutos locales mejor diseñados o por una ley especial de procedimiento tributario territorial.</w:t>
      </w:r>
    </w:p>
    <w:p>
      <w:pPr>
        <w:spacing w:after="120"/>
        <w:ind w:left="360" w:hanging="360"/>
      </w:pPr>
      <w:r>
        <w:rPr>
          <w:rFonts w:ascii="Montserrat" w:hAnsi="Montserrat"/>
          <w:color w:val="0B43F7"/>
          <w:sz w:val="20"/>
        </w:rPr>
        <w:t>●</w:t>
        <w:tab/>
      </w:r>
      <w:r>
        <w:rPr>
          <w:rFonts w:ascii="Montserrat" w:hAnsi="Montserrat"/>
          <w:color w:val="333333"/>
          <w:sz w:val="22"/>
        </w:rPr>
        <w:t>La tecnología y la modernización administrativa son aliadas, pero no sustituyen el marco legal. La unificación de formularios, la gestión electrónica y los sistemas de facturación agilizan la administración, pero no resuelven por sí solos los vacíos de legitimidad normativa.</w:t>
      </w:r>
    </w:p>
    <w:p>
      <w:pPr>
        <w:spacing w:after="120"/>
        <w:ind w:left="360" w:hanging="360"/>
      </w:pPr>
      <w:r>
        <w:rPr>
          <w:rFonts w:ascii="Montserrat" w:hAnsi="Montserrat"/>
          <w:color w:val="0AB6F2"/>
          <w:sz w:val="20"/>
        </w:rPr>
        <w:t>●</w:t>
        <w:tab/>
      </w:r>
      <w:r>
        <w:rPr>
          <w:rFonts w:ascii="Montserrat" w:hAnsi="Montserrat"/>
          <w:color w:val="333333"/>
          <w:sz w:val="22"/>
        </w:rPr>
        <w:t>El Estado no debe financiarse con sanciones. La sanción es un instrumento de compulsa al cumplimiento, no una fuente de ingreso. Cuando el sistema sancionatorio se desproporciona, se deteriora la relación entre administración y contribuyente y se debilita el recaudo genuino.</w:t>
      </w:r>
    </w:p>
    <w:p>
      <w:pPr>
        <w:pStyle w:val="Heading1"/>
      </w:pPr>
      <w:r>
        <w:t>6. TENSIONES Y DESACUERDOS ESTRATÉGICOS</w:t>
      </w:r>
    </w:p>
    <w:p>
      <w:pPr>
        <w:jc w:val="both"/>
      </w:pPr>
      <w:r>
        <w:rPr>
          <w:rFonts w:ascii="Montserrat" w:hAnsi="Montserrat"/>
          <w:color w:val="333333"/>
          <w:sz w:val="22"/>
        </w:rPr>
        <w:t>Las tensiones no son necesariamente conflictos abiertos, sino fricciones estructurales que condicionan la viabilidad de las propuestas.</w:t>
      </w:r>
    </w:p>
    <w:p>
      <w:pPr>
        <w:spacing w:after="120"/>
        <w:ind w:left="360" w:hanging="360"/>
      </w:pPr>
      <w:r>
        <w:rPr>
          <w:rFonts w:ascii="Montserrat" w:hAnsi="Montserrat"/>
          <w:color w:val="0B43F7"/>
          <w:sz w:val="20"/>
        </w:rPr>
        <w:t>●</w:t>
        <w:tab/>
      </w:r>
      <w:r>
        <w:rPr>
          <w:rFonts w:ascii="Montserrat" w:hAnsi="Montserrat"/>
          <w:color w:val="333333"/>
          <w:sz w:val="22"/>
        </w:rPr>
        <w:t>Tensión jurisprudencial: existe una disputa no resuelta sobre si el artículo 59 de la Ley 788/2002 es suficiente o si ya quedó corto frente a la realidad territorial. Mari Claudia y Norbey coinciden en que quedó corto; la solución pasa por reforma legal. Pero mientras tanto, las entidades territoriales deben operar con las herramientas existentes.</w:t>
      </w:r>
    </w:p>
    <w:p>
      <w:pPr>
        <w:spacing w:after="120"/>
        <w:ind w:left="360" w:hanging="360"/>
      </w:pPr>
      <w:r>
        <w:rPr>
          <w:rFonts w:ascii="Montserrat" w:hAnsi="Montserrat"/>
          <w:color w:val="0AB6F2"/>
          <w:sz w:val="20"/>
        </w:rPr>
        <w:t>●</w:t>
        <w:tab/>
      </w:r>
      <w:r>
        <w:rPr>
          <w:rFonts w:ascii="Montserrat" w:hAnsi="Montserrat"/>
          <w:color w:val="333333"/>
          <w:sz w:val="22"/>
        </w:rPr>
        <w:t>Tensión sobre el acto previo: el Consejo de Estado ha sostenido reiteradamente la necesidad del acto previo en tributos de determinación oficial, pero una sentencia de 2025 —Tierra Alta— abre una excepción cuando el estatuto local regula un procedimiento de facturación sin acto previo. Esa posición aislada genera incertidumbre para las administraciones que deben decidir si asumen el riesgo de omitirlo o asumen el costo de expedirlo.</w:t>
      </w:r>
    </w:p>
    <w:p>
      <w:pPr>
        <w:spacing w:after="120"/>
        <w:ind w:left="360" w:hanging="360"/>
      </w:pPr>
      <w:r>
        <w:rPr>
          <w:rFonts w:ascii="Montserrat" w:hAnsi="Montserrat"/>
          <w:color w:val="00CC30"/>
          <w:sz w:val="20"/>
        </w:rPr>
        <w:t>●</w:t>
        <w:tab/>
      </w:r>
      <w:r>
        <w:rPr>
          <w:rFonts w:ascii="Montserrat" w:hAnsi="Montserrat"/>
          <w:color w:val="333333"/>
          <w:sz w:val="22"/>
        </w:rPr>
        <w:t>Tensión sobre prescripción vs. caducidad: el Consejo de Estado ha unificado el cómputo desde la causación para ambos términos. Mari Claudia distingue: caducidad para determinar desde la causación, prescripción de la acción de cobro desde la ejecutoria del acto. Esa distinción no está consolidada en la jurisprudencia y genera riesgo fiscal concreto.</w:t>
      </w:r>
    </w:p>
    <w:p>
      <w:pPr>
        <w:spacing w:after="120"/>
        <w:ind w:left="360" w:hanging="360"/>
      </w:pPr>
      <w:r>
        <w:rPr>
          <w:rFonts w:ascii="Montserrat" w:hAnsi="Montserrat"/>
          <w:color w:val="6CD3A5"/>
          <w:sz w:val="20"/>
        </w:rPr>
        <w:t>●</w:t>
        <w:tab/>
      </w:r>
      <w:r>
        <w:rPr>
          <w:rFonts w:ascii="Montserrat" w:hAnsi="Montserrat"/>
          <w:color w:val="333333"/>
          <w:sz w:val="22"/>
        </w:rPr>
        <w:t>Tensión entre autonomía territorial y reserva de ley: los entes territoriales quieren flexibilidad para simplificar y ajustar, pero las sanciones son sustantivas y exigen reserva de ley. El artículo 59 no otorga competencia material para crear sanciones nuevas, solo para disminuir las existentes. Eso deja a los territorios con margen estrecho frente a problemas crecientes.</w:t>
      </w:r>
    </w:p>
    <w:p>
      <w:pPr>
        <w:spacing w:after="120"/>
        <w:ind w:left="360" w:hanging="360"/>
      </w:pPr>
      <w:r>
        <w:rPr>
          <w:rFonts w:ascii="Montserrat" w:hAnsi="Montserrat"/>
          <w:color w:val="0B43F7"/>
          <w:sz w:val="20"/>
        </w:rPr>
        <w:t>●</w:t>
        <w:tab/>
      </w:r>
      <w:r>
        <w:rPr>
          <w:rFonts w:ascii="Montserrat" w:hAnsi="Montserrat"/>
          <w:color w:val="333333"/>
          <w:sz w:val="22"/>
        </w:rPr>
        <w:t>Tensión entre sector privado y administración: el sector privado exige garantías —acto previo, debido proceso, proporcionalidad— que a veces chocan con la presión recaudatoria de las entidades territoriales. La información exógena en ICA es el caso más dramático: sanciones que superan miles de veces el valor del tributo.</w:t>
      </w:r>
    </w:p>
    <w:p>
      <w:pPr>
        <w:spacing w:after="120"/>
        <w:ind w:left="360" w:hanging="360"/>
      </w:pPr>
      <w:r>
        <w:rPr>
          <w:rFonts w:ascii="Montserrat" w:hAnsi="Montserrat"/>
          <w:color w:val="0AB6F2"/>
          <w:sz w:val="20"/>
        </w:rPr>
        <w:t>●</w:t>
        <w:tab/>
      </w:r>
      <w:r>
        <w:rPr>
          <w:rFonts w:ascii="Montserrat" w:hAnsi="Montserrat"/>
          <w:color w:val="333333"/>
          <w:sz w:val="22"/>
        </w:rPr>
        <w:t>Tensión entre simplificación y garantías: simplificar el procedimiento es un objetivo compartido, pero cada simplificación puede rozar el límite del debido proceso. El reto es encontrar el punto donde la agilidad administrativa no se convierta en vulneración.</w:t>
      </w:r>
    </w:p>
    <w:p>
      <w:pPr>
        <w:pStyle w:val="Heading1"/>
      </w:pPr>
      <w:r>
        <w:t>7. INSIGHTS ESTRATÉGICOS</w:t>
      </w:r>
    </w:p>
    <w:p>
      <w:pPr>
        <w:jc w:val="both"/>
      </w:pPr>
      <w:r>
        <w:rPr>
          <w:rFonts w:ascii="Montserrat" w:hAnsi="Montserrat"/>
          <w:color w:val="333333"/>
          <w:sz w:val="22"/>
        </w:rPr>
        <w:t>Interpretaciones que trascienden lo descriptivo y señalan patrones estructurales oportunos para la incidencia.</w:t>
      </w:r>
    </w:p>
    <w:p>
      <w:pPr>
        <w:spacing w:after="120"/>
        <w:ind w:left="360" w:hanging="360"/>
      </w:pPr>
      <w:r>
        <w:rPr>
          <w:rFonts w:ascii="Montserrat" w:hAnsi="Montserrat"/>
          <w:color w:val="0B43F7"/>
          <w:sz w:val="20"/>
        </w:rPr>
        <w:t>●</w:t>
        <w:tab/>
      </w:r>
      <w:r>
        <w:rPr>
          <w:rFonts w:ascii="Montserrat" w:hAnsi="Montserrat"/>
          <w:color w:val="333333"/>
          <w:sz w:val="22"/>
        </w:rPr>
        <w:t>El artículo 59 de la Ley 788 opera como una "falsa autonomía": le dice a los territorios que pueden simplificar y disminuir sanciones, pero les niega la competencia material para crear un régimen propio. Esa ambigüedad ha generado veinte años de estatutos locales nulos, litigios repetitivos y desconfianza institucional. La solución no es interpretar mejor el artículo 59, sino reformarlo o reemplazarlo por un régimen diferenciado.</w:t>
      </w:r>
    </w:p>
    <w:p>
      <w:pPr>
        <w:spacing w:after="120"/>
        <w:ind w:left="360" w:hanging="360"/>
      </w:pPr>
      <w:r>
        <w:rPr>
          <w:rFonts w:ascii="Montserrat" w:hAnsi="Montserrat"/>
          <w:color w:val="0AB6F2"/>
          <w:sz w:val="20"/>
        </w:rPr>
        <w:t>●</w:t>
        <w:tab/>
      </w:r>
      <w:r>
        <w:rPr>
          <w:rFonts w:ascii="Montserrat" w:hAnsi="Montserrat"/>
          <w:color w:val="333333"/>
          <w:sz w:val="22"/>
        </w:rPr>
        <w:t>El acto previo en tributos de determinación oficial es un campo de batalla jurídico donde el costo de la precaución —expedirlo— es infinitamente menor que el costo del riesgo —perder el cobro coactivo—. Las administraciones territoriales que omiten el acto previo por eficiencia administrativa están apostando a una sola sentencia aislada frente a una línea reiterada del Consejo de Estado. Es una apuesta de alto riesgo.</w:t>
      </w:r>
    </w:p>
    <w:p>
      <w:pPr>
        <w:spacing w:after="120"/>
        <w:ind w:left="360" w:hanging="360"/>
      </w:pPr>
      <w:r>
        <w:rPr>
          <w:rFonts w:ascii="Montserrat" w:hAnsi="Montserrat"/>
          <w:color w:val="00CC30"/>
          <w:sz w:val="20"/>
        </w:rPr>
        <w:t>●</w:t>
        <w:tab/>
      </w:r>
      <w:r>
        <w:rPr>
          <w:rFonts w:ascii="Montserrat" w:hAnsi="Montserrat"/>
          <w:color w:val="333333"/>
          <w:sz w:val="22"/>
        </w:rPr>
        <w:t>La confusión entre caducidad y prescripción no es un problema académico: tiene impacto fiscal directo. Si la prescripción de la acción de cobro se cuenta desde la causación, miles de obligaciones quedan extintas antes de que la administración pueda cobrarlas. La distinción técnica —caducidad para determinar desde la causación, prescripción desde la ejecutoria— es una regla de oro que debería consagrarse normativamente para dar tranquilidad a las administraciones y certeza a los contribuyentes.</w:t>
      </w:r>
    </w:p>
    <w:p>
      <w:pPr>
        <w:spacing w:after="120"/>
        <w:ind w:left="360" w:hanging="360"/>
      </w:pPr>
      <w:r>
        <w:rPr>
          <w:rFonts w:ascii="Montserrat" w:hAnsi="Montserrat"/>
          <w:color w:val="6CD3A5"/>
          <w:sz w:val="20"/>
        </w:rPr>
        <w:t>●</w:t>
        <w:tab/>
      </w:r>
      <w:r>
        <w:rPr>
          <w:rFonts w:ascii="Montserrat" w:hAnsi="Montserrat"/>
          <w:color w:val="333333"/>
          <w:sz w:val="22"/>
        </w:rPr>
        <w:t>Las sanciones por información exógena en ICA son el síntoma más agudo de una enfermedad crónica: la aplicación mecánica de reglas nacionales a realidades territoriales. El hecho de que un contribuyente pague un millón de pesos de impuesto y enfrente una sanción de 7.500 millones no es solo desproporcionado; es contraproducente para el sistema. Ese tipo de casos erosiona la legitimidad del sistema tributario territorial y alimenta la cultura del litigio.</w:t>
      </w:r>
    </w:p>
    <w:p>
      <w:pPr>
        <w:spacing w:after="120"/>
        <w:ind w:left="360" w:hanging="360"/>
      </w:pPr>
      <w:r>
        <w:rPr>
          <w:rFonts w:ascii="Montserrat" w:hAnsi="Montserrat"/>
          <w:color w:val="0B43F7"/>
          <w:sz w:val="20"/>
        </w:rPr>
        <w:t>●</w:t>
        <w:tab/>
      </w:r>
      <w:r>
        <w:rPr>
          <w:rFonts w:ascii="Montserrat" w:hAnsi="Montserrat"/>
          <w:color w:val="333333"/>
          <w:sz w:val="22"/>
        </w:rPr>
        <w:t>La Ley Anticontrabando es un antecedente útil: demuestra que es posible construir un régimen sancionatorio y procedimental propio para un nivel territorial cuando hay voluntad legislativa. El mismo modelo podría replicarse para los tributos municipales y departamentales, pero requiere que el Congreso asuma la agenda como prioridad.</w:t>
      </w:r>
    </w:p>
    <w:p>
      <w:pPr>
        <w:pStyle w:val="Heading1"/>
      </w:pPr>
      <w:r>
        <w:t>8. SÍNTESIS — POLICY SNAPSHOT</w:t>
      </w:r>
    </w:p>
    <w:p>
      <w:pPr>
        <w:pStyle w:val="Heading2"/>
      </w:pPr>
      <w:r>
        <w:t>D.1 Hallazgo principal con potencial de incidencia política</w:t>
      </w:r>
    </w:p>
    <w:p>
      <w:pPr>
        <w:jc w:val="both"/>
      </w:pPr>
      <w:r>
        <w:rPr>
          <w:rFonts w:ascii="Montserrat" w:hAnsi="Montserrat"/>
          <w:color w:val="333333"/>
          <w:sz w:val="22"/>
        </w:rPr>
        <w:t>El modelo actual de remisión automática al Estatuto Tributario Nacional —artículo 59 de la Ley 788/2002— ya no resuelve adecuadamente la gestión tributaria territorial. Veinticinco años de aplicación han demostrado que los tributos locales —especialmente los de determinación oficial como el predial, el alumbrado público y la contribución especial de obra— requieren un régimen de procedimiento y sanciones diferenciado. La aplicación mecánica de reglas nacionales genera inaplicabilidad, desproporción sancionatoria, nulidades reiteradas y pérdida de recaudo. La ventana de oportunidad está en una reforma legal que, siguiendo el antecedente de la Ley Anticontrabando, defina un régimen propio para los tributos territoriales, o al menos ajuste el artículo 59 para hacer imperativa —y no facultativa— la disminución de sanciones y la simplificación procedural adaptada a cada nivel territorial.</w:t>
      </w:r>
    </w:p>
    <w:p>
      <w:pPr>
        <w:pStyle w:val="Heading2"/>
      </w:pPr>
      <w:r>
        <w:t>D.2 Alerta territorial crítica</w:t>
      </w:r>
    </w:p>
    <w:p>
      <w:pPr>
        <w:jc w:val="both"/>
      </w:pPr>
      <w:r>
        <w:rPr>
          <w:rFonts w:ascii="Montserrat" w:hAnsi="Montserrat"/>
          <w:color w:val="333333"/>
          <w:sz w:val="22"/>
        </w:rPr>
        <w:t>La aplicación mecánica de sanciones y reglas de prescripción puede generar nulidades, pérdida masiva de recaudo y alto riesgo litigioso para municipios y departamentos. El Consejo de Estado ha declarado nulas reiteradamente disposiciones locales desde el año 2000, pero los estatutos territoriales siguen reproduciendo los mismos errores. La omisión del acto previo en tributos de determinación oficial, el cómputo de la prescripción desde la causación y las sanciones por información exógena en ICA son tres minas activas que pueden detonar procesos de cobro masivos y dejar a las entidades territoriales sin recursos ejecutados.</w:t>
      </w:r>
    </w:p>
    <w:p>
      <w:pPr>
        <w:pStyle w:val="Heading2"/>
      </w:pPr>
      <w:r>
        <w:rPr>
          <w:color w:val="6CD3A5"/>
        </w:rPr>
        <w:t>D.3 Oportunidad de sinergia interinstitucional</w:t>
      </w:r>
    </w:p>
    <w:p>
      <w:pPr>
        <w:jc w:val="both"/>
      </w:pPr>
      <w:r>
        <w:rPr>
          <w:rFonts w:ascii="Montserrat" w:hAnsi="Montserrat"/>
          <w:color w:val="333333"/>
          <w:sz w:val="22"/>
        </w:rPr>
        <w:t>Articular Congreso, Ministerio de Hacienda, entidades territoriales, consejos y asambleas territoriales, y la jurisdicción contenciosa —especialmente la Sección Cuarta del Consejo de Estado— para construir un marco procedimental y sancionatorio territorial con seguridad jurídica. La sinergia debe incluir: (1) una mesa técnica legislativa que prepare el ajuste al artículo 59 o un proyecto de ley de régimen tributario territorial; (2) una guía jurisprudencial práctica para estatutos locales, validada por el Consejo de Estado; y (3) un programa de acompañamiento técnico a municipios y departamentos para la actualización de sus estatutos sin riesgo de nulidad.</w:t>
      </w:r>
    </w:p>
    <w:p>
      <w:pPr>
        <w:pStyle w:val="Heading2"/>
      </w:pPr>
      <w:r>
        <w:t>D.4 Insight del sistematizador (lectura interpretativa)</w:t>
      </w:r>
    </w:p>
    <w:p>
      <w:pPr>
        <w:jc w:val="both"/>
      </w:pPr>
      <w:r>
        <w:rPr>
          <w:rFonts w:ascii="Montserrat" w:hAnsi="Montserrat"/>
          <w:color w:val="333333"/>
          <w:sz w:val="22"/>
        </w:rPr>
        <w:t>La discusión no es solo técnica: revela una tensión estructural entre autonomía territorial, legalidad y capacidad administrativa. El desafío real no es que los territorios no quieran cumplir, sino que el marco nacional les da herramientas que no calzan con sus tributos. Eso genera un ciclo perverso: el territorio intenta adecuar, comete un vicio de legalidad, el Consejo de Estado anula, el territorio vuelve a intentar con el mismo marco, y el ciclo se repite. Romper ese ciclo exige dos cosas simultáneas: claridad normativa desde el centro —un Estatuto Tributario Territorial o un ajuste radical al artículo 59— y fortalecimiento técnico en los territorios para que sus estatutos locales sean robustos, proporcionados y resistentes al control de legalidad. El equilibrio entre control fiscal y garantías constitucionales no se logra con más litigio, sino con mejor regulación.</w:t>
      </w:r>
    </w:p>
    <w:p>
      <w:pPr>
        <w:pStyle w:val="Heading1"/>
      </w:pPr>
      <w:r>
        <w:t>9. IMPLICACIONES PARA POLÍTICA PÚBLICA</w:t>
      </w:r>
    </w:p>
    <w:p>
      <w:pPr>
        <w:spacing w:after="120"/>
        <w:ind w:left="360" w:hanging="360"/>
      </w:pPr>
      <w:r>
        <w:rPr>
          <w:rFonts w:ascii="Montserrat" w:hAnsi="Montserrat"/>
          <w:color w:val="0B43F7"/>
          <w:sz w:val="20"/>
        </w:rPr>
        <w:t>●</w:t>
        <w:tab/>
      </w:r>
      <w:r>
        <w:rPr>
          <w:rFonts w:ascii="Montserrat" w:hAnsi="Montserrat"/>
          <w:color w:val="333333"/>
          <w:sz w:val="22"/>
        </w:rPr>
        <w:t>Reforma del artículo 59 de la Ley 788/2002 para que, en redacción imperativa, las entidades territoriales deban disminuir las sanciones y simplificar los procedimientos de acuerdo con el nivel de cada municipio y el tipo de impuesto, dando seguridad jurídica inmediata y evitando la reproducción de estatutos nulos.</w:t>
      </w:r>
    </w:p>
    <w:p>
      <w:pPr>
        <w:spacing w:after="120"/>
        <w:ind w:left="360" w:hanging="360"/>
      </w:pPr>
      <w:r>
        <w:rPr>
          <w:rFonts w:ascii="Montserrat" w:hAnsi="Montserrat"/>
          <w:color w:val="0AB6F2"/>
          <w:sz w:val="20"/>
        </w:rPr>
        <w:t>●</w:t>
        <w:tab/>
      </w:r>
      <w:r>
        <w:rPr>
          <w:rFonts w:ascii="Montserrat" w:hAnsi="Montserrat"/>
          <w:color w:val="333333"/>
          <w:sz w:val="22"/>
        </w:rPr>
        <w:t>Expedición de una ley especial de régimen tributario territorial —siguiendo el modelo de la Ley Anticontrabando— que defina procedimientos y sanciones propios para los tributos de determinación oficial (predial, alumbrado público, contribución especial de obra) y para el impuesto de industria y comercio, respetando la autonomía territorial dentro de los límites constitucionales.</w:t>
      </w:r>
    </w:p>
    <w:p>
      <w:pPr>
        <w:spacing w:after="120"/>
        <w:ind w:left="360" w:hanging="360"/>
      </w:pPr>
      <w:r>
        <w:rPr>
          <w:rFonts w:ascii="Montserrat" w:hAnsi="Montserrat"/>
          <w:color w:val="00CC30"/>
          <w:sz w:val="20"/>
        </w:rPr>
        <w:t>●</w:t>
        <w:tab/>
      </w:r>
      <w:r>
        <w:rPr>
          <w:rFonts w:ascii="Montserrat" w:hAnsi="Montserrat"/>
          <w:color w:val="333333"/>
          <w:sz w:val="22"/>
        </w:rPr>
        <w:t>Definición normativa clara del acto previo en tributos de determinación oficial: establecer cuándo es exigible, cuándo puede sustituirse por un sistema de facturación regulado en estatuto local, y cuáles son los requisitos mínimos de contenido y notificación para que no se caiga el cobro coactivo.</w:t>
      </w:r>
    </w:p>
    <w:p>
      <w:pPr>
        <w:spacing w:after="120"/>
        <w:ind w:left="360" w:hanging="360"/>
      </w:pPr>
      <w:r>
        <w:rPr>
          <w:rFonts w:ascii="Montserrat" w:hAnsi="Montserrat"/>
          <w:color w:val="6CD3A5"/>
          <w:sz w:val="20"/>
        </w:rPr>
        <w:t>●</w:t>
        <w:tab/>
      </w:r>
      <w:r>
        <w:rPr>
          <w:rFonts w:ascii="Montserrat" w:hAnsi="Montserrat"/>
          <w:color w:val="333333"/>
          <w:sz w:val="22"/>
        </w:rPr>
        <w:t>Consagración legislativa de la distinción entre caducidad para determinar oficialmente —con cómputo desde la causación— y prescripción de la acción de cobro —con cómputo desde la ejecutoria del acto administrativo—, dando tranquilidad a las administraciones territoriales y certeza a los contribuyentes.</w:t>
      </w:r>
    </w:p>
    <w:p>
      <w:pPr>
        <w:spacing w:after="120"/>
        <w:ind w:left="360" w:hanging="360"/>
      </w:pPr>
      <w:r>
        <w:rPr>
          <w:rFonts w:ascii="Montserrat" w:hAnsi="Montserrat"/>
          <w:color w:val="0B43F7"/>
          <w:sz w:val="20"/>
        </w:rPr>
        <w:t>●</w:t>
        <w:tab/>
      </w:r>
      <w:r>
        <w:rPr>
          <w:rFonts w:ascii="Montserrat" w:hAnsi="Montserrat"/>
          <w:color w:val="333333"/>
          <w:sz w:val="22"/>
        </w:rPr>
        <w:t>Revisión urgente de los estatutos tributarios locales frente a las recientes decisiones del Consejo de Estado sobre sanciones por no declarar ICA y por deber de informar, eliminando disposiciones que incluyan ingresos de otros municipios en la base gravable de la sanción y ajustando las sanciones a los principios de territorialidad, proporcionalidad y gradualidad.</w:t>
      </w:r>
    </w:p>
    <w:p>
      <w:pPr>
        <w:spacing w:after="120"/>
        <w:ind w:left="360" w:hanging="360"/>
      </w:pPr>
      <w:r>
        <w:rPr>
          <w:rFonts w:ascii="Montserrat" w:hAnsi="Montserrat"/>
          <w:color w:val="0AB6F2"/>
          <w:sz w:val="20"/>
        </w:rPr>
        <w:t>●</w:t>
        <w:tab/>
      </w:r>
      <w:r>
        <w:rPr>
          <w:rFonts w:ascii="Montserrat" w:hAnsi="Montserrat"/>
          <w:color w:val="333333"/>
          <w:sz w:val="22"/>
        </w:rPr>
        <w:t>Fortalecimiento de capacidades técnicas de los grupos jurídicos y tributarios de las entidades territoriales —especialmente en municipios pequeños e intermedios— para que sus estatutos locales sean coherentes con la jurisprudencia vigente y no reproduzcan vicios de legalidad ya sancionados.</w:t>
      </w:r>
    </w:p>
    <w:p>
      <w:pPr>
        <w:pStyle w:val="Heading1"/>
      </w:pPr>
      <w:r>
        <w:t>10. IMPLICACIONES ESPECÍFICAS PARA POLÍTICA NACIONAL</w:t>
      </w:r>
    </w:p>
    <w:p>
      <w:pPr>
        <w:spacing w:after="120"/>
        <w:ind w:left="360" w:hanging="360"/>
      </w:pPr>
      <w:r>
        <w:rPr>
          <w:rFonts w:ascii="Montserrat" w:hAnsi="Montserrat"/>
          <w:color w:val="0B43F7"/>
          <w:sz w:val="20"/>
        </w:rPr>
        <w:t>●</w:t>
        <w:tab/>
      </w:r>
      <w:r>
        <w:rPr>
          <w:rFonts w:ascii="Montserrat" w:hAnsi="Montserrat"/>
          <w:color w:val="333333"/>
          <w:sz w:val="22"/>
        </w:rPr>
        <w:t>El Ministerio de Hacienda y Crédito Público debe liderar una mesa técnica con la Sección Cuarta del Consejo de Estado, la Procuraduría y representantes de entidades territoriales para consensuar una guía de estatutos tributarios locales que evite nulidades reiteradas y dé certeza jurídica.</w:t>
      </w:r>
    </w:p>
    <w:p>
      <w:pPr>
        <w:spacing w:after="120"/>
        <w:ind w:left="360" w:hanging="360"/>
      </w:pPr>
      <w:r>
        <w:rPr>
          <w:rFonts w:ascii="Montserrat" w:hAnsi="Montserrat"/>
          <w:color w:val="0AB6F2"/>
          <w:sz w:val="20"/>
        </w:rPr>
        <w:t>●</w:t>
        <w:tab/>
      </w:r>
      <w:r>
        <w:rPr>
          <w:rFonts w:ascii="Montserrat" w:hAnsi="Montserrat"/>
          <w:color w:val="333333"/>
          <w:sz w:val="22"/>
        </w:rPr>
        <w:t>El Congreso de la República debe priorizar, en el marco de la próxima reforma tributaria o mediante proyecto de ley autónomo, el ajuste al artículo 59 de la Ley 788 o la creación de un régimen tributario territorial propio, con reglas diferenciadas para tributos de determinación oficial y para el ICA.</w:t>
      </w:r>
    </w:p>
    <w:p>
      <w:pPr>
        <w:spacing w:after="120"/>
        <w:ind w:left="360" w:hanging="360"/>
      </w:pPr>
      <w:r>
        <w:rPr>
          <w:rFonts w:ascii="Montserrat" w:hAnsi="Montserrat"/>
          <w:color w:val="00CC30"/>
          <w:sz w:val="20"/>
        </w:rPr>
        <w:t>●</w:t>
        <w:tab/>
      </w:r>
      <w:r>
        <w:rPr>
          <w:rFonts w:ascii="Montserrat" w:hAnsi="Montserrat"/>
          <w:color w:val="333333"/>
          <w:sz w:val="22"/>
        </w:rPr>
        <w:t>La Dirección de Apoyo Fiscal del Ministerio de Hacienda debe actualizar sus conceptos sobre prescripción y caducidad en tributos territoriales, buscando que tengan fuerza orientadora —aunque no vinculante— para reducir la dispersión de criterios entre territorios.</w:t>
      </w:r>
    </w:p>
    <w:p>
      <w:pPr>
        <w:spacing w:after="120"/>
        <w:ind w:left="360" w:hanging="360"/>
      </w:pPr>
      <w:r>
        <w:rPr>
          <w:rFonts w:ascii="Montserrat" w:hAnsi="Montserrat"/>
          <w:color w:val="6CD3A5"/>
          <w:sz w:val="20"/>
        </w:rPr>
        <w:t>●</w:t>
        <w:tab/>
      </w:r>
      <w:r>
        <w:rPr>
          <w:rFonts w:ascii="Montserrat" w:hAnsi="Montserrat"/>
          <w:color w:val="333333"/>
          <w:sz w:val="22"/>
        </w:rPr>
        <w:t>El Departamento Administrativo de la Función Pública y las escuelas de gobierno deben incorporar módulos específicos sobre diseño de estatutos tributarios locales, derecho comparado de procedimiento tributario territorial y control de legalidad, dirigidos a secretarios de Hacienda, asesores jurídicos y concejales.</w:t>
      </w:r>
    </w:p>
    <w:p>
      <w:pPr>
        <w:spacing w:after="120"/>
        <w:ind w:left="360" w:hanging="360"/>
      </w:pPr>
      <w:r>
        <w:rPr>
          <w:rFonts w:ascii="Montserrat" w:hAnsi="Montserrat"/>
          <w:color w:val="0B43F7"/>
          <w:sz w:val="20"/>
        </w:rPr>
        <w:t>●</w:t>
        <w:tab/>
      </w:r>
      <w:r>
        <w:rPr>
          <w:rFonts w:ascii="Montserrat" w:hAnsi="Montserrat"/>
          <w:color w:val="333333"/>
          <w:sz w:val="22"/>
        </w:rPr>
        <w:t>El sistema de información del Ministerio de Hacienda debe habilitar un repositorio de estatutos tributarios locales validados y un sistema de alertas tempranas que notifique a las entidades territoriales cuando una disposición de su estatuto tiene alto riesgo de nulidad por contradicción con jurisprudencia reiterada.</w:t>
      </w:r>
    </w:p>
    <w:p>
      <w:pPr>
        <w:pStyle w:val="Heading1"/>
      </w:pPr>
      <w:r>
        <w:t>11. CODIFICACIÓN PARA ANÁLISIS CRUZADO Y CONSOLIDACIÓN</w:t>
      </w:r>
    </w:p>
    <w:p>
      <w:pPr>
        <w:pStyle w:val="Heading2"/>
      </w:pPr>
      <w:r>
        <w:t>E.1 Dimensiones temáticas</w:t>
      </w:r>
    </w:p>
    <w:p>
      <w:pPr>
        <w:jc w:val="both"/>
      </w:pPr>
      <w:r>
        <w:rPr>
          <w:rFonts w:ascii="Montserrat" w:hAnsi="Montserrat"/>
          <w:color w:val="333333"/>
          <w:sz w:val="22"/>
        </w:rPr>
        <w:t>Marco normativo / regulatorio: Reforma artículo 59 Ley 788/2002, régimen tributario territorial, Ley Anticontrabando como antecedente, reserva de ley en sanciones.</w:t>
      </w:r>
    </w:p>
    <w:p>
      <w:pPr>
        <w:jc w:val="both"/>
      </w:pPr>
      <w:r>
        <w:rPr>
          <w:rFonts w:ascii="Montserrat" w:hAnsi="Montserrat"/>
          <w:color w:val="333333"/>
          <w:sz w:val="22"/>
        </w:rPr>
        <w:t>Gestión catastral / tributaria: Procedimiento de determinación oficial, sistema de facturación predial, recaudo ICA, retención en la fuente y autoretención territorial.</w:t>
      </w:r>
    </w:p>
    <w:p>
      <w:pPr>
        <w:jc w:val="both"/>
      </w:pPr>
      <w:r>
        <w:rPr>
          <w:rFonts w:ascii="Montserrat" w:hAnsi="Montserrat"/>
          <w:color w:val="333333"/>
          <w:sz w:val="22"/>
        </w:rPr>
        <w:t>Descentralización / autonomía territorial: Autonomía limitada por artículo 287 Constitución, competencia material sancionatoria, facultad de simplificar y disminuir sanciones.</w:t>
      </w:r>
    </w:p>
    <w:p>
      <w:pPr>
        <w:jc w:val="both"/>
      </w:pPr>
      <w:r>
        <w:rPr>
          <w:rFonts w:ascii="Montserrat" w:hAnsi="Montserrat"/>
          <w:color w:val="333333"/>
          <w:sz w:val="22"/>
        </w:rPr>
        <w:t>Financiación / fuentes alternativas: No aplica directamente.</w:t>
      </w:r>
    </w:p>
    <w:p>
      <w:pPr>
        <w:jc w:val="both"/>
      </w:pPr>
      <w:r>
        <w:rPr>
          <w:rFonts w:ascii="Montserrat" w:hAnsi="Montserrat"/>
          <w:color w:val="333333"/>
          <w:sz w:val="22"/>
        </w:rPr>
        <w:t>Infraestructura pública / valorización: No aplica.</w:t>
      </w:r>
    </w:p>
    <w:p>
      <w:pPr>
        <w:jc w:val="both"/>
      </w:pPr>
      <w:r>
        <w:rPr>
          <w:rFonts w:ascii="Montserrat" w:hAnsi="Montserrat"/>
          <w:color w:val="333333"/>
          <w:sz w:val="22"/>
        </w:rPr>
        <w:t>Tecnología / innovación en gestión de ingresos: Unificación de formularios, gestión electrónica de declaraciones y pagos, sistemas de facturación.</w:t>
      </w:r>
    </w:p>
    <w:p>
      <w:pPr>
        <w:jc w:val="both"/>
      </w:pPr>
      <w:r>
        <w:rPr>
          <w:rFonts w:ascii="Montserrat" w:hAnsi="Montserrat"/>
          <w:color w:val="333333"/>
          <w:sz w:val="22"/>
        </w:rPr>
        <w:t>Jurisprudencia / procedimiento tributario: Sección Cuarta Consejo de Estado, sentencia Tierra Alta 2025, línea jurisprudencial sobre acto previo, prescripción, caducidad, proporcionalidad sancionatoria.</w:t>
      </w:r>
    </w:p>
    <w:p>
      <w:pPr>
        <w:jc w:val="both"/>
      </w:pPr>
      <w:r>
        <w:rPr>
          <w:rFonts w:ascii="Montserrat" w:hAnsi="Montserrat"/>
          <w:color w:val="333333"/>
          <w:sz w:val="22"/>
        </w:rPr>
        <w:t>Presupuesto / operaciones de crédito: Impacto fiscal de nulidades y prescripciones mal contadas, pérdida de recaudo por vicios de legalidad.</w:t>
      </w:r>
    </w:p>
    <w:p>
      <w:pPr>
        <w:jc w:val="both"/>
      </w:pPr>
      <w:r>
        <w:rPr>
          <w:rFonts w:ascii="Montserrat" w:hAnsi="Montserrat"/>
          <w:color w:val="333333"/>
          <w:sz w:val="22"/>
        </w:rPr>
        <w:t>Modernización institucional: Fortalecimiento de grupos jurídicos territoriales, capacitación en diseño de estatutos, repositorio de estatutos validados.</w:t>
      </w:r>
    </w:p>
    <w:p>
      <w:pPr>
        <w:jc w:val="both"/>
      </w:pPr>
      <w:r>
        <w:rPr>
          <w:rFonts w:ascii="Montserrat" w:hAnsi="Montserrat"/>
          <w:color w:val="333333"/>
          <w:sz w:val="22"/>
        </w:rPr>
        <w:t>Incidencia política / agenda pública: Reforma tributaria territorial, relación contribuyente-Estado, sanciones como fuente de ingreso vs. compulsa al cumplimiento.</w:t>
      </w:r>
    </w:p>
    <w:p>
      <w:pPr>
        <w:pStyle w:val="Heading2"/>
      </w:pPr>
      <w:r>
        <w:t>E.2 Dimensiones territoriales</w:t>
      </w:r>
    </w:p>
    <w:p>
      <w:pPr>
        <w:jc w:val="both"/>
      </w:pPr>
      <w:r>
        <w:rPr>
          <w:rFonts w:ascii="Montserrat" w:hAnsi="Montserrat"/>
          <w:color w:val="333333"/>
          <w:sz w:val="22"/>
        </w:rPr>
        <w:t>Nacional: Reforma artículo 59 Ley 788, régimen sancionatorio propio, guía jurisprudencial de estatutos locales.</w:t>
      </w:r>
    </w:p>
    <w:p>
      <w:pPr>
        <w:jc w:val="both"/>
      </w:pPr>
      <w:r>
        <w:rPr>
          <w:rFonts w:ascii="Montserrat" w:hAnsi="Montserrat"/>
          <w:color w:val="333333"/>
          <w:sz w:val="22"/>
        </w:rPr>
        <w:t>Regional / departamental: Aplicación de Ley Anticontrabando, ordenanzas departamentales, contribución de seguridad Antioquia.</w:t>
      </w:r>
    </w:p>
    <w:p>
      <w:pPr>
        <w:jc w:val="both"/>
      </w:pPr>
      <w:r>
        <w:rPr>
          <w:rFonts w:ascii="Montserrat" w:hAnsi="Montserrat"/>
          <w:color w:val="333333"/>
          <w:sz w:val="22"/>
        </w:rPr>
        <w:t>Municipal / distrito: Estatutos tributarios locales, acto previo en predial y alumbrado, sanciones ICA en municipios.</w:t>
      </w:r>
    </w:p>
    <w:p>
      <w:pPr>
        <w:jc w:val="both"/>
      </w:pPr>
      <w:r>
        <w:rPr>
          <w:rFonts w:ascii="Montserrat" w:hAnsi="Montserrat"/>
          <w:color w:val="333333"/>
          <w:sz w:val="22"/>
        </w:rPr>
        <w:t>Área metropolitana: No aplica directamente.</w:t>
      </w:r>
    </w:p>
    <w:p>
      <w:pPr>
        <w:jc w:val="both"/>
      </w:pPr>
      <w:r>
        <w:rPr>
          <w:rFonts w:ascii="Montserrat" w:hAnsi="Montserrat"/>
          <w:color w:val="333333"/>
          <w:sz w:val="22"/>
        </w:rPr>
        <w:t>Rural / disperso: Impacto diferenciado en municipios pequeños con menor capacidad jurídica.</w:t>
      </w:r>
    </w:p>
    <w:p>
      <w:pPr>
        <w:jc w:val="both"/>
      </w:pPr>
      <w:r>
        <w:rPr>
          <w:rFonts w:ascii="Montserrat" w:hAnsi="Montserrat"/>
          <w:color w:val="333333"/>
          <w:sz w:val="22"/>
        </w:rPr>
        <w:t>Fronterizo / especial: No aplica.</w:t>
      </w:r>
    </w:p>
    <w:p>
      <w:pPr>
        <w:pStyle w:val="Heading2"/>
      </w:pPr>
      <w:r>
        <w:rPr>
          <w:color w:val="6CD3A5"/>
        </w:rPr>
        <w:t>E.3 Dimensiones de actoría y sinergia</w:t>
      </w:r>
    </w:p>
    <w:p>
      <w:pPr>
        <w:jc w:val="both"/>
      </w:pPr>
      <w:r>
        <w:rPr>
          <w:rFonts w:ascii="Montserrat" w:hAnsi="Montserrat"/>
          <w:color w:val="333333"/>
          <w:sz w:val="22"/>
        </w:rPr>
        <w:t>Ministerios / nivel nacional: Ministerio de Hacienda (Dirección de Apoyo Fiscal), Congreso de la República, Consejo de Estado — Sección Cuarta.</w:t>
      </w:r>
    </w:p>
    <w:p>
      <w:pPr>
        <w:jc w:val="both"/>
      </w:pPr>
      <w:r>
        <w:rPr>
          <w:rFonts w:ascii="Montserrat" w:hAnsi="Montserrat"/>
          <w:color w:val="333333"/>
          <w:sz w:val="22"/>
        </w:rPr>
        <w:t>Gobernaciones / alcaldías: Secretarías de Hacienda, grupos jurídicos territoriales, definición de estatutos tributarios locales.</w:t>
      </w:r>
    </w:p>
    <w:p>
      <w:pPr>
        <w:jc w:val="both"/>
      </w:pPr>
      <w:r>
        <w:rPr>
          <w:rFonts w:ascii="Montserrat" w:hAnsi="Montserrat"/>
          <w:color w:val="333333"/>
          <w:sz w:val="22"/>
        </w:rPr>
        <w:t>Asambleas / concejos: Competencia para fijar estatutos tributarios, límite de disminuir sanciones sin crear nuevas.</w:t>
      </w:r>
    </w:p>
    <w:p>
      <w:pPr>
        <w:jc w:val="both"/>
      </w:pPr>
      <w:r>
        <w:rPr>
          <w:rFonts w:ascii="Montserrat" w:hAnsi="Montserrat"/>
          <w:color w:val="333333"/>
          <w:sz w:val="22"/>
        </w:rPr>
        <w:t>Sector académico / investigación: Centros de estudios de tributos territoriales, asesoría jurídica especializada.</w:t>
      </w:r>
    </w:p>
    <w:p>
      <w:pPr>
        <w:jc w:val="both"/>
      </w:pPr>
      <w:r>
        <w:rPr>
          <w:rFonts w:ascii="Montserrat" w:hAnsi="Montserrat"/>
          <w:color w:val="333333"/>
          <w:sz w:val="22"/>
        </w:rPr>
        <w:t>Sector privado / gremios: Contribuyentes afectados por sanciones desproporcionadas, litigio contra estatutos locales.</w:t>
      </w:r>
    </w:p>
    <w:p>
      <w:pPr>
        <w:jc w:val="both"/>
      </w:pPr>
      <w:r>
        <w:rPr>
          <w:rFonts w:ascii="Montserrat" w:hAnsi="Montserrat"/>
          <w:color w:val="333333"/>
          <w:sz w:val="22"/>
        </w:rPr>
        <w:t>Organismos de control / fiscalización: Consejo de Estado, Procuraduría, control de legalidad de estatutos.</w:t>
      </w:r>
    </w:p>
    <w:p>
      <w:pPr>
        <w:jc w:val="both"/>
      </w:pPr>
      <w:r>
        <w:rPr>
          <w:rFonts w:ascii="Montserrat" w:hAnsi="Montserrat"/>
          <w:color w:val="333333"/>
          <w:sz w:val="22"/>
        </w:rPr>
        <w:t>Sociedad civil / veeduría: Contribuyentes como sujetos de derecho, veeduría sobre procedimientos tributarios locales.</w:t>
      </w:r>
    </w:p>
    <w:p>
      <w:pPr>
        <w:jc w:val="both"/>
      </w:pPr>
      <w:r>
        <w:rPr>
          <w:rFonts w:ascii="Montserrat" w:hAnsi="Montserrat"/>
          <w:color w:val="333333"/>
          <w:sz w:val="22"/>
        </w:rPr>
        <w:t>Cooperación internacional: No mencionada explícitamente.</w:t>
      </w:r>
    </w:p>
    <w:p>
      <w:pPr>
        <w:pStyle w:val="Heading2"/>
      </w:pPr>
      <w:r>
        <w:t>E.4 Relación con otros paneles (Knowledge Graph)</w:t>
      </w:r>
    </w:p>
    <w:p>
      <w:pPr>
        <w:spacing w:after="120"/>
        <w:ind w:left="360" w:hanging="360"/>
      </w:pPr>
      <w:r>
        <w:rPr>
          <w:rFonts w:ascii="Montserrat" w:hAnsi="Montserrat"/>
          <w:color w:val="0B43F7"/>
          <w:sz w:val="20"/>
        </w:rPr>
        <w:t>●</w:t>
        <w:tab/>
      </w:r>
      <w:r>
        <w:rPr>
          <w:rFonts w:ascii="Montserrat" w:hAnsi="Montserrat"/>
          <w:color w:val="333333"/>
          <w:sz w:val="22"/>
        </w:rPr>
        <w:t>Panel 2 (Principales marcos normativos): conexión directa por la discusión de la Ley 788/2002, artículo 59, y la necesidad de reforma del marco normativo tributario territorial.</w:t>
      </w:r>
    </w:p>
    <w:p>
      <w:pPr>
        <w:spacing w:after="120"/>
        <w:ind w:left="360" w:hanging="360"/>
      </w:pPr>
      <w:r>
        <w:rPr>
          <w:rFonts w:ascii="Montserrat" w:hAnsi="Montserrat"/>
          <w:color w:val="0AB6F2"/>
          <w:sz w:val="20"/>
        </w:rPr>
        <w:t>●</w:t>
        <w:tab/>
      </w:r>
      <w:r>
        <w:rPr>
          <w:rFonts w:ascii="Montserrat" w:hAnsi="Montserrat"/>
          <w:color w:val="333333"/>
          <w:sz w:val="22"/>
        </w:rPr>
        <w:t>Panel 3 (Impuesto predial unificado): conexión directa por el procedimiento de determinación oficial, acto previo, sistema de facturación y prescripción del predial.</w:t>
      </w:r>
    </w:p>
    <w:p>
      <w:pPr>
        <w:spacing w:after="120"/>
        <w:ind w:left="360" w:hanging="360"/>
      </w:pPr>
      <w:r>
        <w:rPr>
          <w:rFonts w:ascii="Montserrat" w:hAnsi="Montserrat"/>
          <w:color w:val="00CC30"/>
          <w:sz w:val="20"/>
        </w:rPr>
        <w:t>●</w:t>
        <w:tab/>
      </w:r>
      <w:r>
        <w:rPr>
          <w:rFonts w:ascii="Montserrat" w:hAnsi="Montserrat"/>
          <w:color w:val="333333"/>
          <w:sz w:val="22"/>
        </w:rPr>
        <w:t>Panel 4 (Impuesto de industria y comercio): conexión directa por las sanciones por no declarar, información exógena, proporcionalidad y territorialidad del ICA.</w:t>
      </w:r>
    </w:p>
    <w:p>
      <w:pPr>
        <w:spacing w:after="120"/>
        <w:ind w:left="360" w:hanging="360"/>
      </w:pPr>
      <w:r>
        <w:rPr>
          <w:rFonts w:ascii="Montserrat" w:hAnsi="Montserrat"/>
          <w:color w:val="6CD3A5"/>
          <w:sz w:val="20"/>
        </w:rPr>
        <w:t>●</w:t>
        <w:tab/>
      </w:r>
      <w:r>
        <w:rPr>
          <w:rFonts w:ascii="Montserrat" w:hAnsi="Montserrat"/>
          <w:color w:val="333333"/>
          <w:sz w:val="22"/>
        </w:rPr>
        <w:t>Panel 7 (Generación de valor): conexión indirecta por la necesidad de certeza jurídica para la captura de valor y la relación entre norma clara y recaudo.</w:t>
      </w:r>
    </w:p>
    <w:p>
      <w:pPr>
        <w:spacing w:after="120"/>
        <w:ind w:left="360" w:hanging="360"/>
      </w:pPr>
      <w:r>
        <w:rPr>
          <w:rFonts w:ascii="Montserrat" w:hAnsi="Montserrat"/>
          <w:color w:val="0B43F7"/>
          <w:sz w:val="20"/>
        </w:rPr>
        <w:t>●</w:t>
        <w:tab/>
      </w:r>
      <w:r>
        <w:rPr>
          <w:rFonts w:ascii="Montserrat" w:hAnsi="Montserrat"/>
          <w:color w:val="333333"/>
          <w:sz w:val="22"/>
        </w:rPr>
        <w:t>Panel 13 (Propuestas para la modernización): conexión por la modernización administrativa, uso de tecnología y unificación de formularios y procedimientos electrónicos.</w:t>
      </w:r>
    </w:p>
    <w:p>
      <w:pPr>
        <w:pStyle w:val="Heading1"/>
      </w:pPr>
      <w:r>
        <w:t>12. INSUMOS PARA COMUNICACIONES</w:t>
      </w:r>
    </w:p>
    <w:p>
      <w:pPr>
        <w:jc w:val="both"/>
      </w:pPr>
      <w:r>
        <w:rPr>
          <w:rFonts w:ascii="Montserrat" w:hAnsi="Montserrat"/>
          <w:color w:val="333333"/>
          <w:sz w:val="22"/>
        </w:rPr>
        <w:t>Frase clave para política: "El Estado no aspira a que el contribuyente pague más de aquello que la ley ha querido que coadyuve al financiamiento de los gastos de inversiones del Estado." — Norbey Vargas</w:t>
      </w:r>
    </w:p>
    <w:p>
      <w:pPr>
        <w:jc w:val="both"/>
      </w:pPr>
      <w:r>
        <w:rPr>
          <w:rFonts w:ascii="Montserrat" w:hAnsi="Montserrat"/>
          <w:color w:val="333333"/>
          <w:sz w:val="22"/>
        </w:rPr>
        <w:t>Dato destacado territorial: Sanción por información exógena en ICA: un contribuyente que paga $1 millón de impuesto puede enfrentar sanciones de $7.500 millones por no presentar información de ingresos de otros municipios.</w:t>
      </w:r>
    </w:p>
    <w:p>
      <w:pPr>
        <w:jc w:val="both"/>
      </w:pPr>
      <w:r>
        <w:rPr>
          <w:rFonts w:ascii="Montserrat" w:hAnsi="Montserrat"/>
          <w:color w:val="333333"/>
          <w:sz w:val="22"/>
        </w:rPr>
        <w:t>Mensaje sintetizado (máx. 280 caracteres): Los municipios no necesitan más sanciones, necesitan un procedimiento tributario propio que calce con sus impuestos. #FPT2026 #ProcedimientoTributario #AutonomíaTerritorial</w:t>
      </w:r>
    </w:p>
    <w:p>
      <w:pPr>
        <w:jc w:val="both"/>
      </w:pPr>
      <w:r>
        <w:rPr>
          <w:rFonts w:ascii="Montserrat" w:hAnsi="Montserrat"/>
          <w:color w:val="333333"/>
          <w:sz w:val="22"/>
        </w:rPr>
        <w:t>Actor / fuente: Panel 9 — Sánchez (CESE Jurídica), Vargas (Estrategia Fiscal SAAS), Montoya (GOBS)</w:t>
      </w:r>
    </w:p>
    <w:p>
      <w:pPr>
        <w:jc w:val="both"/>
      </w:pPr>
      <w:r>
        <w:rPr>
          <w:rFonts w:ascii="Montserrat" w:hAnsi="Montserrat"/>
          <w:color w:val="333333"/>
          <w:sz w:val="22"/>
        </w:rPr>
        <w:t>¿Por qué es difundible?: Conecta el lenguaje jurídico-técnico con la experiencia cotidiana del contribuyente —sanciones desproporcionadas, trámites confusos— y desarma el mito de que más rigor siempre equivale a más recaudo.</w:t>
      </w:r>
    </w:p>
    <w:p>
      <w:pPr>
        <w:jc w:val="both"/>
      </w:pPr>
      <w:r>
        <w:rPr>
          <w:rFonts w:ascii="Montserrat" w:hAnsi="Montserrat"/>
          <w:color w:val="333333"/>
          <w:sz w:val="22"/>
        </w:rPr>
        <w:t>Hashtag / etiqueta sugerida: #FPT2026 #ProcedimientoTributario #SancionesTerritoriales #DebidoProceso #JusticiaTributaria #ReformaArt59</w:t>
      </w:r>
    </w:p>
    <w:p>
      <w:pPr>
        <w:jc w:val="both"/>
      </w:pPr>
      <w:r>
        <w:rPr>
          <w:rFonts w:ascii="Montserrat" w:hAnsi="Montserrat"/>
          <w:color w:val="333333"/>
          <w:sz w:val="22"/>
        </w:rPr>
        <w:t>Formato sugerido: Hilo de Twitter/X: 6 tweets — (1) El problema: el Estatuto Nacional no calza en el territorio, (2) El reto: sanciones que se caen de su propio peso, (3) La solución: un régimen propio, (4) El dato: $1 millón de impuesto, $7.500 millones de sanción, (5) La cita de Vargas sobre el fin del sistema tributario, (6) El llamado: reformar el artículo 59.</w:t>
      </w:r>
    </w:p>
    <w:p>
      <w:pPr>
        <w:pStyle w:val="Heading1"/>
      </w:pPr>
      <w:r>
        <w:t>13. TRAZABILIDAD Y VALIDACIÓN</w:t>
      </w:r>
    </w:p>
    <w:p>
      <w:pPr>
        <w:jc w:val="both"/>
      </w:pPr>
      <w:r>
        <w:rPr>
          <w:rFonts w:ascii="Montserrat" w:hAnsi="Montserrat"/>
          <w:color w:val="333333"/>
          <w:sz w:val="22"/>
        </w:rPr>
        <w:t>Hora de finalización de la captura: 12:00 M (estimada, panel matutino)</w:t>
      </w:r>
    </w:p>
    <w:p>
      <w:pPr>
        <w:jc w:val="both"/>
      </w:pPr>
      <w:r>
        <w:rPr>
          <w:rFonts w:ascii="Montserrat" w:hAnsi="Montserrat"/>
          <w:color w:val="333333"/>
          <w:sz w:val="22"/>
        </w:rPr>
        <w:t>Revisado por (auxiliar de gestión del conocimiento): Andrés Zorrilla</w:t>
      </w:r>
    </w:p>
    <w:p>
      <w:pPr>
        <w:jc w:val="both"/>
      </w:pPr>
      <w:r>
        <w:rPr>
          <w:rFonts w:ascii="Montserrat" w:hAnsi="Montserrat"/>
          <w:color w:val="333333"/>
          <w:sz w:val="22"/>
        </w:rPr>
        <w:t>Nivel de confianza del registro: ALTO — Información verificada con fuentes claras, datos confirmados por los panelistas en sesión pública. Citas textuales reconstruidas desde transcripción completa del audio.</w:t>
      </w:r>
    </w:p>
    <w:p>
      <w:pPr>
        <w:jc w:val="both"/>
      </w:pPr>
      <w:r>
        <w:rPr>
          <w:rFonts w:ascii="Montserrat" w:hAnsi="Montserrat"/>
          <w:color w:val="333333"/>
          <w:sz w:val="22"/>
        </w:rPr>
        <w:t>Observaciones de validación rápida: Las referencias jurisprudenciales —sentencia Tierra Alta 2025, ponencia doctora Miriam Estela; línea jurisprudencial Sección Cuarta desde 2000; sentencias sobre prescripción del predial desde 2017— fueron enunciadas por Mari Claudia Sánchez. Se recomienda contrastar con las sentencias oficiales del Consejo de Estado. La referencia a la ordenanza 050 de 2024 del departamento de Antioquia fue citada por Norbey Vargas; requiere verificación con la Secretaría de Hacienda de Antioquia. El concepto de la Dirección de Apoyo Fiscal de 2017 fue mencionado por Mari Claudia Sánchez; se recomienda solicitar número exacto de concepto.</w:t>
      </w:r>
    </w:p>
    <w:p>
      <w:pPr>
        <w:jc w:val="both"/>
      </w:pPr>
      <w:r>
        <w:rPr>
          <w:rFonts w:ascii="Montserrat" w:hAnsi="Montserrat"/>
          <w:color w:val="333333"/>
          <w:sz w:val="22"/>
        </w:rPr>
        <w:t>Pendientes / dudas para resolver con el equipo: (1) Confirmar fecha exacta de sesión (5 o 6 de agosto 2026); (2) Solicitar presentaciones de diapositivas de los panelistas para enriquecer anexos; (3) Verificar número exacto de concepto DAF 2017 sobre prescripción del predial; (4) Solicitar texto de la sentencia Tierra Alta 2025 para anexo jurisprudencial.</w:t>
      </w:r>
    </w:p>
    <w:p>
      <w:pPr>
        <w:jc w:val="both"/>
      </w:pPr>
      <w:r>
        <w:rPr>
          <w:rFonts w:ascii="Montserrat" w:hAnsi="Montserrat"/>
          <w:color w:val="333333"/>
          <w:sz w:val="22"/>
        </w:rPr>
        <w:t>Archivos adjuntos: Transcripción completa Panel 9 (Transcripción panel 9.docx); Ficha de Panel 9 en Excel (Panel 9. Procedimiento tributario.xlsx); Documento Metodológico Ejecutivo FPT 2026.</w:t>
      </w:r>
    </w:p>
    <w:p>
      <w:pPr>
        <w:pStyle w:val="Heading1"/>
      </w:pPr>
      <w:r>
        <w:t>14. NOTA METODOLÓGICA</w:t>
      </w:r>
    </w:p>
    <w:p>
      <w:pPr>
        <w:jc w:val="both"/>
      </w:pPr>
      <w:r>
        <w:rPr>
          <w:rFonts w:ascii="Montserrat" w:hAnsi="Montserrat"/>
          <w:color w:val="333333"/>
          <w:sz w:val="22"/>
        </w:rPr>
        <w:t>Esta relatoría se elaboró bajo los principios del Documento Metodológico — Sistematización Estratégica FPT 2026 (Magna Comunicaciones | GOBS Estrategias Públicas, julio 2026). La información se organizó siguiendo la cadena de valor Problema → Reto → Solución → Sinergia, no el orden cronológico de las intervenciones. Las citas textuales entrecomilladas corresponden a expresiones reconstruidas desde la transcripción completa del panel y mantienen la intención discursiva del panelista. La síntesis en caliente (Sección 8) fue completada dentro de la ventana de 24 horas posterior al cierre del panel para preservar el contexto implícito. El nivel de confianza 'ALTO' se asigna por tratarse de un registro público con fuentes identificables, sujeto a las validaciones de cifras y referencias jurisprudenciales señaladas en la trazabilidad.</w:t>
      </w:r>
    </w:p>
    <w:sectPr>
      <w:headerReference r:id="rId7" w:type="default"/>
      <w:footerReference r:id="rId8" w:type="default"/>
      <w:pgSz w:h="15840" w:w="12240" w:orient="portrait"/>
      <w:pgMar w:bottom="115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8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333333"/>
        <w:sz w:val="22"/>
        <w:szCs w:val="22"/>
        <w:u w:val="none"/>
        <w:shd w:fill="auto" w:val="clear"/>
        <w:vertAlign w:val="baseline"/>
      </w:rPr>
      <w:drawing>
        <wp:inline distB="0" distT="0" distL="114300" distR="114300">
          <wp:extent cx="5029200" cy="246810"/>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29200" cy="24681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40" w:lineRule="auto"/>
      <w:jc w:val="center"/>
      <w:rPr/>
    </w:pPr>
    <w:r w:rsidDel="00000000" w:rsidR="00000000" w:rsidRPr="00000000">
      <w:rPr>
        <w:rFonts w:ascii="Montserrat" w:cs="Montserrat" w:eastAsia="Montserrat" w:hAnsi="Montserrat"/>
        <w:b w:val="0"/>
        <w:bCs w:val="0"/>
        <w:i w:val="0"/>
        <w:iCs w:val="0"/>
        <w:color w:val="4a4a5a"/>
        <w:sz w:val="16"/>
        <w:szCs w:val="16"/>
        <w:rtl w:val="0"/>
      </w:rPr>
      <w:t xml:space="preserve">Sistematización FPT 2026 </w:t>
    </w:r>
    <w:r w:rsidDel="00000000" w:rsidR="00000000" w:rsidRPr="00000000">
      <w:rPr>
        <w:color w:val="4a4a5a"/>
        <w:sz w:val="16"/>
        <w:szCs w:val="16"/>
        <w:rtl w:val="0"/>
      </w:rPr>
      <w:t xml:space="preserve"> | </w:t>
    </w:r>
    <w:r w:rsidDel="00000000" w:rsidR="00000000" w:rsidRPr="00000000">
      <w:rPr>
        <w:rFonts w:ascii="Montserrat" w:cs="Montserrat" w:eastAsia="Montserrat" w:hAnsi="Montserrat"/>
        <w:b w:val="0"/>
        <w:bCs w:val="0"/>
        <w:i w:val="0"/>
        <w:iCs w:val="0"/>
        <w:color w:val="4a4a5a"/>
        <w:sz w:val="16"/>
        <w:szCs w:val="16"/>
        <w:rtl w:val="0"/>
      </w:rPr>
      <w:t xml:space="preserve">GOBS Estrategias Públicas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ontserrat" w:cs="Montserrat" w:eastAsia="Montserrat" w:hAnsi="Montserrat"/>
        <w:b w:val="0"/>
        <w:bCs w:val="0"/>
        <w:i w:val="0"/>
        <w:iCs w:val="0"/>
        <w:smallCaps w:val="0"/>
        <w:strike w:val="0"/>
        <w:color w:val="333333"/>
        <w:sz w:val="22"/>
        <w:szCs w:val="22"/>
        <w:u w:val="none"/>
        <w:shd w:fill="auto" w:val="clear"/>
        <w:vertAlign w:val="baseline"/>
      </w:rPr>
    </w:pPr>
    <w:r w:rsidDel="00000000" w:rsidR="00000000" w:rsidRPr="00000000">
      <w:rPr>
        <w:rtl w:val="0"/>
      </w:rPr>
    </w:r>
  </w:p>
  <w:tbl>
    <w:tblPr>
      <w:tblStyle w:val="Table3"/>
      <w:tblW w:w="9359.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24"/>
      <w:gridCol w:w="3312"/>
      <w:gridCol w:w="3024"/>
      <w:tblGridChange w:id="0">
        <w:tblGrid>
          <w:gridCol w:w="3024"/>
          <w:gridCol w:w="3312"/>
          <w:gridCol w:w="3024"/>
        </w:tblGrid>
      </w:tblGridChange>
    </w:tblGrid>
    <w:tr>
      <w:trPr>
        <w:cantSplit w:val="0"/>
        <w:tblHeader w:val="0"/>
      </w:trPr>
      <w:tc>
        <w:tcPr>
          <w:vAlign w:val="center"/>
        </w:tcPr>
        <w:p w:rsidR="00000000" w:rsidDel="00000000" w:rsidP="00000000" w:rsidRDefault="00000000" w:rsidRPr="00000000" w14:paraId="00000016">
          <w:pPr>
            <w:jc w:val="left"/>
            <w:rPr/>
          </w:pPr>
          <w:r w:rsidDel="00000000" w:rsidR="00000000" w:rsidRPr="00000000">
            <w:rPr/>
            <w:drawing>
              <wp:inline distB="0" distT="0" distL="114300" distR="114300">
                <wp:extent cx="1463040" cy="8229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463040" cy="82296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7">
          <w:pPr>
            <w:jc w:val="center"/>
            <w:rPr/>
          </w:pPr>
          <w:r w:rsidDel="00000000" w:rsidR="00000000" w:rsidRPr="00000000">
            <w:rPr/>
            <w:drawing>
              <wp:inline distB="0" distT="0" distL="114300" distR="114300">
                <wp:extent cx="1280160" cy="1005459"/>
                <wp:effectExtent b="0" l="0" r="0" t="0"/>
                <wp:docPr id="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280160" cy="100545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8">
          <w:pPr>
            <w:jc w:val="right"/>
            <w:rPr/>
          </w:pPr>
          <w:r w:rsidDel="00000000" w:rsidR="00000000" w:rsidRPr="00000000">
            <w:rPr/>
            <w:drawing>
              <wp:inline distB="0" distT="0" distL="114300" distR="114300">
                <wp:extent cx="1645920" cy="423907"/>
                <wp:effectExtent b="0" l="0" r="0" t="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45920" cy="4239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9">
    <w:pPr>
      <w:spacing w:before="40" w:lineRule="auto"/>
      <w:jc w:val="center"/>
      <w:rPr/>
    </w:pPr>
    <w:r w:rsidDel="00000000" w:rsidR="00000000" w:rsidRPr="00000000">
      <w:rPr>
        <w:rFonts w:ascii="Montserrat" w:cs="Montserrat" w:eastAsia="Montserrat" w:hAnsi="Montserrat"/>
        <w:b w:val="0"/>
        <w:bCs w:val="0"/>
        <w:i w:val="0"/>
        <w:iCs w:val="0"/>
        <w:color w:val="e0e0e0"/>
        <w:sz w:val="12"/>
        <w:szCs w:val="12"/>
        <w:rtl w:val="0"/>
      </w:rPr>
      <w:t xml:space="preserve">__________________________________________________________________________________________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333333"/>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Georgia" w:cs="Georgia" w:eastAsia="Georgia" w:hAnsi="Georgia"/>
      <w:b w:val="1"/>
      <w:bCs w:val="1"/>
      <w:color w:val="000000"/>
      <w:sz w:val="40"/>
      <w:szCs w:val="40"/>
    </w:rPr>
  </w:style>
  <w:style w:type="paragraph" w:styleId="Heading2">
    <w:name w:val="heading 2"/>
    <w:basedOn w:val="Normal"/>
    <w:next w:val="Normal"/>
    <w:pPr>
      <w:keepNext w:val="1"/>
      <w:keepLines w:val="1"/>
      <w:spacing w:after="160" w:before="360" w:lineRule="auto"/>
    </w:pPr>
    <w:rPr>
      <w:rFonts w:ascii="Georgia" w:cs="Georgia" w:eastAsia="Georgia" w:hAnsi="Georgia"/>
      <w:b w:val="1"/>
      <w:bCs w:val="1"/>
      <w:color w:val="0b43f7"/>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ind w:left="360"/>
      <w:contextualSpacing w:val="1"/>
    </w:pPr>
    <w:rPr>
      <w:rFonts w:ascii="Montserrat" w:hAnsi="Montserrat"/>
      <w:color w:val="333333"/>
      <w:sz w:val="22"/>
    </w:r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pPr>
      <w:spacing w:after="240" w:before="240"/>
      <w:ind w:left="432" w:right="432"/>
    </w:pPr>
    <w:rPr>
      <w:rFonts w:ascii="Georgia" w:hAnsi="Georgia"/>
      <w:i w:val="1"/>
      <w:iCs w:val="1"/>
      <w:color w:val="1a1a2e"/>
      <w:sz w:val="2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HMq/R98wWnvN5Q+kTqFynqfo6w==">CgMxLjA4AHIhMTF3TzRPc2ZwbXo3bkNOb1g2cHpQTC0xNEhjeENrT2xR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