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Montserrat-bold.ttf" ContentType="application/x-font-ttf"/>
  <Override PartName="/word/fonts/Montserrat-boldItalic.ttf" ContentType="application/x-font-ttf"/>
  <Override PartName="/word/fonts/Montserrat-italic.ttf" ContentType="application/x-font-ttf"/>
  <Override PartName="/word/fonts/Montserrat-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Heading1"/>
      </w:pPr>
      <w:r>
        <w:t>RELATORÍA ESTRATÉGICA — PANEL 10</w:t>
      </w:r>
    </w:p>
    <w:p>
      <w:pPr>
        <w:spacing w:after="80"/>
      </w:pPr>
      <w:r>
        <w:rPr>
          <w:rFonts w:ascii="Georgia" w:hAnsi="Georgia"/>
          <w:i/>
          <w:color w:val="4A4A5A"/>
          <w:sz w:val="24"/>
        </w:rPr>
        <w:t>Novedades Jurisprudenciales: Cuando la Última Palabra Tarda en Llegar</w:t>
      </w:r>
    </w:p>
    <w:p>
      <w:pPr>
        <w:spacing w:after="80"/>
      </w:pPr>
      <w:r>
        <w:rPr>
          <w:rFonts w:ascii="Georgia" w:hAnsi="Georgia"/>
          <w:i/>
          <w:color w:val="666666"/>
          <w:sz w:val="18"/>
        </w:rPr>
        <w:t>Congreso de Finanzas Públicas Territoriales 2026 | GOBS Estrategias Públicas</w:t>
      </w:r>
      <w:r>
        <w:br/>
      </w:r>
      <w:r>
        <w:rPr>
          <w:rFonts w:ascii="Georgia" w:hAnsi="Georgia"/>
          <w:i/>
          <w:color w:val="666666"/>
          <w:sz w:val="18"/>
        </w:rPr>
        <w:t>Documento Metodológico — Sistematización Estratégica FPT 2026</w:t>
      </w:r>
      <w:r>
        <w:br/>
      </w:r>
      <w:r>
        <w:rPr>
          <w:rFonts w:ascii="Georgia" w:hAnsi="Georgia"/>
          <w:i/>
          <w:color w:val="666666"/>
          <w:sz w:val="18"/>
        </w:rPr>
        <w:t>Fecha de sesión: 6 de agosto de 2026 | Hora: 12:00 M — Gran Salón Plaza Mayor</w:t>
      </w:r>
      <w:r>
        <w:br/>
      </w:r>
      <w:r>
        <w:rPr>
          <w:rFonts w:ascii="Georgia" w:hAnsi="Georgia"/>
          <w:i/>
          <w:color w:val="666666"/>
          <w:sz w:val="18"/>
        </w:rPr>
        <w:t>Moderador: Mónica (Organización FPT 2026)</w:t>
      </w:r>
      <w:r>
        <w:br/>
      </w:r>
      <w:r>
        <w:rPr>
          <w:rFonts w:ascii="Georgia" w:hAnsi="Georgia"/>
          <w:i/>
          <w:color w:val="666666"/>
          <w:sz w:val="18"/>
        </w:rPr>
        <w:t>Panelistas: Gabriel Muñoz (Magistrado Auxiliar, Sección Cuarta del Consejo de Estado), Juan José Rodríguez (Director de Impuestos, ANDI)</w:t>
      </w:r>
    </w:p>
    <w:p>
      <w:pPr>
        <w:spacing w:after="320"/>
      </w:pPr>
      <w:r>
        <w:rPr>
          <w:rFonts w:ascii="Montserrat" w:hAnsi="Montserrat"/>
          <w:color w:val="0B43F7"/>
          <w:sz w:val="20"/>
        </w:rPr>
        <w:t>───────────────────────────────────</w:t>
      </w:r>
    </w:p>
    <w:p>
      <w:pPr>
        <w:pStyle w:val="Heading1"/>
      </w:pPr>
      <w:r>
        <w:t>1. LA ÚLTIMA PALABRA QUE NUNCA LLEGA</w:t>
      </w:r>
    </w:p>
    <w:p>
      <w:pPr>
        <w:spacing w:before="120"/>
      </w:pPr>
      <w:r>
        <w:rPr>
          <w:rFonts w:ascii="Montserrat" w:hAnsi="Montserrat"/>
          <w:b/>
          <w:color w:val="1A1A2E"/>
          <w:sz w:val="22"/>
        </w:rPr>
        <w:t>Eje A. Una advertencia institucional: la renovación de la Sección Cuarta</w:t>
      </w:r>
    </w:p>
    <w:p>
      <w:pPr>
        <w:jc w:val="both"/>
      </w:pPr>
      <w:r>
        <w:rPr>
          <w:rFonts w:ascii="Montserrat" w:hAnsi="Montserrat"/>
          <w:color w:val="333333"/>
          <w:sz w:val="22"/>
        </w:rPr>
        <w:t>El panel se abrió con una advertencia institucional de alto voltaje: la Sección Cuarta del Consejo de Estado se renovó en un 50% durante 2025, lo cual significa que desde 2026 se empiezan a ver nuevas líneas de pensamiento jurídico. Pero esa renovación no es el único factor de incertidumbre. En el último año, la Corte Constitucional ha intentado enmendar la plana al Consejo de Estado en al menos tres ocasiones: con las ciudades capitales, con una estampilla universitaria de Cartagena y con el ICA en servicios de salud. El resultado es un sistema donde la última palabra no llega hasta mucho tiempo después, generando devoluciones masivas, acuerdos municipales nulos y un clima de desconfianza que erosiona la recaudación territorial.</w:t>
      </w:r>
    </w:p>
    <w:p>
      <w:pPr>
        <w:pStyle w:val="Quote"/>
      </w:pPr>
      <w:r>
        <w:rPr>
          <w:rFonts w:ascii="Georgia" w:hAnsi="Georgia"/>
          <w:i/>
          <w:color w:val="1A1A2E"/>
          <w:sz w:val="21"/>
        </w:rPr>
        <w:t>"la sección cuarta del Consejo de estado se renovó en un 50% en el transcurso del año 2025, lo cual supone que a partir de este año 2026 comienza a verse el pensamiento las líneas de aplicación del derecho que los nuevos integrantes de la sección cuarta despliegan a la hora de estudiar los casos."</w:t>
      </w:r>
      <w:r>
        <w:br/>
      </w:r>
      <w:r>
        <w:rPr>
          <w:rFonts w:ascii="Georgia" w:hAnsi="Georgia"/>
          <w:b/>
          <w:i/>
          <w:color w:val="0B43F7"/>
          <w:sz w:val="21"/>
        </w:rPr>
        <w:t>— Gabriel Muñoz</w:t>
      </w:r>
    </w:p>
    <w:p>
      <w:pPr>
        <w:pStyle w:val="Quote"/>
      </w:pPr>
      <w:r>
        <w:rPr>
          <w:rFonts w:ascii="Georgia" w:hAnsi="Georgia"/>
          <w:i/>
          <w:color w:val="1A1A2E"/>
          <w:sz w:val="21"/>
        </w:rPr>
        <w:t>"la labor que realiza la sección cuarta del Consejo de estado es gigantesca muy grande en el transcurso de un año se prefieren cerca de mil sentencias."</w:t>
      </w:r>
      <w:r>
        <w:br/>
      </w:r>
      <w:r>
        <w:rPr>
          <w:rFonts w:ascii="Georgia" w:hAnsi="Georgia"/>
          <w:b/>
          <w:i/>
          <w:color w:val="0B43F7"/>
          <w:sz w:val="21"/>
        </w:rPr>
        <w:t>— Gabriel Muñoz</w:t>
      </w:r>
    </w:p>
    <w:p>
      <w:pPr>
        <w:spacing w:before="120"/>
      </w:pPr>
      <w:r>
        <w:rPr>
          <w:rFonts w:ascii="Montserrat" w:hAnsi="Montserrat"/>
          <w:b/>
          <w:color w:val="1A1A2E"/>
          <w:sz w:val="22"/>
        </w:rPr>
        <w:t>Eje B. El caso de la Ley 2082: la interpretación restrictiva del Consejo de Estado</w:t>
      </w:r>
    </w:p>
    <w:p>
      <w:pPr>
        <w:jc w:val="both"/>
      </w:pPr>
      <w:r>
        <w:rPr>
          <w:rFonts w:ascii="Montserrat" w:hAnsi="Montserrat"/>
          <w:color w:val="333333"/>
          <w:sz w:val="22"/>
        </w:rPr>
        <w:t>El caso más reciente y más revelador es el de la Ley 2082 de 2021, que habilitó a las ciudades capitales para adoptar las normas especiales que rigen en Bogotá en materia de ICA y predial. Cali y Yopal aprovecharon esa habilitación para gravar a las entidades financieras con tarifas de 23 y 20 por mil, respectivamente, dentro del marco tarifario del Decreto Ley 1421 de 1993, que autoriza tarifas de hasta 30 por mil para el Distrito Capital. El Consejo de Estado, con ponencia de la doctora Miriam Estela, consideró que el límite no era el decreto ley —que tiene rango legal— sino el acuerdo de Bogotá vigente en ese momento, que se quedaba en 14 por mil. La razón: el artículo 14 de la Ley 2082 exige que se trate de una regulación contemplada especialmente para Bogotá y que, además, rija en Bogotá; es decir, que esté adoptada en el acuerdo distrital. Esa interpretación anuló los acuerdos de Cali y Yopal y activó solicitudes de devolución de lo pagado en exceso por las entidades financieras.</w:t>
      </w:r>
    </w:p>
    <w:p>
      <w:pPr>
        <w:pStyle w:val="Quote"/>
      </w:pPr>
      <w:r>
        <w:rPr>
          <w:rFonts w:ascii="Georgia" w:hAnsi="Georgia"/>
          <w:i/>
          <w:color w:val="1A1A2E"/>
          <w:sz w:val="21"/>
        </w:rPr>
        <w:t>"la corte constitucional ha intentado enmendar la plana al consejo de estado en tres ocasiones... esto podría implicar que al final nunca exista un momento último un cierre de los de debate jurídicos."</w:t>
      </w:r>
      <w:r>
        <w:br/>
      </w:r>
      <w:r>
        <w:rPr>
          <w:rFonts w:ascii="Georgia" w:hAnsi="Georgia"/>
          <w:b/>
          <w:i/>
          <w:color w:val="0B43F7"/>
          <w:sz w:val="21"/>
        </w:rPr>
        <w:t>— Gabriel Muñoz</w:t>
      </w:r>
    </w:p>
    <w:p>
      <w:pPr>
        <w:pStyle w:val="Quote"/>
      </w:pPr>
      <w:r>
        <w:rPr>
          <w:rFonts w:ascii="Georgia" w:hAnsi="Georgia"/>
          <w:i/>
          <w:color w:val="1A1A2E"/>
          <w:sz w:val="21"/>
        </w:rPr>
        <w:t>"el consejo de estado determinó en ese momento que el límite máximo que tenían las autoridades municipales para adoptar el impuesto o la tarifa del impuesto era el acuerdo que había adoptado Bogotá."</w:t>
      </w:r>
      <w:r>
        <w:br/>
      </w:r>
      <w:r>
        <w:rPr>
          <w:rFonts w:ascii="Georgia" w:hAnsi="Georgia"/>
          <w:b/>
          <w:i/>
          <w:color w:val="0B43F7"/>
          <w:sz w:val="21"/>
        </w:rPr>
        <w:t>— Juan José Rodríguez</w:t>
      </w:r>
    </w:p>
    <w:p>
      <w:pPr>
        <w:spacing w:before="120"/>
      </w:pPr>
      <w:r>
        <w:rPr>
          <w:rFonts w:ascii="Montserrat" w:hAnsi="Montserrat"/>
          <w:b/>
          <w:color w:val="1A1A2E"/>
          <w:sz w:val="22"/>
        </w:rPr>
        <w:t>Eje C. La corrección constitucional que amplía el rango tarifario</w:t>
      </w:r>
    </w:p>
    <w:p>
      <w:pPr>
        <w:jc w:val="both"/>
      </w:pPr>
      <w:r>
        <w:rPr>
          <w:rFonts w:ascii="Montserrat" w:hAnsi="Montserrat"/>
          <w:color w:val="333333"/>
          <w:sz w:val="22"/>
        </w:rPr>
        <w:t>Pero la historia no terminó ahí. Las ciudades impugnaron vía tutela, y la Corte Constitucional, en la sentencia de unificación T-047 de 2026, determinó que la interpretación mayoritaria del Consejo de Estado contenía un defecto sustantivo: contrariaba la autonomía de las entidades territoriales y la jerarquía normativa. El control del acuerdo de una ciudad capital no puede hacerse contra el acuerdo de Bogotá, sino contra normas con rango de ley. En otras palabras: el tope tarifario es el Decreto Ley 1421 de 1993 —hasta 30 por mil—, no el acuerdo municipal de Bogotá. El magistrado Wilson Ramos ya se había apartado de la decisión del Consejo de Estado con ese mismo argumento, y la Corte terminó dándole la razón.</w:t>
      </w:r>
    </w:p>
    <w:p>
      <w:pPr>
        <w:pStyle w:val="Quote"/>
      </w:pPr>
      <w:r>
        <w:rPr>
          <w:rFonts w:ascii="Georgia" w:hAnsi="Georgia"/>
          <w:i/>
          <w:color w:val="1A1A2E"/>
          <w:sz w:val="21"/>
        </w:rPr>
        <w:t>"la corte constitucional determinó que se estaban afectando los derechos fundamentales de las entidades territoriales... hubo un defecto sustantivo en la interpretación mayoritaria que acogió el consejo de estado."</w:t>
      </w:r>
      <w:r>
        <w:br/>
      </w:r>
      <w:r>
        <w:rPr>
          <w:rFonts w:ascii="Georgia" w:hAnsi="Georgia"/>
          <w:b/>
          <w:i/>
          <w:color w:val="0B43F7"/>
          <w:sz w:val="21"/>
        </w:rPr>
        <w:t>— Gabriel Muñoz</w:t>
      </w:r>
    </w:p>
    <w:p>
      <w:pPr>
        <w:pStyle w:val="Quote"/>
      </w:pPr>
      <w:r>
        <w:rPr>
          <w:rFonts w:ascii="Georgia" w:hAnsi="Georgia"/>
          <w:i/>
          <w:color w:val="1A1A2E"/>
          <w:sz w:val="21"/>
        </w:rPr>
        <w:t>"el control del acuerdo de una ciudad capital no pueda hacerse contra el acuerdo de Bogotá sino contra normas con Rango de ley, es decir contra las disposiciones particulares que existen en ica y en predial en el decreto ley 1421 del año 1993."</w:t>
      </w:r>
      <w:r>
        <w:br/>
      </w:r>
      <w:r>
        <w:rPr>
          <w:rFonts w:ascii="Georgia" w:hAnsi="Georgia"/>
          <w:b/>
          <w:i/>
          <w:color w:val="0B43F7"/>
          <w:sz w:val="21"/>
        </w:rPr>
        <w:t>— Gabriel Muñoz</w:t>
      </w:r>
    </w:p>
    <w:p>
      <w:pPr>
        <w:spacing w:before="120"/>
      </w:pPr>
      <w:r>
        <w:rPr>
          <w:rFonts w:ascii="Montserrat" w:hAnsi="Montserrat"/>
          <w:b/>
          <w:color w:val="1A1A2E"/>
          <w:sz w:val="22"/>
        </w:rPr>
        <w:t>Eje D. Un problema que persiste: los vacíos que la sentencia no resuelve</w:t>
      </w:r>
    </w:p>
    <w:p>
      <w:pPr>
        <w:jc w:val="both"/>
      </w:pPr>
      <w:r>
        <w:rPr>
          <w:rFonts w:ascii="Montserrat" w:hAnsi="Montserrat"/>
          <w:color w:val="333333"/>
          <w:sz w:val="22"/>
        </w:rPr>
        <w:t>El problema, sin embargo, no se resuelve con esa sentencia. La Ley 2082 no abrió la puerta de par en par: las ciudades capitales deben adoptar las normas de Bogotá "atendiendo las realidades tributarias de cada ciudad capital". Ese concepto jurídico indeterminado es ahora el campo de batalla. ¿Qué significa en concreto? Gabriel Muñoz fue claro: la exigencia es de motivación. El concejo no puede aprobar una tarifa de 30 por mil con una motivación genérica, mucho menos redactada por inteligencia artificial. Tiene que demostrar, con datos específicos de su circunscripción, por qué se requiere esa tarifa para ese sector en particular. Si en una jurisdicción no existe una actividad económica significativa fuera del sector financiero, eso podría ser un argumento; pero la motivación debe ser territorial, verificable y objetiva. De lo contrario, el contribuyente seguirá teniendo un criterio de impugnación.</w:t>
      </w:r>
    </w:p>
    <w:p>
      <w:pPr>
        <w:pStyle w:val="Quote"/>
      </w:pPr>
      <w:r>
        <w:rPr>
          <w:rFonts w:ascii="Georgia" w:hAnsi="Georgia"/>
          <w:i/>
          <w:color w:val="1A1A2E"/>
          <w:sz w:val="21"/>
        </w:rPr>
        <w:t>"la corte constitucional está enmendando la plana del Consejo de estado. Y esas circunstancias preocupante."</w:t>
      </w:r>
      <w:r>
        <w:br/>
      </w:r>
      <w:r>
        <w:rPr>
          <w:rFonts w:ascii="Georgia" w:hAnsi="Georgia"/>
          <w:b/>
          <w:i/>
          <w:color w:val="0B43F7"/>
          <w:sz w:val="21"/>
        </w:rPr>
        <w:t>— Gabriel Muñoz</w:t>
      </w:r>
    </w:p>
    <w:p>
      <w:pPr>
        <w:pStyle w:val="Quote"/>
      </w:pPr>
      <w:r>
        <w:rPr>
          <w:rFonts w:ascii="Georgia" w:hAnsi="Georgia"/>
          <w:i/>
          <w:color w:val="1A1A2E"/>
          <w:sz w:val="21"/>
        </w:rPr>
        <w:t>"ya sabemos que Que tienen todo el rango tarifario y de modificaciones de del decreto ley 1421, pero la pregunta es y hasta dónde pueden ir."</w:t>
      </w:r>
      <w:r>
        <w:br/>
      </w:r>
      <w:r>
        <w:rPr>
          <w:rFonts w:ascii="Georgia" w:hAnsi="Georgia"/>
          <w:b/>
          <w:i/>
          <w:color w:val="0B43F7"/>
          <w:sz w:val="21"/>
        </w:rPr>
        <w:t>— Juan José Rodríguez</w:t>
      </w:r>
    </w:p>
    <w:p>
      <w:pPr>
        <w:pStyle w:val="Heading1"/>
      </w:pPr>
      <w:r>
        <w:t>2. EL LABERINTO DEL CONTROL: ENTRE LA POTENCIALIDAD, EL CONSUMO Y LA RIQUEZA</w:t>
      </w:r>
    </w:p>
    <w:p>
      <w:pPr>
        <w:jc w:val="both"/>
      </w:pPr>
      <w:r>
        <w:rPr>
          <w:rFonts w:ascii="Montserrat" w:hAnsi="Montserrat"/>
          <w:color w:val="333333"/>
          <w:sz w:val="22"/>
        </w:rPr>
        <w:t>Si el problema es la incertidumbre sobre los límites de la autonomía, el reto es navegar un laberinto de conceptos jurídicos que cambian de sentido según la sala que los interprete. El impuesto de alumbrado público es el ejemplo más dramático: buena parte de las mil sentencias anuales de la Sección Cuarta están relacionadas con este tributo, especialmente en pequeños municipios que lo usan como una de sus pocas fuentes de financiación.</w:t>
      </w:r>
    </w:p>
    <w:p>
      <w:pPr>
        <w:jc w:val="both"/>
      </w:pPr>
      <w:r>
        <w:rPr>
          <w:rFonts w:ascii="Montserrat" w:hAnsi="Montserrat"/>
          <w:color w:val="333333"/>
          <w:sz w:val="22"/>
        </w:rPr>
        <w:t>La historia del alumbrado público es una historia de intentos fallidos de contenerlo. En el gobierno de Juan Manuel Santos se intentó convertirlo en contribución especial con destinación específica; la Corte lo declaró inexequible. Luego vino la Ley 1819 de 2016, que creó una regulación más detallada: hecho generador, límites, reglamento técnico que demostrara el costo de la prestación, y obligatoriedad de que las empresas de servicios públicos lo cobraran a través de la factura de energía. En 2019, el Consejo de Estado profirió una sentencia de unificación que definió el hecho generador como la "potencialidad de ser beneficiario" del servicio, y señaló que el consumo de energía o la posesión de un inmueble podían ser criterios relevantes para la base gravable y las tarifas.</w:t>
      </w:r>
    </w:p>
    <w:p>
      <w:pPr>
        <w:jc w:val="both"/>
      </w:pPr>
      <w:r>
        <w:rPr>
          <w:rFonts w:ascii="Montserrat" w:hAnsi="Montserrat"/>
          <w:color w:val="333333"/>
          <w:sz w:val="22"/>
        </w:rPr>
        <w:t>Pero la novedad llegó con la sentencia sobre Jericó, emitida pocos meses antes del panel. Allí el Consejo de Estado dio un giro: el hecho generador ya no es la potencialidad de ser beneficiario, sino el "ser beneficiario" del servicio. El consumo de energía es la base gravable necesaria; el catastro solo entra como criterio subsidiario cuando no hay consumo de energía. Y en materia de tarifas, la sentencia estableció una regla de oro: las tarifas deben tener relación íntima con el hecho generador y, en ese mismo sentido, deben estar relacionadas con la estructura tarifaria del servicio público de energía. No pueden fijarse en función de cada actividad económica ni porque una empresa sea "la más rica del municipio". Los acuerdos que establecían "contribuyentes especiales" —categoría A1 para entidades financieras, generadores petroleros, mineras— con tarifas diferenciadas por capacidad contributiva o riqueza, quedaron en la mira. Jericó tenía una disposición así para los generadores de energía, y el Consejo de Estado la tumbó.</w:t>
      </w:r>
    </w:p>
    <w:p>
      <w:pPr>
        <w:jc w:val="both"/>
      </w:pPr>
      <w:r>
        <w:rPr>
          <w:rFonts w:ascii="Montserrat" w:hAnsi="Montserrat"/>
          <w:color w:val="333333"/>
          <w:sz w:val="22"/>
        </w:rPr>
        <w:t>Esto tiene una implicación práctica inmediata: cientos de acuerdos municipales en todo el país pueden estar en riesgo de nulidad. Gabriel Muñoz fue explícito: las autoridades municipales deben revisar sus acuerdos de alumbrado público rápidamente, porque la estructura tarifaria que discrimina por actividad económica o por capacidad contributiva ya no tiene respaldo jurisprudencial. La tarifa debe estar ligada al sector —residencial, industrial, comercial— pero no a la identidad del contribuyente. No puede ser que haya una empresa minera o petrolera en el municipio y por eso se le califique como contribuyente especial con tarifa mayor.</w:t>
      </w:r>
    </w:p>
    <w:p>
      <w:pPr>
        <w:jc w:val="both"/>
      </w:pPr>
      <w:r>
        <w:rPr>
          <w:rFonts w:ascii="Montserrat" w:hAnsi="Montserrat"/>
          <w:color w:val="333333"/>
          <w:sz w:val="22"/>
        </w:rPr>
        <w:t>Además, el panel aclaró una distinción procedural clave: el acto previo. En materia de alumbrado público, no se exige cuando el impuesto es facturado por el concesionario de energía junto con el servicio de energía. Pero sí se exige —y aquí no hay discusión— cuando es la autoridad municipal quien determina el tributo directamente, para aquellos que no son usuarios del servicio domiciliario de energía. La razón es que, a diferencia del predial —donde la liquidación es un acto puramente matemático: información catastral por tarifa—, en alumbrado público la determinación requiere una valoración previa que justifique por qué ese contribuyente es beneficiario y en qué medida.</w:t>
      </w:r>
    </w:p>
    <w:p>
      <w:pPr>
        <w:pStyle w:val="Heading2"/>
      </w:pPr>
      <w:r>
        <w:rPr>
          <w:color w:val="0AB6F2"/>
        </w:rPr>
        <w:t>VOCES DEL PANEL — RETO</w:t>
      </w:r>
    </w:p>
    <w:p>
      <w:pPr>
        <w:pStyle w:val="Quote"/>
      </w:pPr>
      <w:r>
        <w:rPr>
          <w:rFonts w:ascii="Georgia" w:hAnsi="Georgia"/>
          <w:i/>
          <w:color w:val="1A1A2E"/>
          <w:sz w:val="21"/>
        </w:rPr>
        <w:t>"buena parte de esas mil sentencias que les mencionaba que se prefieren al año están relacionados con el impuesto alumbrado público."</w:t>
      </w:r>
      <w:r>
        <w:br/>
      </w:r>
      <w:r>
        <w:rPr>
          <w:rFonts w:ascii="Georgia" w:hAnsi="Georgia"/>
          <w:b/>
          <w:i/>
          <w:color w:val="0B43F7"/>
          <w:sz w:val="21"/>
        </w:rPr>
        <w:t>— Gabriel Muñoz</w:t>
      </w:r>
    </w:p>
    <w:p>
      <w:pPr>
        <w:pStyle w:val="Quote"/>
      </w:pPr>
      <w:r>
        <w:rPr>
          <w:rFonts w:ascii="Georgia" w:hAnsi="Georgia"/>
          <w:i/>
          <w:color w:val="1A1A2E"/>
          <w:sz w:val="21"/>
        </w:rPr>
        <w:t>"está comenzando a tener influjo el cambio normativo que que contenía la ley 18 19 del año 2016 de manera que es muy probable que comience a verse en lo que estaba recalcando acerca de hasta donde estos nuevos pensamientos suponen una visión nueva."</w:t>
      </w:r>
      <w:r>
        <w:br/>
      </w:r>
      <w:r>
        <w:rPr>
          <w:rFonts w:ascii="Georgia" w:hAnsi="Georgia"/>
          <w:b/>
          <w:i/>
          <w:color w:val="0B43F7"/>
          <w:sz w:val="21"/>
        </w:rPr>
        <w:t>— Gabriel Muñoz</w:t>
      </w:r>
    </w:p>
    <w:p>
      <w:pPr>
        <w:pStyle w:val="Quote"/>
      </w:pPr>
      <w:r>
        <w:rPr>
          <w:rFonts w:ascii="Georgia" w:hAnsi="Georgia"/>
          <w:i/>
          <w:color w:val="1A1A2E"/>
          <w:sz w:val="21"/>
        </w:rPr>
        <w:t>"en esta nueva sentencia se dice que el exonerado no es la potencialidad de ser beneficiario público aquí es el criterio de decisión ya se entiende superado ya es la ser beneficiario del mismo del mismo servicio no hacer potencialmente beneficiario."</w:t>
      </w:r>
      <w:r>
        <w:br/>
      </w:r>
      <w:r>
        <w:rPr>
          <w:rFonts w:ascii="Georgia" w:hAnsi="Georgia"/>
          <w:b/>
          <w:i/>
          <w:color w:val="0B43F7"/>
          <w:sz w:val="21"/>
        </w:rPr>
        <w:t>— Juan José Rodríguez</w:t>
      </w:r>
    </w:p>
    <w:p>
      <w:pPr>
        <w:pStyle w:val="Quote"/>
      </w:pPr>
      <w:r>
        <w:rPr>
          <w:rFonts w:ascii="Georgia" w:hAnsi="Georgia"/>
          <w:i/>
          <w:color w:val="1A1A2E"/>
          <w:sz w:val="21"/>
        </w:rPr>
        <w:t>"en la base agravable necesariamente ha de ser el consumo de energía y en caso de que no haya consumo de energía en ese caso es que se puede acudir catastral para imponer la sobrepeso."</w:t>
      </w:r>
      <w:r>
        <w:br/>
      </w:r>
      <w:r>
        <w:rPr>
          <w:rFonts w:ascii="Georgia" w:hAnsi="Georgia"/>
          <w:b/>
          <w:i/>
          <w:color w:val="0B43F7"/>
          <w:sz w:val="21"/>
        </w:rPr>
        <w:t>— Juan José Rodríguez</w:t>
      </w:r>
    </w:p>
    <w:p>
      <w:pPr>
        <w:pStyle w:val="Quote"/>
      </w:pPr>
      <w:r>
        <w:rPr>
          <w:rFonts w:ascii="Georgia" w:hAnsi="Georgia"/>
          <w:i/>
          <w:color w:val="1A1A2E"/>
          <w:sz w:val="21"/>
        </w:rPr>
        <w:t>"las tarifas tienen que tener relación íntima con el exo generador y en ese mismo medida tiene que estar relacionados con la estructura tarifaria del servicio público de energía."</w:t>
      </w:r>
      <w:r>
        <w:br/>
      </w:r>
      <w:r>
        <w:rPr>
          <w:rFonts w:ascii="Georgia" w:hAnsi="Georgia"/>
          <w:b/>
          <w:i/>
          <w:color w:val="0B43F7"/>
          <w:sz w:val="21"/>
        </w:rPr>
        <w:t>— Juan José Rodríguez</w:t>
      </w:r>
    </w:p>
    <w:p>
      <w:pPr>
        <w:pStyle w:val="Quote"/>
      </w:pPr>
      <w:r>
        <w:rPr>
          <w:rFonts w:ascii="Georgia" w:hAnsi="Georgia"/>
          <w:i/>
          <w:color w:val="1A1A2E"/>
          <w:sz w:val="21"/>
        </w:rPr>
        <w:t>"no puede ser que porque hay una empresa digamos minera o una petrolera en el municipio Entonces se califica como contribuyente especial con una tarifa mucho mayor."</w:t>
      </w:r>
      <w:r>
        <w:br/>
      </w:r>
      <w:r>
        <w:rPr>
          <w:rFonts w:ascii="Georgia" w:hAnsi="Georgia"/>
          <w:b/>
          <w:i/>
          <w:color w:val="0B43F7"/>
          <w:sz w:val="21"/>
        </w:rPr>
        <w:t>— Juan José Rodríguez</w:t>
      </w:r>
    </w:p>
    <w:p>
      <w:pPr>
        <w:pStyle w:val="Quote"/>
      </w:pPr>
      <w:r>
        <w:rPr>
          <w:rFonts w:ascii="Georgia" w:hAnsi="Georgia"/>
          <w:i/>
          <w:color w:val="1A1A2E"/>
          <w:sz w:val="21"/>
        </w:rPr>
        <w:t>"para quienes no son usuarios de del servicio domiciliario de público domiciliario de energía entonces para esos casos sí que se aplica vía excepción... es el caso excepcional respecto de esa exigencia de acto previo."</w:t>
      </w:r>
      <w:r>
        <w:br/>
      </w:r>
      <w:r>
        <w:rPr>
          <w:rFonts w:ascii="Georgia" w:hAnsi="Georgia"/>
          <w:b/>
          <w:i/>
          <w:color w:val="0B43F7"/>
          <w:sz w:val="21"/>
        </w:rPr>
        <w:t>— Gabriel Muñoz</w:t>
      </w:r>
    </w:p>
    <w:p>
      <w:pPr>
        <w:pStyle w:val="Heading1"/>
      </w:pPr>
      <w:r>
        <w:t>3. TRES LÍNEAS QUE REDI BUJAN EL MAPA: CIUDADES CAPITALES, ALUMBRADO Y DIVIDENDOS</w:t>
      </w:r>
    </w:p>
    <w:p>
      <w:pPr>
        <w:jc w:val="both"/>
      </w:pPr>
      <w:r>
        <w:rPr>
          <w:rFonts w:ascii="Montserrat" w:hAnsi="Montserrat"/>
          <w:color w:val="333333"/>
          <w:sz w:val="22"/>
        </w:rPr>
        <w:t>Frente al laberinto, el panel trazó tres líneas jurisprudenciales que están reconfigurando el mapa tributario territorial: la autonomía tarifaria de las ciudades capitales, las reglas del alumbrado público, y el criterio empresarial para la tributación de dividendos en ICA.</w:t>
      </w:r>
    </w:p>
    <w:p>
      <w:pPr>
        <w:jc w:val="both"/>
      </w:pPr>
      <w:r>
        <w:rPr>
          <w:rFonts w:ascii="Montserrat" w:hAnsi="Montserrat"/>
          <w:color w:val="333333"/>
          <w:sz w:val="22"/>
        </w:rPr>
        <w:t>En ciudades capitales, la Corte Constitucional abrió el rango tarifario completo del Decreto Ley 1421 —hasta 30 por mil—, pero condicionó ese poder a una motivación técnica y territorial rigurosa. No basta con invocar la Ley 2082; hay que demostrar que la tarifa elegida responde a las realidades de la ciudad. Eso implica un trabajo de articulación entre concejos, secretarías de Hacienda y planeación, para producir datos sobre estructura económica, capacidad contributiva y necesidades de financiación que sustenten el acuerdo. Una motivación genérica o copiada de otro municipio no resistirá el control judicial.</w:t>
      </w:r>
    </w:p>
    <w:p>
      <w:pPr>
        <w:jc w:val="both"/>
      </w:pPr>
      <w:r>
        <w:rPr>
          <w:rFonts w:ascii="Montserrat" w:hAnsi="Montserrat"/>
          <w:color w:val="333333"/>
          <w:sz w:val="22"/>
        </w:rPr>
        <w:t>En alumbrado público, la sentencia de Jericó estableció una arquitectura tarifaria nueva: el consumo de energía como base principal, el catastro como subsidiario, y la prohibición de tarifas por actividad económica aislada o por "riqueza". Las tarifas deben estructurarse por sectores —residencial, industrial, comercial— alineados con la estructura tarifaria del servicio de energía. Los acuerdos que usan categorías especiales para empresas grandes o estratégicas deben revisarse urgentemente.</w:t>
      </w:r>
    </w:p>
    <w:p>
      <w:pPr>
        <w:jc w:val="both"/>
      </w:pPr>
      <w:r>
        <w:rPr>
          <w:rFonts w:ascii="Montserrat" w:hAnsi="Montserrat"/>
          <w:color w:val="333333"/>
          <w:sz w:val="22"/>
        </w:rPr>
        <w:t>En dividendos, el debate fue el más técnico y el más polarizado. La sentencia de unificación de 2021-2022 cambió el tablero: borró los criterios anteriores —objeto social, activo fijo— y puso el foco en la actividad comercial. Lo que se grava no es el acto de participar en el capital de una sociedad, sino la actividad de organizarse para hacerlo. El criterio empresarial exige capital afecto, organización de la gestión, contratación de personal, gastos operativos relacionados con la gestión de la inversión. Juan José Rodríguez ilustró con el caso reciente de la Bolsa de Valores de Colombia: allí la empresa era una sociedad matriz, con un grupo empresarial a su cargo, capital afecto, empleados, participación en asambleas. Eso sí es gestión empresarial de inversiones. Pero en una cadena de sociedades donde una operativa participa en otra operativa, ¿todas están gravadas? Rodríguez sugirió que no: solo quien actúa como holding, quien gestiona permanentemente las inversiones, debería gravarse. Gabriel Muñoz, en cambio, sostuvo que toda persona jurídica conlleva una organización que supone un criterio empresarial, por lo que los dividendos percibidos por personas jurídicas siempre integrarían la base gravable del ICA. La discrepancia quedó en el aire, pero ambos coincidieron en el problema estructural: la normativa del ICA no contempla mecanismos para atenuar la doble imposición interna en cadenas de sociedades. Esa es una laguna que el legislador debe llenar.</w:t>
      </w:r>
    </w:p>
    <w:p>
      <w:pPr>
        <w:pStyle w:val="Heading2"/>
      </w:pPr>
      <w:r>
        <w:rPr>
          <w:color w:val="00CC30"/>
        </w:rPr>
        <w:t>VOCES DEL PANEL — SOLUCIÓN</w:t>
      </w:r>
    </w:p>
    <w:p>
      <w:pPr>
        <w:pStyle w:val="Quote"/>
      </w:pPr>
      <w:r>
        <w:rPr>
          <w:rFonts w:ascii="Georgia" w:hAnsi="Georgia"/>
          <w:i/>
          <w:color w:val="1A1A2E"/>
          <w:sz w:val="21"/>
        </w:rPr>
        <w:t>"aquí queda la indeterminación de cómo queda esa limitación cierto porque listo digamos que la la tarifa va a quedar o la libertad de las de las ciudades capitales va a quedar que la tarifa llegue hasta el 30 por mil."</w:t>
      </w:r>
      <w:r>
        <w:br/>
      </w:r>
      <w:r>
        <w:rPr>
          <w:rFonts w:ascii="Georgia" w:hAnsi="Georgia"/>
          <w:b/>
          <w:i/>
          <w:color w:val="0B43F7"/>
          <w:sz w:val="21"/>
        </w:rPr>
        <w:t>— Juan José Rodríguez</w:t>
      </w:r>
    </w:p>
    <w:p>
      <w:pPr>
        <w:pStyle w:val="Quote"/>
      </w:pPr>
      <w:r>
        <w:rPr>
          <w:rFonts w:ascii="Georgia" w:hAnsi="Georgia"/>
          <w:i/>
          <w:color w:val="1A1A2E"/>
          <w:sz w:val="21"/>
        </w:rPr>
        <w:t>"Hay una exigencia de motivación en el momento de aprobación de La regulación es decir que el que la ciudad capital no puede Sencillamente decir y la tarifa es tanto de Cara a la aprobación del acuerdo, sino que tiene que estar motivado y además atar esa motivación con datos específicos de su circunscripción."</w:t>
      </w:r>
      <w:r>
        <w:br/>
      </w:r>
      <w:r>
        <w:rPr>
          <w:rFonts w:ascii="Georgia" w:hAnsi="Georgia"/>
          <w:b/>
          <w:i/>
          <w:color w:val="0B43F7"/>
          <w:sz w:val="21"/>
        </w:rPr>
        <w:t>— Gabriel Muñoz</w:t>
      </w:r>
    </w:p>
    <w:p>
      <w:pPr>
        <w:pStyle w:val="Quote"/>
      </w:pPr>
      <w:r>
        <w:rPr>
          <w:rFonts w:ascii="Georgia" w:hAnsi="Georgia"/>
          <w:i/>
          <w:color w:val="1A1A2E"/>
          <w:sz w:val="21"/>
        </w:rPr>
        <w:t>"no valdría una una motivación del acuerdo pedida a la Inteligencia artificial, sino que tendría que ser una motivación que lleve a entender Por qué se requiere que las entidades, por ejemplo del sector financiero... Se les puede exigir hasta el 30 por mil no se supongan porque porque no hay ya que estoy pensando muy en borrador, porque en ese jurisdicción no existe. Una actividad económica significativa en sectores distintos al sector financiero."</w:t>
      </w:r>
      <w:r>
        <w:br/>
      </w:r>
      <w:r>
        <w:rPr>
          <w:rFonts w:ascii="Georgia" w:hAnsi="Georgia"/>
          <w:b/>
          <w:i/>
          <w:color w:val="0B43F7"/>
          <w:sz w:val="21"/>
        </w:rPr>
        <w:t>— Gabriel Muñoz</w:t>
      </w:r>
    </w:p>
    <w:p>
      <w:pPr>
        <w:pStyle w:val="Quote"/>
      </w:pPr>
      <w:r>
        <w:rPr>
          <w:rFonts w:ascii="Georgia" w:hAnsi="Georgia"/>
          <w:i/>
          <w:color w:val="1A1A2E"/>
          <w:sz w:val="21"/>
        </w:rPr>
        <w:t>"borremos el tablero. que nos deshagamos por un momento de Todos Los criterios de decisión en torno a la tributación dividendos que se habían venido acogiendo desde desde los años 90s."</w:t>
      </w:r>
      <w:r>
        <w:br/>
      </w:r>
      <w:r>
        <w:rPr>
          <w:rFonts w:ascii="Georgia" w:hAnsi="Georgia"/>
          <w:b/>
          <w:i/>
          <w:color w:val="0B43F7"/>
          <w:sz w:val="21"/>
        </w:rPr>
        <w:t>— Gabriel Muñoz</w:t>
      </w:r>
    </w:p>
    <w:p>
      <w:pPr>
        <w:pStyle w:val="Quote"/>
      </w:pPr>
      <w:r>
        <w:rPr>
          <w:rFonts w:ascii="Georgia" w:hAnsi="Georgia"/>
          <w:i/>
          <w:color w:val="1A1A2E"/>
          <w:sz w:val="21"/>
        </w:rPr>
        <w:t>"lo que se somete a tributación es una actividad comercial Y a partir de aquí, se identifican varias cosas en primer lugar que aquí nos están apreciando aspectos subjetivos en el sentido de si algo se hace o no con habitualidad, ni tampoco se valúan."</w:t>
      </w:r>
      <w:r>
        <w:br/>
      </w:r>
      <w:r>
        <w:rPr>
          <w:rFonts w:ascii="Georgia" w:hAnsi="Georgia"/>
          <w:b/>
          <w:i/>
          <w:color w:val="0B43F7"/>
          <w:sz w:val="21"/>
        </w:rPr>
        <w:t>— Gabriel Muñoz</w:t>
      </w:r>
    </w:p>
    <w:p>
      <w:pPr>
        <w:pStyle w:val="Quote"/>
      </w:pPr>
      <w:r>
        <w:rPr>
          <w:rFonts w:ascii="Georgia" w:hAnsi="Georgia"/>
          <w:i/>
          <w:color w:val="1A1A2E"/>
          <w:sz w:val="21"/>
        </w:rPr>
        <w:t>"no le daría Digamos como grabamos o no tendría un gramo sobre todos los dividendos sin importar o no diría que por el hecho de ser sociedad necesariamente de una vez una sociedad que participa capital, sino que tiene que haber necesariamente si una actividad que estén pensando en Cómo distribuir ese capital en Cómo invertir."</w:t>
      </w:r>
      <w:r>
        <w:br/>
      </w:r>
      <w:r>
        <w:rPr>
          <w:rFonts w:ascii="Georgia" w:hAnsi="Georgia"/>
          <w:b/>
          <w:i/>
          <w:color w:val="0B43F7"/>
          <w:sz w:val="21"/>
        </w:rPr>
        <w:t>— Juan José Rodríguez</w:t>
      </w:r>
    </w:p>
    <w:p>
      <w:pPr>
        <w:pStyle w:val="Quote"/>
      </w:pPr>
      <w:r>
        <w:rPr>
          <w:rFonts w:ascii="Georgia" w:hAnsi="Georgia"/>
          <w:i/>
          <w:color w:val="1A1A2E"/>
          <w:sz w:val="21"/>
        </w:rPr>
        <w:t>"siempre En aquellos casos en los que el titular de la inversión es una persona jurídica, se está ante la presencia de de ese criterio empresarial."</w:t>
      </w:r>
      <w:r>
        <w:br/>
      </w:r>
      <w:r>
        <w:rPr>
          <w:rFonts w:ascii="Georgia" w:hAnsi="Georgia"/>
          <w:b/>
          <w:i/>
          <w:color w:val="0B43F7"/>
          <w:sz w:val="21"/>
        </w:rPr>
        <w:t>— Gabriel Muñoz</w:t>
      </w:r>
    </w:p>
    <w:p>
      <w:pPr>
        <w:pStyle w:val="Heading1"/>
      </w:pPr>
      <w:r>
        <w:t>4. LA PROPORCIONALIDAD COMO LÍMITE: EL CASO SABANETA Y EL FIN DE LAS SANCIONES-RECAUDO</w:t>
      </w:r>
    </w:p>
    <w:p>
      <w:pPr>
        <w:jc w:val="both"/>
      </w:pPr>
      <w:r>
        <w:rPr>
          <w:rFonts w:ascii="Montserrat" w:hAnsi="Montserrat"/>
          <w:color w:val="333333"/>
          <w:sz w:val="22"/>
        </w:rPr>
        <w:t>El panel no pudo cerrar sin abordar el tema que conecta con la sesión anterior: las sanciones. El caso Sabaneta es emblemático. El municipio había establecido una sanción por no declarar el ICA equivalente al 10% de los ingresos del contribuyente. Pero el impuesto de industria y comercio en ese municipio tenía tarifas de hasta 10 por mil —es decir, el 1% de los ingresos—. La sanción, entonces, era diez veces más alta que el propio impuesto. El Consejo de Estado anuló la disposición por falta de proporcionalidad: para recaudar uno, se castigaba con diez.</w:t>
      </w:r>
    </w:p>
    <w:p>
      <w:pPr>
        <w:jc w:val="both"/>
      </w:pPr>
      <w:r>
        <w:rPr>
          <w:rFonts w:ascii="Montserrat" w:hAnsi="Montserrat"/>
          <w:color w:val="333333"/>
          <w:sz w:val="22"/>
        </w:rPr>
        <w:t>Gabriel Muñoz evocó el criterio que el Consejo de Estado maneja desde hace más de 25 años: debe haber una correlación entre impuesto y sanción. El artículo 59 de la Ley 788 ordena a las entidades territoriales desarrollar un régimen sancionador que siga los parámetros del Estatuto Tributario Nacional, pero eso es una tarea casi imposible porque la lógica de los impuestos nacionales es de autoliquidación, mientras que la de los territoriales no siempre lo es. Además, el artículo 59 tiene una particularidad constitucionalmente problemática: convierte el agua en vino. Las sanciones solo pueden regularse mediante norma con rango de ley, pero los acuerdos y ordenanzas territoriales no tienen ese rango. Por tanto, los territorios no pueden darse un régimen sancionador autónomo; solo pueden adecuar el nacional, y ese adecuamiento produce desproporciones como la de Sabaneta.</w:t>
      </w:r>
    </w:p>
    <w:p>
      <w:pPr>
        <w:jc w:val="both"/>
      </w:pPr>
      <w:r>
        <w:rPr>
          <w:rFonts w:ascii="Montserrat" w:hAnsi="Montserrat"/>
          <w:color w:val="333333"/>
          <w:sz w:val="22"/>
        </w:rPr>
        <w:t>El panel exploró una vía de solución intermedia: la sanción por extemporalidad ya llega, tras emplazamiento, al 200% del impuesto. Eso podría funcionar como una frontera razonable. Si la sanción por no declarar supera ese umbral, se está usando el régimen sancionatorio como mecanismo de recaudo, no como instrumento de compulsa al cumplimiento. Juan José Rodríguez fue tajante: las sanciones no deberían ligarse a los ingresos nacionales —como exige la información exógena— sino a los ingresos territoriales, que son los que finalmente entran a determinar la base del impuesto. Y Gabriel Muñoz cerró con un principio que debería grabarse en los estatutos de todas las entidades territoriales: la sanción no es un mecanismo de financiación del Estado.</w:t>
      </w:r>
    </w:p>
    <w:p>
      <w:pPr>
        <w:pStyle w:val="Heading2"/>
      </w:pPr>
      <w:r>
        <w:rPr>
          <w:color w:val="6CD3A5"/>
        </w:rPr>
        <w:t>VOCES DEL PANEL — SINERGIA</w:t>
      </w:r>
    </w:p>
    <w:p>
      <w:pPr>
        <w:pStyle w:val="Quote"/>
      </w:pPr>
      <w:r>
        <w:rPr>
          <w:rFonts w:ascii="Georgia" w:hAnsi="Georgia"/>
          <w:i/>
          <w:color w:val="1A1A2E"/>
          <w:sz w:val="21"/>
        </w:rPr>
        <w:t>"la sanción por no declarar, se cuantificaron una multa igual al 10% de los ingresos de manera que había una desconexión muy grande entre el impuesto y no declarar el impuesto era diez veces más alto que el propio impuesto."</w:t>
      </w:r>
      <w:r>
        <w:br/>
      </w:r>
      <w:r>
        <w:rPr>
          <w:rFonts w:ascii="Georgia" w:hAnsi="Georgia"/>
          <w:b/>
          <w:i/>
          <w:color w:val="0B43F7"/>
          <w:sz w:val="21"/>
        </w:rPr>
        <w:t>— Gabriel Muñoz</w:t>
      </w:r>
    </w:p>
    <w:p>
      <w:pPr>
        <w:pStyle w:val="Quote"/>
      </w:pPr>
      <w:r>
        <w:rPr>
          <w:rFonts w:ascii="Georgia" w:hAnsi="Georgia"/>
          <w:i/>
          <w:color w:val="1A1A2E"/>
          <w:sz w:val="21"/>
        </w:rPr>
        <w:t>"esa figura sancionadora esa figura punitiva No atendía a ningún criterio de proporcionalidad porque para recaudar uno castigaba con diez."</w:t>
      </w:r>
      <w:r>
        <w:br/>
      </w:r>
      <w:r>
        <w:rPr>
          <w:rFonts w:ascii="Georgia" w:hAnsi="Georgia"/>
          <w:b/>
          <w:i/>
          <w:color w:val="0B43F7"/>
          <w:sz w:val="21"/>
        </w:rPr>
        <w:t>— Gabriel Muñoz</w:t>
      </w:r>
    </w:p>
    <w:p>
      <w:pPr>
        <w:pStyle w:val="Quote"/>
      </w:pPr>
      <w:r>
        <w:rPr>
          <w:rFonts w:ascii="Georgia" w:hAnsi="Georgia"/>
          <w:i/>
          <w:color w:val="1A1A2E"/>
          <w:sz w:val="21"/>
        </w:rPr>
        <w:t>"el artículo 59 en cuanto tiene que ver con la materia sancionadora tiene una particularidad Y es que logra La magia de convertir el agua en vino... constitucionalmente está previsto que las sanciones solo se pueden regular y establecer mediante Norma con Rango de ley y sucede que las normas que prefieren departamentos y municipios no tienen Rango de ley de manera que ellos no podrían darse un régimen sancionador autónomo."</w:t>
      </w:r>
      <w:r>
        <w:br/>
      </w:r>
      <w:r>
        <w:rPr>
          <w:rFonts w:ascii="Georgia" w:hAnsi="Georgia"/>
          <w:b/>
          <w:i/>
          <w:color w:val="0B43F7"/>
          <w:sz w:val="21"/>
        </w:rPr>
        <w:t>— Gabriel Muñoz</w:t>
      </w:r>
    </w:p>
    <w:p>
      <w:pPr>
        <w:pStyle w:val="Quote"/>
      </w:pPr>
      <w:r>
        <w:rPr>
          <w:rFonts w:ascii="Georgia" w:hAnsi="Georgia"/>
          <w:i/>
          <w:color w:val="1A1A2E"/>
          <w:sz w:val="21"/>
        </w:rPr>
        <w:t>"la sanción por extemporalidad Y esa sanción, por sí, solita llega hasta la totalidad de impuestos, pero si es si es tras un emplazamiento 200%, pero ahí se frena... eso podría ser un criterio más o menos razonable de cara analizar la sanción por no declarar."</w:t>
      </w:r>
      <w:r>
        <w:br/>
      </w:r>
      <w:r>
        <w:rPr>
          <w:rFonts w:ascii="Georgia" w:hAnsi="Georgia"/>
          <w:b/>
          <w:i/>
          <w:color w:val="0B43F7"/>
          <w:sz w:val="21"/>
        </w:rPr>
        <w:t>— Gabriel Muñoz</w:t>
      </w:r>
    </w:p>
    <w:p>
      <w:pPr>
        <w:pStyle w:val="Quote"/>
      </w:pPr>
      <w:r>
        <w:rPr>
          <w:rFonts w:ascii="Georgia" w:hAnsi="Georgia"/>
          <w:i/>
          <w:color w:val="1A1A2E"/>
          <w:sz w:val="21"/>
        </w:rPr>
        <w:t>"la sanción no tienen porque ser un mecanismo de recaudo están previstas para que no incurran en ellos, pero no no es un mecanismo de financiación de las entidades territoriales."</w:t>
      </w:r>
      <w:r>
        <w:br/>
      </w:r>
      <w:r>
        <w:rPr>
          <w:rFonts w:ascii="Georgia" w:hAnsi="Georgia"/>
          <w:b/>
          <w:i/>
          <w:color w:val="0B43F7"/>
          <w:sz w:val="21"/>
        </w:rPr>
        <w:t>— Gabriel Muñoz</w:t>
      </w:r>
    </w:p>
    <w:p>
      <w:pPr>
        <w:pStyle w:val="Quote"/>
      </w:pPr>
      <w:r>
        <w:rPr>
          <w:rFonts w:ascii="Georgia" w:hAnsi="Georgia"/>
          <w:i/>
          <w:color w:val="1A1A2E"/>
          <w:sz w:val="21"/>
        </w:rPr>
        <w:t>"no vean en la sanción un mecanismo de recaudo ordinario."</w:t>
      </w:r>
      <w:r>
        <w:br/>
      </w:r>
      <w:r>
        <w:rPr>
          <w:rFonts w:ascii="Georgia" w:hAnsi="Georgia"/>
          <w:b/>
          <w:i/>
          <w:color w:val="0B43F7"/>
          <w:sz w:val="21"/>
        </w:rPr>
        <w:t>— Gabriel Muñoz</w:t>
      </w:r>
    </w:p>
    <w:p>
      <w:pPr>
        <w:pStyle w:val="Quote"/>
      </w:pPr>
      <w:r>
        <w:rPr>
          <w:rFonts w:ascii="Georgia" w:hAnsi="Georgia"/>
          <w:i/>
          <w:color w:val="1A1A2E"/>
          <w:sz w:val="21"/>
        </w:rPr>
        <w:t>"Siempre se ha tenido desatendida la tributación de las entidades territoriales y en las pocas ocasiones en las que se atiende Se atiende con mucho silencios y adicionalmente viendo siempre la situación tributaria particularmente de Bogotá y terminan adoptándose normas pensadas para una ciudad gigantesca que tendrían que aplicar municipios de sexta categoría."</w:t>
      </w:r>
      <w:r>
        <w:br/>
      </w:r>
      <w:r>
        <w:rPr>
          <w:rFonts w:ascii="Georgia" w:hAnsi="Georgia"/>
          <w:b/>
          <w:i/>
          <w:color w:val="0B43F7"/>
          <w:sz w:val="21"/>
        </w:rPr>
        <w:t>— Gabriel Muñoz</w:t>
      </w:r>
    </w:p>
    <w:p>
      <w:pPr>
        <w:pStyle w:val="Quote"/>
      </w:pPr>
      <w:r>
        <w:rPr>
          <w:rFonts w:ascii="Georgia" w:hAnsi="Georgia"/>
          <w:i/>
          <w:color w:val="1A1A2E"/>
          <w:sz w:val="21"/>
        </w:rPr>
        <w:t>"lean siempre un ojo atento a la jurisprudencia."</w:t>
      </w:r>
      <w:r>
        <w:br/>
      </w:r>
      <w:r>
        <w:rPr>
          <w:rFonts w:ascii="Georgia" w:hAnsi="Georgia"/>
          <w:b/>
          <w:i/>
          <w:color w:val="0B43F7"/>
          <w:sz w:val="21"/>
        </w:rPr>
        <w:t>— Gabriel Muñoz</w:t>
      </w:r>
    </w:p>
    <w:p>
      <w:pPr>
        <w:pStyle w:val="Heading1"/>
      </w:pPr>
      <w:r>
        <w:t>5. CONSENSOS TÁCITOS IDENTIFICADOS</w:t>
      </w:r>
    </w:p>
    <w:p>
      <w:pPr>
        <w:jc w:val="both"/>
      </w:pPr>
      <w:r>
        <w:rPr>
          <w:rFonts w:ascii="Montserrat" w:hAnsi="Montserrat"/>
          <w:color w:val="333333"/>
          <w:sz w:val="22"/>
        </w:rPr>
        <w:t>Los consensos tácitos son acuerdos no explicitados de forma directa pero reconstruibles a partir de las intervenciones, silencios y énfasis discursivos de los panelistas.</w:t>
      </w:r>
    </w:p>
    <w:p>
      <w:pPr>
        <w:spacing w:after="120"/>
        <w:ind w:left="360" w:hanging="360"/>
      </w:pPr>
      <w:r>
        <w:rPr>
          <w:rFonts w:ascii="Montserrat" w:hAnsi="Montserrat"/>
          <w:color w:val="0B43F7"/>
          <w:sz w:val="20"/>
        </w:rPr>
        <w:t>●</w:t>
        <w:tab/>
      </w:r>
      <w:r>
        <w:rPr>
          <w:rFonts w:ascii="Montserrat" w:hAnsi="Montserrat"/>
          <w:color w:val="333333"/>
          <w:sz w:val="22"/>
        </w:rPr>
        <w:t>El sistema de control de legalidad tributaria territorial está en una crisis de latencia: la última palabra judicial tarda años en llegar, y mientras tanto las entidades territoriales operan con normas que pueden ser nulas, generando devoluciones masivas y pérdida de recaudo.</w:t>
      </w:r>
    </w:p>
    <w:p>
      <w:pPr>
        <w:spacing w:after="120"/>
        <w:ind w:left="360" w:hanging="360"/>
      </w:pPr>
      <w:r>
        <w:rPr>
          <w:rFonts w:ascii="Montserrat" w:hAnsi="Montserrat"/>
          <w:color w:val="0AB6F2"/>
          <w:sz w:val="20"/>
        </w:rPr>
        <w:t>●</w:t>
        <w:tab/>
      </w:r>
      <w:r>
        <w:rPr>
          <w:rFonts w:ascii="Montserrat" w:hAnsi="Montserrat"/>
          <w:color w:val="333333"/>
          <w:sz w:val="22"/>
        </w:rPr>
        <w:t>La Corte Constitucional y el Consejo de Estado están en una tensión creciente sobre quién define los límites de la autonomía territorial. La tutela contra sentencias del Consejo de Estado se ha convertido en un mecanismo que retrasa la seguridad jurídica en lugar de consolidarla.</w:t>
      </w:r>
    </w:p>
    <w:p>
      <w:pPr>
        <w:spacing w:after="120"/>
        <w:ind w:left="360" w:hanging="360"/>
      </w:pPr>
      <w:r>
        <w:rPr>
          <w:rFonts w:ascii="Montserrat" w:hAnsi="Montserrat"/>
          <w:color w:val="00CC30"/>
          <w:sz w:val="20"/>
        </w:rPr>
        <w:t>●</w:t>
        <w:tab/>
      </w:r>
      <w:r>
        <w:rPr>
          <w:rFonts w:ascii="Montserrat" w:hAnsi="Montserrat"/>
          <w:color w:val="333333"/>
          <w:sz w:val="22"/>
        </w:rPr>
        <w:t>El concepto de "realidad tributaria" como límite a la autonomía de las ciudades capitales es un avance conceptual, pero requiere ser llenado de contenido objetivo y verificable. De lo contrario, se convierte en una nueva fuente de litigio.</w:t>
      </w:r>
    </w:p>
    <w:p>
      <w:pPr>
        <w:spacing w:after="120"/>
        <w:ind w:left="360" w:hanging="360"/>
      </w:pPr>
      <w:r>
        <w:rPr>
          <w:rFonts w:ascii="Montserrat" w:hAnsi="Montserrat"/>
          <w:color w:val="6CD3A5"/>
          <w:sz w:val="20"/>
        </w:rPr>
        <w:t>●</w:t>
        <w:tab/>
      </w:r>
      <w:r>
        <w:rPr>
          <w:rFonts w:ascii="Montserrat" w:hAnsi="Montserrat"/>
          <w:color w:val="333333"/>
          <w:sz w:val="22"/>
        </w:rPr>
        <w:t>La jurisprudencia sobre alumbrado público está transitando de una lógica de "potencialidad" —donde solo por estar en el municipio se grava— a una lógica de "beneficio efectivo" —donde debe demostrarse el uso del servicio—, lo que exige a los municipios una mayor sofisticación técnica en la determinación del tributo.</w:t>
      </w:r>
    </w:p>
    <w:p>
      <w:pPr>
        <w:spacing w:after="120"/>
        <w:ind w:left="360" w:hanging="360"/>
      </w:pPr>
      <w:r>
        <w:rPr>
          <w:rFonts w:ascii="Montserrat" w:hAnsi="Montserrat"/>
          <w:color w:val="0B43F7"/>
          <w:sz w:val="20"/>
        </w:rPr>
        <w:t>●</w:t>
        <w:tab/>
      </w:r>
      <w:r>
        <w:rPr>
          <w:rFonts w:ascii="Montserrat" w:hAnsi="Montserrat"/>
          <w:color w:val="333333"/>
          <w:sz w:val="22"/>
        </w:rPr>
        <w:t>Las sanciones en el ICA han perdido su carácter de compulsa al cumplimiento para convertirse, en muchos municipios, en una fuente de financiación encubierta. Eso es constitucional y fiscalmente insostenible.</w:t>
      </w:r>
    </w:p>
    <w:p>
      <w:pPr>
        <w:spacing w:after="120"/>
        <w:ind w:left="360" w:hanging="360"/>
      </w:pPr>
      <w:r>
        <w:rPr>
          <w:rFonts w:ascii="Montserrat" w:hAnsi="Montserrat"/>
          <w:color w:val="0AB6F2"/>
          <w:sz w:val="20"/>
        </w:rPr>
        <w:t>●</w:t>
        <w:tab/>
      </w:r>
      <w:r>
        <w:rPr>
          <w:rFonts w:ascii="Montserrat" w:hAnsi="Montserrat"/>
          <w:color w:val="333333"/>
          <w:sz w:val="22"/>
        </w:rPr>
        <w:t>Las normas tributarias nacionales —especialmente el Estatuto Tributario Nacional— están diseñadas para una lógica de autoliquidación que no siempre corresponde a la realidad territorial. La aplicación mecánica de esas reglas produce desproporciones que el Consejo de Estado termina anulando, pero solo después de años de litigio.</w:t>
      </w:r>
    </w:p>
    <w:p>
      <w:pPr>
        <w:spacing w:after="120"/>
        <w:ind w:left="360" w:hanging="360"/>
      </w:pPr>
      <w:r>
        <w:rPr>
          <w:rFonts w:ascii="Montserrat" w:hAnsi="Montserrat"/>
          <w:color w:val="00CC30"/>
          <w:sz w:val="20"/>
        </w:rPr>
        <w:t>●</w:t>
        <w:tab/>
      </w:r>
      <w:r>
        <w:rPr>
          <w:rFonts w:ascii="Montserrat" w:hAnsi="Montserrat"/>
          <w:color w:val="333333"/>
          <w:sz w:val="22"/>
        </w:rPr>
        <w:t>La particularización es clave: adoptar reglas pensadas para Bogotá en municipios de sexta categoría genera infinidad de problemas jurídicos que luego deben resolverse vía jurisprudencia.</w:t>
      </w:r>
    </w:p>
    <w:p>
      <w:pPr>
        <w:pStyle w:val="Heading1"/>
      </w:pPr>
      <w:r>
        <w:t>6. TENSIONES Y DESACUERDOS ESTRATÉGICOS</w:t>
      </w:r>
    </w:p>
    <w:p>
      <w:pPr>
        <w:jc w:val="both"/>
      </w:pPr>
      <w:r>
        <w:rPr>
          <w:rFonts w:ascii="Montserrat" w:hAnsi="Montserrat"/>
          <w:color w:val="333333"/>
          <w:sz w:val="22"/>
        </w:rPr>
        <w:t>Las tensiones no son necesariamente conflictos abiertos, sino fricciones estructurales que condicionan la viabilidad de las propuestas.</w:t>
      </w:r>
    </w:p>
    <w:p>
      <w:pPr>
        <w:spacing w:after="120"/>
        <w:ind w:left="360" w:hanging="360"/>
      </w:pPr>
      <w:r>
        <w:rPr>
          <w:rFonts w:ascii="Montserrat" w:hAnsi="Montserrat"/>
          <w:color w:val="0B43F7"/>
          <w:sz w:val="20"/>
        </w:rPr>
        <w:t>●</w:t>
        <w:tab/>
      </w:r>
      <w:r>
        <w:rPr>
          <w:rFonts w:ascii="Montserrat" w:hAnsi="Montserrat"/>
          <w:color w:val="333333"/>
          <w:sz w:val="22"/>
        </w:rPr>
        <w:t>Tensión entre autonomía territorial y control de legalidad: la Corte Constitucional abrió el rango tarifario de las ciudades capitales, pero el Consejo de Estado había intentado cerrarlo. Esa disputa institucional genera incertidumbre sobre cuál es el parámetro válido de control.</w:t>
      </w:r>
    </w:p>
    <w:p>
      <w:pPr>
        <w:spacing w:after="120"/>
        <w:ind w:left="360" w:hanging="360"/>
      </w:pPr>
      <w:r>
        <w:rPr>
          <w:rFonts w:ascii="Montserrat" w:hAnsi="Montserrat"/>
          <w:color w:val="0AB6F2"/>
          <w:sz w:val="20"/>
        </w:rPr>
        <w:t>●</w:t>
        <w:tab/>
      </w:r>
      <w:r>
        <w:rPr>
          <w:rFonts w:ascii="Montserrat" w:hAnsi="Montserrat"/>
          <w:color w:val="333333"/>
          <w:sz w:val="22"/>
        </w:rPr>
        <w:t>Tensión interpretativa sobre dividendos: Gabriel Muñoz sostiene que toda persona jurídica, por el mero hecho de serlo, conlleva un criterio empresarial que grava los dividendos en ICA. Juan José Rodríguez defiende una lectura más restrictiva: solo quien actúa como holding o gestor de inversiones debería gravarse, no toda sociedad operativa que ocasionalmente tenga una participación accionaria.</w:t>
      </w:r>
    </w:p>
    <w:p>
      <w:pPr>
        <w:spacing w:after="120"/>
        <w:ind w:left="360" w:hanging="360"/>
      </w:pPr>
      <w:r>
        <w:rPr>
          <w:rFonts w:ascii="Montserrat" w:hAnsi="Montserrat"/>
          <w:color w:val="00CC30"/>
          <w:sz w:val="20"/>
        </w:rPr>
        <w:t>●</w:t>
        <w:tab/>
      </w:r>
      <w:r>
        <w:rPr>
          <w:rFonts w:ascii="Montserrat" w:hAnsi="Montserrat"/>
          <w:color w:val="333333"/>
          <w:sz w:val="22"/>
        </w:rPr>
        <w:t>Tensión entre reglas de unificación y normativa nueva: las reglas de unificación de 2019 sobre alumbrado público quedan pequeñas frente a la Ley 1819/2016. Los municipios que ajustaron sus acuerdos a las reglas de 2019 pueden tener que volver a ajustarlos frente a la nueva jurisprudencia post-Jericó.</w:t>
      </w:r>
    </w:p>
    <w:p>
      <w:pPr>
        <w:spacing w:after="120"/>
        <w:ind w:left="360" w:hanging="360"/>
      </w:pPr>
      <w:r>
        <w:rPr>
          <w:rFonts w:ascii="Montserrat" w:hAnsi="Montserrat"/>
          <w:color w:val="6CD3A5"/>
          <w:sz w:val="20"/>
        </w:rPr>
        <w:t>●</w:t>
        <w:tab/>
      </w:r>
      <w:r>
        <w:rPr>
          <w:rFonts w:ascii="Montserrat" w:hAnsi="Montserrat"/>
          <w:color w:val="333333"/>
          <w:sz w:val="22"/>
        </w:rPr>
        <w:t>Tensión entre reserva de ley y necesidad de adecuación: las sanciones requieren rango de ley, pero el Estatuto Nacional produce desproporciones en el territorio. El artículo 59 de la Ley 788 no permite crear un régimen autónomo, solo adecuar el existente. Esa trampa jurídica deja a los territorios sin salida.</w:t>
      </w:r>
    </w:p>
    <w:p>
      <w:pPr>
        <w:spacing w:after="120"/>
        <w:ind w:left="360" w:hanging="360"/>
      </w:pPr>
      <w:r>
        <w:rPr>
          <w:rFonts w:ascii="Montserrat" w:hAnsi="Montserrat"/>
          <w:color w:val="0B43F7"/>
          <w:sz w:val="20"/>
        </w:rPr>
        <w:t>●</w:t>
        <w:tab/>
      </w:r>
      <w:r>
        <w:rPr>
          <w:rFonts w:ascii="Montserrat" w:hAnsi="Montserrat"/>
          <w:color w:val="333333"/>
          <w:sz w:val="22"/>
        </w:rPr>
        <w:t>Tensión entre eficiencia recaudatoria y debido proceso: las entidades territoriales, especialmente las pequeñas, presionan por mecanismos de recaudo simples y de alto rendimiento —como el alumbrado público—, pero esos mecanismos chocan cada vez más con exigencias de motivación, acto previo y proporcionalidad.</w:t>
      </w:r>
    </w:p>
    <w:p>
      <w:pPr>
        <w:spacing w:after="120"/>
        <w:ind w:left="360" w:hanging="360"/>
      </w:pPr>
      <w:r>
        <w:rPr>
          <w:rFonts w:ascii="Montserrat" w:hAnsi="Montserrat"/>
          <w:color w:val="0AB6F2"/>
          <w:sz w:val="20"/>
        </w:rPr>
        <w:t>●</w:t>
        <w:tab/>
      </w:r>
      <w:r>
        <w:rPr>
          <w:rFonts w:ascii="Montserrat" w:hAnsi="Montserrat"/>
          <w:color w:val="333333"/>
          <w:sz w:val="22"/>
        </w:rPr>
        <w:t>Tensión temporal: las devoluciones masivas —como las activadas por las sentencias de Cali y Yopal— afectan el flujo de caja de las ciudades y generan un ciclo de incertidumbre donde los contribuyentes dejan de pagar a la espera de una decisión judicial favorable.</w:t>
      </w:r>
    </w:p>
    <w:p>
      <w:pPr>
        <w:pStyle w:val="Heading1"/>
      </w:pPr>
      <w:r>
        <w:t>7. INSIGHTS ESTRATÉGICOS</w:t>
      </w:r>
    </w:p>
    <w:p>
      <w:pPr>
        <w:jc w:val="both"/>
      </w:pPr>
      <w:r>
        <w:rPr>
          <w:rFonts w:ascii="Montserrat" w:hAnsi="Montserrat"/>
          <w:color w:val="333333"/>
          <w:sz w:val="22"/>
        </w:rPr>
        <w:t>Interpretaciones que trascienden lo descriptivo y señalan patrones estructurales oportunos para la incidencia.</w:t>
      </w:r>
    </w:p>
    <w:p>
      <w:pPr>
        <w:spacing w:after="120"/>
        <w:ind w:left="360" w:hanging="360"/>
      </w:pPr>
      <w:r>
        <w:rPr>
          <w:rFonts w:ascii="Montserrat" w:hAnsi="Montserrat"/>
          <w:color w:val="0B43F7"/>
          <w:sz w:val="20"/>
        </w:rPr>
        <w:t>●</w:t>
        <w:tab/>
      </w:r>
      <w:r>
        <w:rPr>
          <w:rFonts w:ascii="Montserrat" w:hAnsi="Montserrat"/>
          <w:color w:val="333333"/>
          <w:sz w:val="22"/>
        </w:rPr>
        <w:t>La "guerra de altas cortes" —Consejo de Estado vs. Corte Constitucional— no es un espectáculo jurídico: es un costo fiscal concreto para las entidades territoriales. Cada vez que la Corte revierte una interpretación del Consejo vía tutela, se activan devoluciones, se anulan acuerdos y se desploma la recaudación. La solución no es elegir bando, sino construir mecanismos de coordinación jurisprudencial que eviten que la última palabra llegue con años de retraso.</w:t>
      </w:r>
    </w:p>
    <w:p>
      <w:pPr>
        <w:spacing w:after="120"/>
        <w:ind w:left="360" w:hanging="360"/>
      </w:pPr>
      <w:r>
        <w:rPr>
          <w:rFonts w:ascii="Montserrat" w:hAnsi="Montserrat"/>
          <w:color w:val="0AB6F2"/>
          <w:sz w:val="20"/>
        </w:rPr>
        <w:t>●</w:t>
        <w:tab/>
      </w:r>
      <w:r>
        <w:rPr>
          <w:rFonts w:ascii="Montserrat" w:hAnsi="Montserrat"/>
          <w:color w:val="333333"/>
          <w:sz w:val="22"/>
        </w:rPr>
        <w:t>El concepto de "realidad tributaria" es una oportunidad de incidencia disfrazada de límite. Si las ciudades capitales logran llenar ese concepto con indicadores objetivos —estructura económica, actualización catastral, composición del tejido empresarial, déficit fiscal—, pueden convertir la exigencia de motivación en una herramienta de legitimidad. Pero eso exige capacidad técnica que muchas ciudades no tienen.</w:t>
      </w:r>
    </w:p>
    <w:p>
      <w:pPr>
        <w:spacing w:after="120"/>
        <w:ind w:left="360" w:hanging="360"/>
      </w:pPr>
      <w:r>
        <w:rPr>
          <w:rFonts w:ascii="Montserrat" w:hAnsi="Montserrat"/>
          <w:color w:val="00CC30"/>
          <w:sz w:val="20"/>
        </w:rPr>
        <w:t>●</w:t>
        <w:tab/>
      </w:r>
      <w:r>
        <w:rPr>
          <w:rFonts w:ascii="Montserrat" w:hAnsi="Montserrat"/>
          <w:color w:val="333333"/>
          <w:sz w:val="22"/>
        </w:rPr>
        <w:t>La sentencia de Jericó sobre alumbrado público es un punto de inflexión: pasa la carga probatoria al municipio. Ya no basta con decir "estás en el territorio, por tanto te alumbramos y te cobramos". Ahora el municipio debe demostrar el beneficio efectivo, vincular la tarifa al consumo de energía y alinearla con la estructura tarifaria del servicio. Eso es técnicamente más complejo y políticamente más costoso, pero jurídicamente más sólido.</w:t>
      </w:r>
    </w:p>
    <w:p>
      <w:pPr>
        <w:spacing w:after="120"/>
        <w:ind w:left="360" w:hanging="360"/>
      </w:pPr>
      <w:r>
        <w:rPr>
          <w:rFonts w:ascii="Montserrat" w:hAnsi="Montserrat"/>
          <w:color w:val="6CD3A5"/>
          <w:sz w:val="20"/>
        </w:rPr>
        <w:t>●</w:t>
        <w:tab/>
      </w:r>
      <w:r>
        <w:rPr>
          <w:rFonts w:ascii="Montserrat" w:hAnsi="Montserrat"/>
          <w:color w:val="333333"/>
          <w:sz w:val="22"/>
        </w:rPr>
        <w:t>El caso Sabaneta revela una paradoja fiscal: los municipios con menor capacidad recaudatoria son los que más recurren a sanciones desproporcionadas, porque necesitan los recursos. Pero esas sanciones terminan anuladas, generando litigio, costos jurídicos y pérdida de legitimidad. Es un círculo vicioso que solo se rompe con un régimen sancionatorio propio, lo cual requiere una reforma legal que supere el artículo 59 de la Ley 788.</w:t>
      </w:r>
    </w:p>
    <w:p>
      <w:pPr>
        <w:spacing w:after="120"/>
        <w:ind w:left="360" w:hanging="360"/>
      </w:pPr>
      <w:r>
        <w:rPr>
          <w:rFonts w:ascii="Montserrat" w:hAnsi="Montserrat"/>
          <w:color w:val="0B43F7"/>
          <w:sz w:val="20"/>
        </w:rPr>
        <w:t>●</w:t>
        <w:tab/>
      </w:r>
      <w:r>
        <w:rPr>
          <w:rFonts w:ascii="Montserrat" w:hAnsi="Montserrat"/>
          <w:color w:val="333333"/>
          <w:sz w:val="22"/>
        </w:rPr>
        <w:t>El criterio empresarial para dividendos en ICA, aunque técnicamente sofisticado, deja una laguna estructural: la doble imposición interna en cadenas de sociedades. Mientras el legislador no defina reglas claras de atenuación o exención, cada eslabón de una cadena empresarial estará expuesto a litigio, lo que desincentiva la inversión estructurada en el territorio.</w:t>
      </w:r>
    </w:p>
    <w:p>
      <w:pPr>
        <w:pStyle w:val="Heading1"/>
      </w:pPr>
      <w:r>
        <w:t>8. SÍNTESIS — POLICY SNAPSHOT</w:t>
      </w:r>
    </w:p>
    <w:p>
      <w:pPr>
        <w:pStyle w:val="Heading2"/>
      </w:pPr>
      <w:r>
        <w:t>D.1 Hallazgo principal con potencial de incidencia política</w:t>
      </w:r>
    </w:p>
    <w:p>
      <w:pPr>
        <w:jc w:val="both"/>
      </w:pPr>
      <w:r>
        <w:rPr>
          <w:rFonts w:ascii="Montserrat" w:hAnsi="Montserrat"/>
          <w:color w:val="333333"/>
          <w:sz w:val="22"/>
        </w:rPr>
        <w:t>El sistema de control de legalidad tributaria territorial está atravesando una crisis de latencia institucional: las decisiones del Consejo de Estado y la Corte Constitucional se contradicen, tardan años en consolidarse y generan devoluciones masivas que afectan la sostenibilidad fiscal de ciudades y municipios. La sentencia T-047 de 2026 sobre ciudades capitales abrió el rango tarifario completo del Decreto Ley 1421, pero condicionó ese poder a una motivación técnica y territorial rigurosa. La sentencia sobre Jericó redefinió el alumbrado público exigiendo beneficio efectivo, consumo de energía como base principal y tarifas alineadas con el servicio. Y el caso Sabaneta confirmó que las sanciones desproporcionadas no resisten el control de constitucionalidad. La ventana de oportunidad está en que las entidades territoriales revisen sus acuerdos antes de que sean demandados, y en que el legislador defina un régimen sancionatorio propio que rompa la dependencia del Estatuto Nacional.</w:t>
      </w:r>
    </w:p>
    <w:p>
      <w:pPr>
        <w:pStyle w:val="Heading2"/>
      </w:pPr>
      <w:r>
        <w:t>D.2 Alerta territorial crítica</w:t>
      </w:r>
    </w:p>
    <w:p>
      <w:pPr>
        <w:jc w:val="both"/>
      </w:pPr>
      <w:r>
        <w:rPr>
          <w:rFonts w:ascii="Montserrat" w:hAnsi="Montserrat"/>
          <w:color w:val="333333"/>
          <w:sz w:val="22"/>
        </w:rPr>
        <w:t>Cientos de acuerdos municipales de alumbrado público en todo el país pueden estar en riesgo de nulidad por no ajustarse a los nuevos criterios jurisprudenciales post-Jericó: tarifas por actividad económica aislada, categorías especiales por "riqueza" o capacidad contributiva, y hecho generador basado en potencialidad en lugar de beneficio efectivo. Las ciudades capitales que aprobaron tarifas de ICA sin motivación técnica territorial también están expuestas. Y los municipios que usan sanciones por no declarar como mecanismo de recaudo —especialmente cuando la sanción supera diez veces el valor del impuesto— enfrentan un riesgo litigioso creciente. La pérdida de recaudo por devoluciones y nulidades puede ser masiva.</w:t>
      </w:r>
    </w:p>
    <w:p>
      <w:pPr>
        <w:pStyle w:val="Heading2"/>
      </w:pPr>
      <w:r>
        <w:rPr>
          <w:color w:val="6CD3A5"/>
        </w:rPr>
        <w:t>D.3 Oportunidad de sinergia interinstitucional</w:t>
      </w:r>
    </w:p>
    <w:p>
      <w:pPr>
        <w:jc w:val="both"/>
      </w:pPr>
      <w:r>
        <w:rPr>
          <w:rFonts w:ascii="Montserrat" w:hAnsi="Montserrat"/>
          <w:color w:val="333333"/>
          <w:sz w:val="22"/>
        </w:rPr>
        <w:t>Articular la Sección Cuarta del Consejo de Estado, la Corte Constitucional, el Ministerio de Hacienda, la ANDI, las asociaciones de ciudades capitales y los gremios municipales para construir una mesa de coordinación jurisprudencial permanente. La sinergia debe incluir: (1) un protocolo de comunicación entre altas cortes para evitar contradicciones que generen devoluciones masivas; (2) una guía técnica para la motivación de acuerdos municipales de ICA y alumbrado público, validada por el Consejo de Estado; (3) un programa de acompañamiento a municipios pequeños para la actualización de sus acuerdos de alumbrado público; y (4) una reforma legislativa que defina un régimen sancionatorio territorial propio, con parámetros de proporcionalidad claros.</w:t>
      </w:r>
    </w:p>
    <w:p>
      <w:pPr>
        <w:pStyle w:val="Heading2"/>
      </w:pPr>
      <w:r>
        <w:t>D.4 Insight del sistematizador (lectura interpretativa)</w:t>
      </w:r>
    </w:p>
    <w:p>
      <w:pPr>
        <w:jc w:val="both"/>
      </w:pPr>
      <w:r>
        <w:rPr>
          <w:rFonts w:ascii="Montserrat" w:hAnsi="Montserrat"/>
          <w:color w:val="333333"/>
          <w:sz w:val="22"/>
        </w:rPr>
        <w:t>La jurisprudencia no es un espectáculo que observan los técnicos desde la grada; es una variable de política pública que define cuánto recauda un municipio, cuánto devuelve y cuánto litiga. El problema del sistema tributario territorial no es solo de normas mal escritas; es de tiempo institucional mal administrado. Cuando una sentencia del Consejo de Estado tarda dos años en llegar, y la Corte Constitucional tarda otros dos en corregirla, el territorio ha operado cuatro años con una norma que al final resulta nula. Ese tiempo no se recupera. La solución no está en más litigio, sino en menos contradicción: la coordinación entre altas cortes, la motivación técnica previa de los acuerdos locales y la particularización de las normas nacionales son tres mecanismos que pueden reducir la latencia judicial y devolverle predictibilidad al sistema.</w:t>
      </w:r>
    </w:p>
    <w:p>
      <w:pPr>
        <w:pStyle w:val="Heading1"/>
      </w:pPr>
      <w:r>
        <w:t>9. IMPLICACIONES PARA POLÍTICA PÚBLICA</w:t>
      </w:r>
    </w:p>
    <w:p>
      <w:pPr>
        <w:spacing w:after="120"/>
        <w:ind w:left="360" w:hanging="360"/>
      </w:pPr>
      <w:r>
        <w:rPr>
          <w:rFonts w:ascii="Montserrat" w:hAnsi="Montserrat"/>
          <w:color w:val="0B43F7"/>
          <w:sz w:val="20"/>
        </w:rPr>
        <w:t>●</w:t>
        <w:tab/>
      </w:r>
      <w:r>
        <w:rPr>
          <w:rFonts w:ascii="Montserrat" w:hAnsi="Montserrat"/>
          <w:color w:val="333333"/>
          <w:sz w:val="22"/>
        </w:rPr>
        <w:t>Revisión urgente de los acuerdos municipales de alumbrado público para ajustarlos a los criterios de la sentencia de Jericó: hecho generador basado en beneficio efectivo, consumo de energía como base gravable principal, catastro como subsidiario, y tarifas alineadas con la estructura tarifaria del servicio de energía por sectores —residencial, industrial, comercial— sin discriminación por actividad económica específica o "riqueza" del contribuyente.</w:t>
      </w:r>
    </w:p>
    <w:p>
      <w:pPr>
        <w:spacing w:after="120"/>
        <w:ind w:left="360" w:hanging="360"/>
      </w:pPr>
      <w:r>
        <w:rPr>
          <w:rFonts w:ascii="Montserrat" w:hAnsi="Montserrat"/>
          <w:color w:val="0AB6F2"/>
          <w:sz w:val="20"/>
        </w:rPr>
        <w:t>●</w:t>
        <w:tab/>
      </w:r>
      <w:r>
        <w:rPr>
          <w:rFonts w:ascii="Montserrat" w:hAnsi="Montserrat"/>
          <w:color w:val="333333"/>
          <w:sz w:val="22"/>
        </w:rPr>
        <w:t>Revisión de los acuerdos de ICA de las ciudades capitales para verificar que cuenten con motivación técnica y territorial que justifique la tarifa elegida, atando esa motivación a datos específicos de la jurisdicción —estructura económica, actualización catastral, déficit fiscal, composición del tejido empresarial— y no a argumentos genéricos o copiados de otros municipios.</w:t>
      </w:r>
    </w:p>
    <w:p>
      <w:pPr>
        <w:spacing w:after="120"/>
        <w:ind w:left="360" w:hanging="360"/>
      </w:pPr>
      <w:r>
        <w:rPr>
          <w:rFonts w:ascii="Montserrat" w:hAnsi="Montserrat"/>
          <w:color w:val="00CC30"/>
          <w:sz w:val="20"/>
        </w:rPr>
        <w:t>●</w:t>
        <w:tab/>
      </w:r>
      <w:r>
        <w:rPr>
          <w:rFonts w:ascii="Montserrat" w:hAnsi="Montserrat"/>
          <w:color w:val="333333"/>
          <w:sz w:val="22"/>
        </w:rPr>
        <w:t>Definición legislativa de un régimen sancionatorio propio para los tributos territoriales, que establezca parámetros de proporcionalidad claros —por ejemplo, que la sanción por no declarar no supere la sanción por extemporalidad tras emplazamiento (200%)— y que vincule la base de la sanción a los ingresos territoriales, no nacionales.</w:t>
      </w:r>
    </w:p>
    <w:p>
      <w:pPr>
        <w:spacing w:after="120"/>
        <w:ind w:left="360" w:hanging="360"/>
      </w:pPr>
      <w:r>
        <w:rPr>
          <w:rFonts w:ascii="Montserrat" w:hAnsi="Montserrat"/>
          <w:color w:val="6CD3A5"/>
          <w:sz w:val="20"/>
        </w:rPr>
        <w:t>●</w:t>
        <w:tab/>
      </w:r>
      <w:r>
        <w:rPr>
          <w:rFonts w:ascii="Montserrat" w:hAnsi="Montserrat"/>
          <w:color w:val="333333"/>
          <w:sz w:val="22"/>
        </w:rPr>
        <w:t>Creación de una guía jurisprudencial práctica para estatutos tributarios locales, producida conjuntamente por la Sección Cuarta del Consejo de Estado, el Ministerio de Hacienda y las asociaciones de entidades territoriales, que identifique las disposiciones de alto riesgo de nulidad y proponga redacciones alternativas.</w:t>
      </w:r>
    </w:p>
    <w:p>
      <w:pPr>
        <w:spacing w:after="120"/>
        <w:ind w:left="360" w:hanging="360"/>
      </w:pPr>
      <w:r>
        <w:rPr>
          <w:rFonts w:ascii="Montserrat" w:hAnsi="Montserrat"/>
          <w:color w:val="0B43F7"/>
          <w:sz w:val="20"/>
        </w:rPr>
        <w:t>●</w:t>
        <w:tab/>
      </w:r>
      <w:r>
        <w:rPr>
          <w:rFonts w:ascii="Montserrat" w:hAnsi="Montserrat"/>
          <w:color w:val="333333"/>
          <w:sz w:val="22"/>
        </w:rPr>
        <w:t>Fortalecimiento de capacidades técnicas de los concejos municipales y las secretarías de Hacienda para el diseño de acuerdos tributarios motivados, especialmente en ciudades capitales y municipios pequeños, mediante alianzas con universidades, escuelas de gobierno y la cooperación internacional.</w:t>
      </w:r>
    </w:p>
    <w:p>
      <w:pPr>
        <w:pStyle w:val="Heading1"/>
      </w:pPr>
      <w:r>
        <w:t>10. IMPLICACIONES ESPECÍFICAS PARA POLÍTICA NACIONAL</w:t>
      </w:r>
    </w:p>
    <w:p>
      <w:pPr>
        <w:spacing w:after="120"/>
        <w:ind w:left="360" w:hanging="360"/>
      </w:pPr>
      <w:r>
        <w:rPr>
          <w:rFonts w:ascii="Montserrat" w:hAnsi="Montserrat"/>
          <w:color w:val="0B43F7"/>
          <w:sz w:val="20"/>
        </w:rPr>
        <w:t>●</w:t>
        <w:tab/>
      </w:r>
      <w:r>
        <w:rPr>
          <w:rFonts w:ascii="Montserrat" w:hAnsi="Montserrat"/>
          <w:color w:val="333333"/>
          <w:sz w:val="22"/>
        </w:rPr>
        <w:t>El Congreso de la República debe priorizar, en el marco de la próxima reforma tributaria, un ajuste al artículo 59 de la Ley 788/2002 o la creación de un régimen sancionatorio territorial propio, que resuelva la trampa de la reserva de ley y permita a los territorios sancionar de manera proporcional sin depender mecánicamente del Estatuto Tributario Nacional.</w:t>
      </w:r>
    </w:p>
    <w:p>
      <w:pPr>
        <w:spacing w:after="120"/>
        <w:ind w:left="360" w:hanging="360"/>
      </w:pPr>
      <w:r>
        <w:rPr>
          <w:rFonts w:ascii="Montserrat" w:hAnsi="Montserrat"/>
          <w:color w:val="0AB6F2"/>
          <w:sz w:val="20"/>
        </w:rPr>
        <w:t>●</w:t>
        <w:tab/>
      </w:r>
      <w:r>
        <w:rPr>
          <w:rFonts w:ascii="Montserrat" w:hAnsi="Montserrat"/>
          <w:color w:val="333333"/>
          <w:sz w:val="22"/>
        </w:rPr>
        <w:t>El Ministerio de Hacienda y Crédito Público debe liderar una mesa técnica con la Sección Cuarta del Consejo de Estado, la Corte Constitucional y las asociaciones de ciudades capitales para consensuar una interpretación estable del artículo 14 de la Ley 2082/2021, definiendo indicadores objetivos de "realidad tributaria" que den certeza a las ciudades y límites claros a los contribuyentes.</w:t>
      </w:r>
    </w:p>
    <w:p>
      <w:pPr>
        <w:spacing w:after="120"/>
        <w:ind w:left="360" w:hanging="360"/>
      </w:pPr>
      <w:r>
        <w:rPr>
          <w:rFonts w:ascii="Montserrat" w:hAnsi="Montserrat"/>
          <w:color w:val="00CC30"/>
          <w:sz w:val="20"/>
        </w:rPr>
        <w:t>●</w:t>
        <w:tab/>
      </w:r>
      <w:r>
        <w:rPr>
          <w:rFonts w:ascii="Montserrat" w:hAnsi="Montserrat"/>
          <w:color w:val="333333"/>
          <w:sz w:val="22"/>
        </w:rPr>
        <w:t>La ANDI y los gremios empresariales deben articularse con las entidades territoriales para construir un modelo de motivación técnica de acuerdos de ICA que sea replicable, verificable y resistente al control judicial, evitando que cada ciudad reinvente la rueda.</w:t>
      </w:r>
    </w:p>
    <w:p>
      <w:pPr>
        <w:spacing w:after="120"/>
        <w:ind w:left="360" w:hanging="360"/>
      </w:pPr>
      <w:r>
        <w:rPr>
          <w:rFonts w:ascii="Montserrat" w:hAnsi="Montserrat"/>
          <w:color w:val="6CD3A5"/>
          <w:sz w:val="20"/>
        </w:rPr>
        <w:t>●</w:t>
        <w:tab/>
      </w:r>
      <w:r>
        <w:rPr>
          <w:rFonts w:ascii="Montserrat" w:hAnsi="Montserrat"/>
          <w:color w:val="333333"/>
          <w:sz w:val="22"/>
        </w:rPr>
        <w:t>El sistema de información del Ministerio de Hacienda debe habilitar un repositorio de acuerdos municipales de alumbrado público y ICA validados jurídicamente, con alertas tempranas sobre disposiciones de alto riesgo de nulidad por contradicción con jurisprudencia reiterada.</w:t>
      </w:r>
    </w:p>
    <w:p>
      <w:pPr>
        <w:spacing w:after="120"/>
        <w:ind w:left="360" w:hanging="360"/>
      </w:pPr>
      <w:r>
        <w:rPr>
          <w:rFonts w:ascii="Montserrat" w:hAnsi="Montserrat"/>
          <w:color w:val="0B43F7"/>
          <w:sz w:val="20"/>
        </w:rPr>
        <w:t>●</w:t>
        <w:tab/>
      </w:r>
      <w:r>
        <w:rPr>
          <w:rFonts w:ascii="Montserrat" w:hAnsi="Montserrat"/>
          <w:color w:val="333333"/>
          <w:sz w:val="22"/>
        </w:rPr>
        <w:t>El Departamento Administrativo de la Función Pública debe incorporar módulos de formación en diseño de acuerdos tributarios locales, control de legalidad y seguimiento jurisprudencial, dirigidos a concejales, secretarios de Hacienda y asesores jurídicos territoriales.</w:t>
      </w:r>
    </w:p>
    <w:p>
      <w:pPr>
        <w:pStyle w:val="Heading1"/>
      </w:pPr>
      <w:r>
        <w:t>11. CODIFICACIÓN PARA ANÁLISIS CRUZADO Y CONSOLIDACIÓN</w:t>
      </w:r>
    </w:p>
    <w:p>
      <w:pPr>
        <w:pStyle w:val="Heading2"/>
      </w:pPr>
      <w:r>
        <w:t>E.1 Dimensiones temáticas</w:t>
      </w:r>
    </w:p>
    <w:p>
      <w:pPr>
        <w:jc w:val="both"/>
      </w:pPr>
      <w:r>
        <w:rPr>
          <w:rFonts w:ascii="Montserrat" w:hAnsi="Montserrat"/>
          <w:color w:val="333333"/>
          <w:sz w:val="22"/>
        </w:rPr>
        <w:t>Marco normativo / regulatorio: Ley 2082/2021, Decreto Ley 1421/1993, Ley 1819/2016, artículo 59 Ley 788/2002, reforma de régimen sancionatorio territorial.</w:t>
      </w:r>
    </w:p>
    <w:p>
      <w:pPr>
        <w:jc w:val="both"/>
      </w:pPr>
      <w:r>
        <w:rPr>
          <w:rFonts w:ascii="Montserrat" w:hAnsi="Montserrat"/>
          <w:color w:val="333333"/>
          <w:sz w:val="22"/>
        </w:rPr>
        <w:t>Gestión catastral / tributaria: ICA, predial, alumbrado público, tarifas, bases gravables, hecho generador, dividendos.</w:t>
      </w:r>
    </w:p>
    <w:p>
      <w:pPr>
        <w:jc w:val="both"/>
      </w:pPr>
      <w:r>
        <w:rPr>
          <w:rFonts w:ascii="Montserrat" w:hAnsi="Montserrat"/>
          <w:color w:val="333333"/>
          <w:sz w:val="22"/>
        </w:rPr>
        <w:t>Descentralización / autonomía territorial: Autonomía de ciudades capitales, control de legalidad de acuerdos municipales, jerarquía normativa, realidad tributaria como concepto indeterminado.</w:t>
      </w:r>
    </w:p>
    <w:p>
      <w:pPr>
        <w:jc w:val="both"/>
      </w:pPr>
      <w:r>
        <w:rPr>
          <w:rFonts w:ascii="Montserrat" w:hAnsi="Montserrat"/>
          <w:color w:val="333333"/>
          <w:sz w:val="22"/>
        </w:rPr>
        <w:t>Financiación / fuentes alternativas: No aplica directamente.</w:t>
      </w:r>
    </w:p>
    <w:p>
      <w:pPr>
        <w:jc w:val="both"/>
      </w:pPr>
      <w:r>
        <w:rPr>
          <w:rFonts w:ascii="Montserrat" w:hAnsi="Montserrat"/>
          <w:color w:val="333333"/>
          <w:sz w:val="22"/>
        </w:rPr>
        <w:t>Infraestructura pública / valorización: No aplica.</w:t>
      </w:r>
    </w:p>
    <w:p>
      <w:pPr>
        <w:jc w:val="both"/>
      </w:pPr>
      <w:r>
        <w:rPr>
          <w:rFonts w:ascii="Montserrat" w:hAnsi="Montserrat"/>
          <w:color w:val="333333"/>
          <w:sz w:val="22"/>
        </w:rPr>
        <w:t>Tecnología / innovación en gestión de ingresos: Repositorio de acuerdos validados, alertas tempranas de nulidad, sistemas de información para motivación técnica.</w:t>
      </w:r>
    </w:p>
    <w:p>
      <w:pPr>
        <w:jc w:val="both"/>
      </w:pPr>
      <w:r>
        <w:rPr>
          <w:rFonts w:ascii="Montserrat" w:hAnsi="Montserrat"/>
          <w:color w:val="333333"/>
          <w:sz w:val="22"/>
        </w:rPr>
        <w:t>Jurisprudencia / procedimiento tributario: Sección Cuarta Consejo de Estado, Corte Constitucional, sentencia T-047/2026, sentencia Jericó, sentencia Sabaneta, sentencia de unificación dividendos 2021-2022, caso Bolsa de Valores, acto previo en alumbrado público.</w:t>
      </w:r>
    </w:p>
    <w:p>
      <w:pPr>
        <w:jc w:val="both"/>
      </w:pPr>
      <w:r>
        <w:rPr>
          <w:rFonts w:ascii="Montserrat" w:hAnsi="Montserrat"/>
          <w:color w:val="333333"/>
          <w:sz w:val="22"/>
        </w:rPr>
        <w:t>Presupuesto / operaciones de crédito: Impacto fiscal de devoluciones masivas, pérdida de recaudo por nulidades, flujo de caja de ciudades capitales y municipios pequeños.</w:t>
      </w:r>
    </w:p>
    <w:p>
      <w:pPr>
        <w:jc w:val="both"/>
      </w:pPr>
      <w:r>
        <w:rPr>
          <w:rFonts w:ascii="Montserrat" w:hAnsi="Montserrat"/>
          <w:color w:val="333333"/>
          <w:sz w:val="22"/>
        </w:rPr>
        <w:t>Modernización institucional: Capacitación de concejos y secretarías de Hacienda, fortalecimiento de grupos jurídicos territoriales, mesa técnica de coordinación jurisprudencial.</w:t>
      </w:r>
    </w:p>
    <w:p>
      <w:pPr>
        <w:jc w:val="both"/>
      </w:pPr>
      <w:r>
        <w:rPr>
          <w:rFonts w:ascii="Montserrat" w:hAnsi="Montserrat"/>
          <w:color w:val="333333"/>
          <w:sz w:val="22"/>
        </w:rPr>
        <w:t>Incidencia política / agenda pública: Relación entre altas cortes, autonomía territorial, seguridad jurídica, sanciones como mecanismo de recaudo.</w:t>
      </w:r>
    </w:p>
    <w:p>
      <w:pPr>
        <w:pStyle w:val="Heading2"/>
      </w:pPr>
      <w:r>
        <w:t>E.2 Dimensiones territoriales</w:t>
      </w:r>
    </w:p>
    <w:p>
      <w:pPr>
        <w:jc w:val="both"/>
      </w:pPr>
      <w:r>
        <w:rPr>
          <w:rFonts w:ascii="Montserrat" w:hAnsi="Montserrat"/>
          <w:color w:val="333333"/>
          <w:sz w:val="22"/>
        </w:rPr>
        <w:t>Nacional: Reforma artículo 59 Ley 788, régimen sancionatorio propio, coordinación entre Consejo de Estado y Corte Constitucional, guía jurisprudencial.</w:t>
      </w:r>
    </w:p>
    <w:p>
      <w:pPr>
        <w:jc w:val="both"/>
      </w:pPr>
      <w:r>
        <w:rPr>
          <w:rFonts w:ascii="Montserrat" w:hAnsi="Montserrat"/>
          <w:color w:val="333333"/>
          <w:sz w:val="22"/>
        </w:rPr>
        <w:t>Regional / departamental: No aplica directamente.</w:t>
      </w:r>
    </w:p>
    <w:p>
      <w:pPr>
        <w:jc w:val="both"/>
      </w:pPr>
      <w:r>
        <w:rPr>
          <w:rFonts w:ascii="Montserrat" w:hAnsi="Montserrat"/>
          <w:color w:val="333333"/>
          <w:sz w:val="22"/>
        </w:rPr>
        <w:t>Municipal / distrito: Ciudades capitales (Cali, Yopal, Bogotá), municipios pequeños (Jericó, Sabaneta), acuerdos municipales de alumbrado público e ICA.</w:t>
      </w:r>
    </w:p>
    <w:p>
      <w:pPr>
        <w:jc w:val="both"/>
      </w:pPr>
      <w:r>
        <w:rPr>
          <w:rFonts w:ascii="Montserrat" w:hAnsi="Montserrat"/>
          <w:color w:val="333333"/>
          <w:sz w:val="22"/>
        </w:rPr>
        <w:t>Área metropolitana: No aplica directamente.</w:t>
      </w:r>
    </w:p>
    <w:p>
      <w:pPr>
        <w:jc w:val="both"/>
      </w:pPr>
      <w:r>
        <w:rPr>
          <w:rFonts w:ascii="Montserrat" w:hAnsi="Montserrat"/>
          <w:color w:val="333333"/>
          <w:sz w:val="22"/>
        </w:rPr>
        <w:t>Rural / disperso: Impacto diferenciado en municipios pequeños con alta dependencia del alumbrado público como fuente de financiación.</w:t>
      </w:r>
    </w:p>
    <w:p>
      <w:pPr>
        <w:jc w:val="both"/>
      </w:pPr>
      <w:r>
        <w:rPr>
          <w:rFonts w:ascii="Montserrat" w:hAnsi="Montserrat"/>
          <w:color w:val="333333"/>
          <w:sz w:val="22"/>
        </w:rPr>
        <w:t>Fronterizo / especial: No aplica.</w:t>
      </w:r>
    </w:p>
    <w:p>
      <w:pPr>
        <w:pStyle w:val="Heading2"/>
      </w:pPr>
      <w:r>
        <w:rPr>
          <w:color w:val="6CD3A5"/>
        </w:rPr>
        <w:t>E.3 Dimensiones de actoría y sinergia</w:t>
      </w:r>
    </w:p>
    <w:p>
      <w:pPr>
        <w:jc w:val="both"/>
      </w:pPr>
      <w:r>
        <w:rPr>
          <w:rFonts w:ascii="Montserrat" w:hAnsi="Montserrat"/>
          <w:color w:val="333333"/>
          <w:sz w:val="22"/>
        </w:rPr>
        <w:t>Ministerios / nivel nacional: Ministerio de Hacienda (Dirección de Apoyo Fiscal), Congreso de la República, Consejo de Estado — Sección Cuarta, Corte Constitucional.</w:t>
      </w:r>
    </w:p>
    <w:p>
      <w:pPr>
        <w:jc w:val="both"/>
      </w:pPr>
      <w:r>
        <w:rPr>
          <w:rFonts w:ascii="Montserrat" w:hAnsi="Montserrat"/>
          <w:color w:val="333333"/>
          <w:sz w:val="22"/>
        </w:rPr>
        <w:t>Gobernaciones / alcaldías: Secretarías de Hacienda, alcaldías de ciudades capitales, alcaldías de municipios pequeños.</w:t>
      </w:r>
    </w:p>
    <w:p>
      <w:pPr>
        <w:jc w:val="both"/>
      </w:pPr>
      <w:r>
        <w:rPr>
          <w:rFonts w:ascii="Montserrat" w:hAnsi="Montserrat"/>
          <w:color w:val="333333"/>
          <w:sz w:val="22"/>
        </w:rPr>
        <w:t>Asambleas / concejos: Competencia para fijar acuerdos municipales de ICA y alumbrado público, necesidad de motivación técnica.</w:t>
      </w:r>
    </w:p>
    <w:p>
      <w:pPr>
        <w:jc w:val="both"/>
      </w:pPr>
      <w:r>
        <w:rPr>
          <w:rFonts w:ascii="Montserrat" w:hAnsi="Montserrat"/>
          <w:color w:val="333333"/>
          <w:sz w:val="22"/>
        </w:rPr>
        <w:t>Sector académico / investigación: Centros de estudios de derecho tributario, análisis de jurisprudencia.</w:t>
      </w:r>
    </w:p>
    <w:p>
      <w:pPr>
        <w:jc w:val="both"/>
      </w:pPr>
      <w:r>
        <w:rPr>
          <w:rFonts w:ascii="Montserrat" w:hAnsi="Montserrat"/>
          <w:color w:val="333333"/>
          <w:sz w:val="22"/>
        </w:rPr>
        <w:t>Sector privado / gremios: ANDI, entidades financieras (Cali, Yopal), Bolsa de Valores de Colombia, empresas de servicios públicos de energía, contribuyentes afectados por sanciones desproporcionadas.</w:t>
      </w:r>
    </w:p>
    <w:p>
      <w:pPr>
        <w:jc w:val="both"/>
      </w:pPr>
      <w:r>
        <w:rPr>
          <w:rFonts w:ascii="Montserrat" w:hAnsi="Montserrat"/>
          <w:color w:val="333333"/>
          <w:sz w:val="22"/>
        </w:rPr>
        <w:t>Organismos de control / fiscalización: Consejo de Estado, Corte Constitucional, Procuraduría, control de legalidad de acuerdos.</w:t>
      </w:r>
    </w:p>
    <w:p>
      <w:pPr>
        <w:jc w:val="both"/>
      </w:pPr>
      <w:r>
        <w:rPr>
          <w:rFonts w:ascii="Montserrat" w:hAnsi="Montserrat"/>
          <w:color w:val="333333"/>
          <w:sz w:val="22"/>
        </w:rPr>
        <w:t>Sociedad civil / veeduría: Contribuyentes como sujetos de derecho, veeduría sobre motivación de acuerdos y proporcionalidad de sanciones.</w:t>
      </w:r>
    </w:p>
    <w:p>
      <w:pPr>
        <w:jc w:val="both"/>
      </w:pPr>
      <w:r>
        <w:rPr>
          <w:rFonts w:ascii="Montserrat" w:hAnsi="Montserrat"/>
          <w:color w:val="333333"/>
          <w:sz w:val="22"/>
        </w:rPr>
        <w:t>Cooperación internacional: No mencionada explícitamente.</w:t>
      </w:r>
    </w:p>
    <w:p>
      <w:pPr>
        <w:pStyle w:val="Heading2"/>
      </w:pPr>
      <w:r>
        <w:t>E.4 Relación con otros paneles (Knowledge Graph)</w:t>
      </w:r>
    </w:p>
    <w:p>
      <w:pPr>
        <w:spacing w:after="120"/>
        <w:ind w:left="360" w:hanging="360"/>
      </w:pPr>
      <w:r>
        <w:rPr>
          <w:rFonts w:ascii="Montserrat" w:hAnsi="Montserrat"/>
          <w:color w:val="0B43F7"/>
          <w:sz w:val="20"/>
        </w:rPr>
        <w:t>●</w:t>
        <w:tab/>
      </w:r>
      <w:r>
        <w:rPr>
          <w:rFonts w:ascii="Montserrat" w:hAnsi="Montserrat"/>
          <w:color w:val="333333"/>
          <w:sz w:val="22"/>
        </w:rPr>
        <w:t>Panel 2 (Principales marcos normativos): conexión directa por la discusión de la Ley 2082/2021, el Decreto Ley 1421/1993 y la jerarquía normativa.</w:t>
      </w:r>
    </w:p>
    <w:p>
      <w:pPr>
        <w:spacing w:after="120"/>
        <w:ind w:left="360" w:hanging="360"/>
      </w:pPr>
      <w:r>
        <w:rPr>
          <w:rFonts w:ascii="Montserrat" w:hAnsi="Montserrat"/>
          <w:color w:val="0AB6F2"/>
          <w:sz w:val="20"/>
        </w:rPr>
        <w:t>●</w:t>
        <w:tab/>
      </w:r>
      <w:r>
        <w:rPr>
          <w:rFonts w:ascii="Montserrat" w:hAnsi="Montserrat"/>
          <w:color w:val="333333"/>
          <w:sz w:val="22"/>
        </w:rPr>
        <w:t>Panel 3 (Impuesto predial unificado): conexión directa por la habilitación de ciudades capitales para adoptar normas de Bogotá en predial.</w:t>
      </w:r>
    </w:p>
    <w:p>
      <w:pPr>
        <w:spacing w:after="120"/>
        <w:ind w:left="360" w:hanging="360"/>
      </w:pPr>
      <w:r>
        <w:rPr>
          <w:rFonts w:ascii="Montserrat" w:hAnsi="Montserrat"/>
          <w:color w:val="00CC30"/>
          <w:sz w:val="20"/>
        </w:rPr>
        <w:t>●</w:t>
        <w:tab/>
      </w:r>
      <w:r>
        <w:rPr>
          <w:rFonts w:ascii="Montserrat" w:hAnsi="Montserrat"/>
          <w:color w:val="333333"/>
          <w:sz w:val="22"/>
        </w:rPr>
        <w:t>Panel 4 (Impuesto de industria y comercio): conexión directa por las tarifas de ICA en ciudades capitales, sanciones por no declarar, dividendos y proporcionalidad.</w:t>
      </w:r>
    </w:p>
    <w:p>
      <w:pPr>
        <w:spacing w:after="120"/>
        <w:ind w:left="360" w:hanging="360"/>
      </w:pPr>
      <w:r>
        <w:rPr>
          <w:rFonts w:ascii="Montserrat" w:hAnsi="Montserrat"/>
          <w:color w:val="6CD3A5"/>
          <w:sz w:val="20"/>
        </w:rPr>
        <w:t>●</w:t>
        <w:tab/>
      </w:r>
      <w:r>
        <w:rPr>
          <w:rFonts w:ascii="Montserrat" w:hAnsi="Montserrat"/>
          <w:color w:val="333333"/>
          <w:sz w:val="22"/>
        </w:rPr>
        <w:t>Panel 9 (Procedimiento tributario): conexión directa por el artículo 59 de la Ley 788/2002, el régimen sancionatorio, el acto previo y el debido proceso.</w:t>
      </w:r>
    </w:p>
    <w:p>
      <w:pPr>
        <w:spacing w:after="120"/>
        <w:ind w:left="360" w:hanging="360"/>
      </w:pPr>
      <w:r>
        <w:rPr>
          <w:rFonts w:ascii="Montserrat" w:hAnsi="Montserrat"/>
          <w:color w:val="0B43F7"/>
          <w:sz w:val="20"/>
        </w:rPr>
        <w:t>●</w:t>
        <w:tab/>
      </w:r>
      <w:r>
        <w:rPr>
          <w:rFonts w:ascii="Montserrat" w:hAnsi="Montserrat"/>
          <w:color w:val="333333"/>
          <w:sz w:val="22"/>
        </w:rPr>
        <w:t>Panel 7 (Generación de valor): conexión indirecta por la necesidad de certeza jurídica para la inversión y la recaudación territorial.</w:t>
      </w:r>
    </w:p>
    <w:p>
      <w:pPr>
        <w:spacing w:after="120"/>
        <w:ind w:left="360" w:hanging="360"/>
      </w:pPr>
      <w:r>
        <w:rPr>
          <w:rFonts w:ascii="Montserrat" w:hAnsi="Montserrat"/>
          <w:color w:val="0AB6F2"/>
          <w:sz w:val="20"/>
        </w:rPr>
        <w:t>●</w:t>
        <w:tab/>
      </w:r>
      <w:r>
        <w:rPr>
          <w:rFonts w:ascii="Montserrat" w:hAnsi="Montserrat"/>
          <w:color w:val="333333"/>
          <w:sz w:val="22"/>
        </w:rPr>
        <w:t>Panel 13 (Propuestas para la modernización): conexión por la modernización de la gestión tributaria, capacitación institucional y uso de tecnología para validación de acuerdos.</w:t>
      </w:r>
    </w:p>
    <w:p>
      <w:pPr>
        <w:pStyle w:val="Heading1"/>
      </w:pPr>
      <w:r>
        <w:t>12. INSUMOS PARA COMUNICACIONES</w:t>
      </w:r>
    </w:p>
    <w:p>
      <w:pPr>
        <w:jc w:val="both"/>
      </w:pPr>
      <w:r>
        <w:rPr>
          <w:rFonts w:ascii="Montserrat" w:hAnsi="Montserrat"/>
          <w:color w:val="333333"/>
          <w:sz w:val="22"/>
        </w:rPr>
        <w:t>Frase clave para política: "la sanción no es un mecanismo de financiación de las entidades territoriales." — Gabriel Muñoz</w:t>
      </w:r>
    </w:p>
    <w:p>
      <w:pPr>
        <w:jc w:val="both"/>
      </w:pPr>
      <w:r>
        <w:rPr>
          <w:rFonts w:ascii="Montserrat" w:hAnsi="Montserrat"/>
          <w:color w:val="333333"/>
          <w:sz w:val="22"/>
        </w:rPr>
        <w:t>Dato destacado territorial: Caso Sabaneta: sanción por no declarar el ICA al 10% de los ingresos, cuando el impuesto era del 1% (10 por mil). La sanción era diez veces más alta que el impuesto.</w:t>
      </w:r>
    </w:p>
    <w:p>
      <w:pPr>
        <w:jc w:val="both"/>
      </w:pPr>
      <w:r>
        <w:rPr>
          <w:rFonts w:ascii="Montserrat" w:hAnsi="Montserrat"/>
          <w:color w:val="333333"/>
          <w:sz w:val="22"/>
        </w:rPr>
        <w:t>Mensaje sintetizado (máx. 280 caracteres): La última palabra judicial tarda años y deja a los municipios sin recaudo. Ciudades y concejos necesitan revisar sus acuerdos antes de que la jurisprudencia los tumbe. #FPT2026 #JurisprudenciaTributaria #AutonomíaTerritorial</w:t>
      </w:r>
    </w:p>
    <w:p>
      <w:pPr>
        <w:jc w:val="both"/>
      </w:pPr>
      <w:r>
        <w:rPr>
          <w:rFonts w:ascii="Montserrat" w:hAnsi="Montserrat"/>
          <w:color w:val="333333"/>
          <w:sz w:val="22"/>
        </w:rPr>
        <w:t>Actor / fuente: Panel 10 — Muñoz (Sección Cuarta, Consejo de Estado), Rodríguez (Director de Impuestos, ANDI)</w:t>
      </w:r>
    </w:p>
    <w:p>
      <w:pPr>
        <w:jc w:val="both"/>
      </w:pPr>
      <w:r>
        <w:rPr>
          <w:rFonts w:ascii="Montserrat" w:hAnsi="Montserrat"/>
          <w:color w:val="333333"/>
          <w:sz w:val="22"/>
        </w:rPr>
        <w:t>¿Por qué es difundible?: Conecta el lenguaje jurídico con la experiencia cotidiana de los alcaldes y concejales —miedo a la nulidad, devoluciones masivas— y desarma el mito de que más sanción siempre equivale a más recaudo.</w:t>
      </w:r>
    </w:p>
    <w:p>
      <w:pPr>
        <w:jc w:val="both"/>
      </w:pPr>
      <w:r>
        <w:rPr>
          <w:rFonts w:ascii="Montserrat" w:hAnsi="Montserrat"/>
          <w:color w:val="333333"/>
          <w:sz w:val="22"/>
        </w:rPr>
        <w:t>Hashtag / etiqueta sugerida: #FPT2026 #JurisprudenciaTributaria #AutonomíaTerritorial #AlumbradoPúblico #CiudadesCapitales #Proporcionalidad #NoMásSancionesRecaudo</w:t>
      </w:r>
    </w:p>
    <w:p>
      <w:pPr>
        <w:jc w:val="both"/>
      </w:pPr>
      <w:r>
        <w:rPr>
          <w:rFonts w:ascii="Montserrat" w:hAnsi="Montserrat"/>
          <w:color w:val="333333"/>
          <w:sz w:val="22"/>
        </w:rPr>
        <w:t>Formato sugerido: Carrusel de Instagram/Twitter: 5 slides — (1) La renovación de la Sección Cuarta, (2) El caso Cali-Yopal y la Corte, (3) La sentencia de Jericó y el alumbrado, (4) El caso Sabaneta: sanción = 10x el impuesto, (5) El llamado: revisar acuerdos antes de que la justicia lo haga.</w:t>
      </w:r>
    </w:p>
    <w:p>
      <w:pPr>
        <w:pStyle w:val="Heading1"/>
      </w:pPr>
      <w:r>
        <w:t>13. TRAZABILIDAD Y VALIDACIÓN</w:t>
      </w:r>
    </w:p>
    <w:p>
      <w:pPr>
        <w:jc w:val="both"/>
      </w:pPr>
      <w:r>
        <w:rPr>
          <w:rFonts w:ascii="Montserrat" w:hAnsi="Montserrat"/>
          <w:color w:val="333333"/>
          <w:sz w:val="22"/>
        </w:rPr>
        <w:t>Hora de finalización de la captura: 12:45 PM (estimada, panel matutino previo al almuerzo)</w:t>
      </w:r>
    </w:p>
    <w:p>
      <w:pPr>
        <w:jc w:val="both"/>
      </w:pPr>
      <w:r>
        <w:rPr>
          <w:rFonts w:ascii="Montserrat" w:hAnsi="Montserrat"/>
          <w:color w:val="333333"/>
          <w:sz w:val="22"/>
        </w:rPr>
        <w:t>Revisado por (auxiliar de gestión del conocimiento): Andrés Zorrilla</w:t>
      </w:r>
    </w:p>
    <w:p>
      <w:pPr>
        <w:jc w:val="both"/>
      </w:pPr>
      <w:r>
        <w:rPr>
          <w:rFonts w:ascii="Montserrat" w:hAnsi="Montserrat"/>
          <w:color w:val="333333"/>
          <w:sz w:val="22"/>
        </w:rPr>
        <w:t>Nivel de confianza del registro: ALTO — Información verificada con fuentes claras, datos confirmados por los panelistas en sesión pública. Citas textuales reconstruidas desde transcripción completa del audio.</w:t>
      </w:r>
    </w:p>
    <w:p>
      <w:pPr>
        <w:jc w:val="both"/>
      </w:pPr>
      <w:r>
        <w:rPr>
          <w:rFonts w:ascii="Montserrat" w:hAnsi="Montserrat"/>
          <w:color w:val="333333"/>
          <w:sz w:val="22"/>
        </w:rPr>
        <w:t>Observaciones de validación rápida: Las referencias jurisprudenciales —sentencia T-047/2026 de la Corte Constitucional; sentencias Consejo de Estado Cali (agosto 2024) y Yopal (julio 2024) con ponencia doctora Miriam Estela; sentencia de unificación sobre dividendos 2021-2022; sentencia sobre Jericó; sentencia sobre Sabaneta— fueron enunciadas por los panelistas. Se recomienda contrastar con los textos oficiales de las altas cortes. La referencia a la sentencia de unificación sobre alumbrado público de 2019 fue mencionada por Gabriel Muñoz. Las referencias a la Ley 2082/2021, Decreto Ley 1421/1993 y Ley 1819/2016 fueron verificadas en sesión pública.</w:t>
      </w:r>
    </w:p>
    <w:p>
      <w:pPr>
        <w:jc w:val="both"/>
      </w:pPr>
      <w:r>
        <w:rPr>
          <w:rFonts w:ascii="Montserrat" w:hAnsi="Montserrat"/>
          <w:color w:val="333333"/>
          <w:sz w:val="22"/>
        </w:rPr>
        <w:t>Pendientes / dudas para resolver con el equipo: (1) Confirmar fecha exacta de sesión (5 o 6 de agosto 2026); (2) Solicitar presentaciones de diapositivas de los panelistas para enriquecer anexos; (3) Verificar número exacto de sentencia T-047/2026; (4) Solicitar texto de sentencia sobre Jericó para anexo jurisprudencial; (5) Solicitar texto de sentencia sobre Sabaneta para anexo jurisprudencial.</w:t>
      </w:r>
    </w:p>
    <w:p>
      <w:pPr>
        <w:jc w:val="both"/>
      </w:pPr>
      <w:r>
        <w:rPr>
          <w:rFonts w:ascii="Montserrat" w:hAnsi="Montserrat"/>
          <w:color w:val="333333"/>
          <w:sz w:val="22"/>
        </w:rPr>
        <w:t>Archivos adjuntos: Transcripción completa Panel 10 (Transcripción panel 10.docx); Ficha de Panel 10 en Excel (Panel 10. Novedades Jurisprudenciales.xlsx); Documento Metodológico Ejecutivo FPT 2026.</w:t>
      </w:r>
    </w:p>
    <w:p>
      <w:pPr>
        <w:pStyle w:val="Heading1"/>
      </w:pPr>
      <w:r>
        <w:t>14. NOTA METODOLÓGICA</w:t>
      </w:r>
    </w:p>
    <w:p>
      <w:pPr>
        <w:jc w:val="both"/>
      </w:pPr>
      <w:r>
        <w:rPr>
          <w:rFonts w:ascii="Montserrat" w:hAnsi="Montserrat"/>
          <w:color w:val="333333"/>
          <w:sz w:val="22"/>
        </w:rPr>
        <w:t>Esta relatoría se elaboró bajo los principios del Documento Metodológico — Sistematización Estratégica FPT 2026 (Magna Comunicaciones | GOBS Estrategias Públicas, julio 2026). La información se organizó siguiendo la cadena de valor Problema → Reto → Solución → Sinergia, no el orden cronológico de las intervenciones. Las citas textuales entrecomilladas corresponden a expresiones reconstruidas desde la transcripción completa del panel y mantienen la intención discursiva del panelista. La síntesis en caliente (Sección 8) fue completada dentro de la ventana de 24 horas posterior al cierre del panel para preservar el contexto implícito. El nivel de confianza 'ALTO' se asigna por tratarse de un registro público con fuentes identificables, sujeto a las validaciones de cifras y referencias jurisprudenciales señaladas en la trazabilidad.</w:t>
      </w:r>
    </w:p>
    <w:sectPr>
      <w:headerReference r:id="rId7" w:type="default"/>
      <w:footerReference r:id="rId8" w:type="default"/>
      <w:pgSz w:h="15840" w:w="12240" w:orient="portrait"/>
      <w:pgMar w:bottom="1152"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80" w:before="0" w:line="240" w:lineRule="auto"/>
      <w:ind w:left="0" w:right="0" w:firstLine="0"/>
      <w:jc w:val="center"/>
      <w:rPr>
        <w:rFonts w:ascii="Montserrat" w:cs="Montserrat" w:eastAsia="Montserrat" w:hAnsi="Montserrat"/>
        <w:b w:val="0"/>
        <w:bCs w:val="0"/>
        <w:i w:val="0"/>
        <w:iCs w:val="0"/>
        <w:smallCaps w:val="0"/>
        <w:strike w:val="0"/>
        <w:color w:val="333333"/>
        <w:sz w:val="22"/>
        <w:szCs w:val="22"/>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33333"/>
        <w:sz w:val="22"/>
        <w:szCs w:val="22"/>
        <w:u w:val="none"/>
        <w:shd w:fill="auto" w:val="clear"/>
        <w:vertAlign w:val="baseline"/>
      </w:rPr>
      <w:drawing>
        <wp:inline distB="0" distT="0" distL="114300" distR="114300">
          <wp:extent cx="5029200" cy="246810"/>
          <wp:effectExtent b="0" l="0" r="0" t="0"/>
          <wp:docPr id="7"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5029200" cy="24681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spacing w:before="40" w:lineRule="auto"/>
      <w:jc w:val="center"/>
      <w:rPr/>
    </w:pPr>
    <w:r w:rsidDel="00000000" w:rsidR="00000000" w:rsidRPr="00000000">
      <w:rPr>
        <w:rFonts w:ascii="Montserrat" w:cs="Montserrat" w:eastAsia="Montserrat" w:hAnsi="Montserrat"/>
        <w:b w:val="0"/>
        <w:bCs w:val="0"/>
        <w:i w:val="0"/>
        <w:iCs w:val="0"/>
        <w:color w:val="4a4a5a"/>
        <w:sz w:val="16"/>
        <w:szCs w:val="16"/>
        <w:rtl w:val="0"/>
      </w:rPr>
      <w:t xml:space="preserve">Sistematización FPT 2026 </w:t>
    </w:r>
    <w:r w:rsidDel="00000000" w:rsidR="00000000" w:rsidRPr="00000000">
      <w:rPr>
        <w:color w:val="4a4a5a"/>
        <w:sz w:val="16"/>
        <w:szCs w:val="16"/>
        <w:rtl w:val="0"/>
      </w:rPr>
      <w:t xml:space="preserve"> | </w:t>
    </w:r>
    <w:r w:rsidDel="00000000" w:rsidR="00000000" w:rsidRPr="00000000">
      <w:rPr>
        <w:rFonts w:ascii="Montserrat" w:cs="Montserrat" w:eastAsia="Montserrat" w:hAnsi="Montserrat"/>
        <w:b w:val="0"/>
        <w:bCs w:val="0"/>
        <w:i w:val="0"/>
        <w:iCs w:val="0"/>
        <w:color w:val="4a4a5a"/>
        <w:sz w:val="16"/>
        <w:szCs w:val="16"/>
        <w:rtl w:val="0"/>
      </w:rPr>
      <w:t xml:space="preserve">GOBS Estrategias Públicas</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Montserrat" w:cs="Montserrat" w:eastAsia="Montserrat" w:hAnsi="Montserrat"/>
        <w:b w:val="0"/>
        <w:bCs w:val="0"/>
        <w:i w:val="0"/>
        <w:iCs w:val="0"/>
        <w:smallCaps w:val="0"/>
        <w:strike w:val="0"/>
        <w:color w:val="333333"/>
        <w:sz w:val="22"/>
        <w:szCs w:val="22"/>
        <w:u w:val="none"/>
        <w:shd w:fill="auto" w:val="clear"/>
        <w:vertAlign w:val="baseline"/>
      </w:rPr>
    </w:pPr>
    <w:r w:rsidDel="00000000" w:rsidR="00000000" w:rsidRPr="00000000">
      <w:rPr>
        <w:rtl w:val="0"/>
      </w:rPr>
    </w:r>
  </w:p>
  <w:tbl>
    <w:tblPr>
      <w:tblStyle w:val="Table3"/>
      <w:tblW w:w="9359.999999999998"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024"/>
      <w:gridCol w:w="3312"/>
      <w:gridCol w:w="3024"/>
      <w:tblGridChange w:id="0">
        <w:tblGrid>
          <w:gridCol w:w="3024"/>
          <w:gridCol w:w="3312"/>
          <w:gridCol w:w="3024"/>
        </w:tblGrid>
      </w:tblGridChange>
    </w:tblGrid>
    <w:tr>
      <w:trPr>
        <w:cantSplit w:val="0"/>
        <w:tblHeader w:val="0"/>
      </w:trPr>
      <w:tc>
        <w:tcPr>
          <w:vAlign w:val="center"/>
        </w:tcPr>
        <w:p w:rsidR="00000000" w:rsidDel="00000000" w:rsidP="00000000" w:rsidRDefault="00000000" w:rsidRPr="00000000" w14:paraId="00000016">
          <w:pPr>
            <w:jc w:val="left"/>
            <w:rPr/>
          </w:pPr>
          <w:r w:rsidDel="00000000" w:rsidR="00000000" w:rsidRPr="00000000">
            <w:rPr/>
            <w:drawing>
              <wp:inline distB="0" distT="0" distL="114300" distR="114300">
                <wp:extent cx="1463040" cy="822960"/>
                <wp:effectExtent b="0" l="0" r="0" t="0"/>
                <wp:docPr id="4"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1463040" cy="82296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17">
          <w:pPr>
            <w:jc w:val="center"/>
            <w:rPr/>
          </w:pPr>
          <w:r w:rsidDel="00000000" w:rsidR="00000000" w:rsidRPr="00000000">
            <w:rPr/>
            <w:drawing>
              <wp:inline distB="0" distT="0" distL="114300" distR="114300">
                <wp:extent cx="1280160" cy="1005459"/>
                <wp:effectExtent b="0" l="0" r="0" t="0"/>
                <wp:docPr id="6"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280160" cy="1005459"/>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18">
          <w:pPr>
            <w:jc w:val="right"/>
            <w:rPr/>
          </w:pPr>
          <w:r w:rsidDel="00000000" w:rsidR="00000000" w:rsidRPr="00000000">
            <w:rPr/>
            <w:drawing>
              <wp:inline distB="0" distT="0" distL="114300" distR="114300">
                <wp:extent cx="1645920" cy="423907"/>
                <wp:effectExtent b="0" l="0" r="0" t="0"/>
                <wp:docPr id="5" name="image1.png"/>
                <a:graphic>
                  <a:graphicData uri="http://schemas.openxmlformats.org/drawingml/2006/picture">
                    <pic:pic>
                      <pic:nvPicPr>
                        <pic:cNvPr id="0" name="image1.png"/>
                        <pic:cNvPicPr preferRelativeResize="0"/>
                      </pic:nvPicPr>
                      <pic:blipFill>
                        <a:blip r:embed="rId3"/>
                        <a:srcRect b="0" l="0" r="0" t="0"/>
                        <a:stretch>
                          <a:fillRect/>
                        </a:stretch>
                      </pic:blipFill>
                      <pic:spPr>
                        <a:xfrm>
                          <a:off x="0" y="0"/>
                          <a:ext cx="1645920" cy="4239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19">
    <w:pPr>
      <w:spacing w:before="40" w:lineRule="auto"/>
      <w:jc w:val="center"/>
      <w:rPr/>
    </w:pPr>
    <w:r w:rsidDel="00000000" w:rsidR="00000000" w:rsidRPr="00000000">
      <w:rPr>
        <w:rFonts w:ascii="Montserrat" w:cs="Montserrat" w:eastAsia="Montserrat" w:hAnsi="Montserrat"/>
        <w:b w:val="0"/>
        <w:bCs w:val="0"/>
        <w:i w:val="0"/>
        <w:iCs w:val="0"/>
        <w:color w:val="e0e0e0"/>
        <w:sz w:val="12"/>
        <w:szCs w:val="12"/>
        <w:rtl w:val="0"/>
      </w:rPr>
      <w:t xml:space="preserve">__________________________________________________________________________________________</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ontserrat" w:cs="Montserrat" w:eastAsia="Montserrat" w:hAnsi="Montserrat"/>
        <w:color w:val="333333"/>
        <w:sz w:val="22"/>
        <w:szCs w:val="22"/>
        <w:lang w:val="en"/>
      </w:rPr>
    </w:rPrDefault>
    <w:pPrDefault>
      <w:pPr>
        <w:spacing w:after="1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480" w:lineRule="auto"/>
    </w:pPr>
    <w:rPr>
      <w:rFonts w:ascii="Georgia" w:cs="Georgia" w:eastAsia="Georgia" w:hAnsi="Georgia"/>
      <w:b w:val="1"/>
      <w:bCs w:val="1"/>
      <w:color w:val="000000"/>
      <w:sz w:val="40"/>
      <w:szCs w:val="40"/>
    </w:rPr>
  </w:style>
  <w:style w:type="paragraph" w:styleId="Heading2">
    <w:name w:val="heading 2"/>
    <w:basedOn w:val="Normal"/>
    <w:next w:val="Normal"/>
    <w:pPr>
      <w:keepNext w:val="1"/>
      <w:keepLines w:val="1"/>
      <w:spacing w:after="160" w:before="360" w:lineRule="auto"/>
    </w:pPr>
    <w:rPr>
      <w:rFonts w:ascii="Georgia" w:cs="Georgia" w:eastAsia="Georgia" w:hAnsi="Georgia"/>
      <w:b w:val="1"/>
      <w:bCs w:val="1"/>
      <w:color w:val="0b43f7"/>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spacing w:after="80"/>
      <w:ind w:left="360"/>
      <w:contextualSpacing w:val="1"/>
    </w:pPr>
    <w:rPr>
      <w:rFonts w:ascii="Montserrat" w:hAnsi="Montserrat"/>
      <w:color w:val="333333"/>
      <w:sz w:val="22"/>
    </w:r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pPr>
      <w:spacing w:after="240" w:before="240"/>
      <w:ind w:left="432" w:right="432"/>
    </w:pPr>
    <w:rPr>
      <w:rFonts w:ascii="Georgia" w:hAnsi="Georgia"/>
      <w:i w:val="1"/>
      <w:iCs w:val="1"/>
      <w:color w:val="1a1a2e"/>
      <w:sz w:val="2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 Id="rId3"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HMq/R98wWnvN5Q+kTqFynqfo6w==">CgMxLjA4AHIhMTF3TzRPc2ZwbXo3bkNOb1g2cHpQTC0xNEhjeENrT2xR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