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12</w:t>
      </w:r>
    </w:p>
    <w:p>
      <w:pPr>
        <w:spacing w:after="80"/>
      </w:pPr>
      <w:r>
        <w:rPr>
          <w:rFonts w:ascii="Georgia" w:hAnsi="Georgia"/>
          <w:i/>
          <w:color w:val="4A4A5A"/>
          <w:sz w:val="24"/>
        </w:rPr>
        <w:t>NOVEDADES EN LOS MARCOS FISCALES DE MEDIANO PLAZO, PRESUPUESTOS TERRITORIALES Y OPERACIONES DE CRÉDITO PÚBLICO</w:t>
      </w:r>
    </w:p>
    <w:p>
      <w:pPr>
        <w:spacing w:after="80"/>
      </w:pPr>
      <w:r>
        <w:rPr>
          <w:rFonts w:ascii="Georgia" w:hAnsi="Georgia"/>
          <w:i/>
          <w:color w:val="666666"/>
          <w:sz w:val="18"/>
        </w:rPr>
        <w:t>Congreso de Finanzas Públicas Territoriales 2026</w:t>
        <w:br/>
        <w:t>Sistematizador: Andrés Zorrilla | Auxiliar de Gestión del Conocimiento: Natalia Hernández</w:t>
        <w:br/>
        <w:t>Nivel de confianza del registro: ALTO</w:t>
        <w:br/>
        <w:t>Fuentes: Transcripción textual Panel 12, Ficha de panel en tiempo real, Acta de alistamiento estratégico</w:t>
      </w:r>
    </w:p>
    <w:p>
      <w:pPr>
        <w:spacing w:after="320"/>
      </w:pPr>
      <w:r>
        <w:rPr>
          <w:rFonts w:ascii="Montserrat" w:hAnsi="Montserrat"/>
          <w:color w:val="0B43F7"/>
          <w:sz w:val="20"/>
        </w:rPr>
        <w:t>───────────────────────────────────</w:t>
      </w:r>
    </w:p>
    <w:p>
      <w:pPr>
        <w:pStyle w:val="Heading1"/>
      </w:pPr>
      <w:r>
        <w:t>1. ANCLAJE POLÍTICO Y CONTEXTO INSTITUCIONAL</w:t>
      </w:r>
    </w:p>
    <w:p>
      <w:pPr>
        <w:jc w:val="both"/>
      </w:pPr>
      <w:r>
        <w:rPr>
          <w:rFonts w:ascii="Montserrat" w:hAnsi="Montserrat"/>
          <w:color w:val="333333"/>
          <w:sz w:val="22"/>
        </w:rPr>
        <w:t>Problema público: ¿Cómo afrontar situaciones de emergencia con un presupuesto limitado y programado bajo un marco de rigidez normativa creciente?</w:t>
      </w:r>
    </w:p>
    <w:p>
      <w:pPr>
        <w:jc w:val="both"/>
      </w:pPr>
      <w:r>
        <w:rPr>
          <w:rFonts w:ascii="Montserrat" w:hAnsi="Montserrat"/>
          <w:color w:val="333333"/>
          <w:sz w:val="22"/>
        </w:rPr>
        <w:t>El panel se ancla en el contexto post-Sentencia C-036 de 2023 de la Corte Constitucional, que declaró la necesidad de que los presupuestos de gasto sean incorporados por los concejos y asambleas, eliminando la autonomía histórica del ejecutivo territorial para realizar movimientos presupuestales. Esta decisión, originada en una demanda contra normas del nivel departamental pero extendida jurisprudencialmente a los municipios, ha reconfigurado el equilibrio de poderes locales. No se trata de una discusión técnica menor: es una crisis de arquitectura del Estado territorial.</w:t>
      </w:r>
    </w:p>
    <w:p>
      <w:pPr>
        <w:jc w:val="both"/>
      </w:pPr>
      <w:r>
        <w:rPr>
          <w:rFonts w:ascii="Montserrat" w:hAnsi="Montserrat"/>
          <w:color w:val="333333"/>
          <w:sz w:val="22"/>
        </w:rPr>
        <w:t>Pertinencia nacional: Sentencia C-036 de 2023. Afecta a 1.101 municipios y 32 departamentos, con variaciones territoriales determinadas por la interpretación que cada Tribunal Administrativo dé a la norma.</w:t>
      </w:r>
    </w:p>
    <w:p>
      <w:pPr>
        <w:jc w:val="both"/>
      </w:pPr>
      <w:r>
        <w:rPr>
          <w:rFonts w:ascii="Montserrat" w:hAnsi="Montserrat"/>
          <w:color w:val="333333"/>
          <w:sz w:val="22"/>
        </w:rPr>
        <w:t>Como advierte Juan Carlos Jaramillo, Secretario de Hacienda de Sabaneta, la sentencia ha producido “la pérdida de la autoridad fiscal que tiene la administración”, generando un escenario donde “los concejos son los que tienen que incorporar los presupuestos de gasto”. La conversación trasciende el ámbito jurídico para instalarse en una tensión político-administrativa entre el principio democrático-representativo y la eficiencia operativa del Estado.</w:t>
      </w:r>
    </w:p>
    <w:p>
      <w:pPr>
        <w:jc w:val="both"/>
      </w:pPr>
      <w:r>
        <w:rPr>
          <w:rFonts w:ascii="Montserrat" w:hAnsi="Montserrat"/>
          <w:color w:val="333333"/>
          <w:sz w:val="22"/>
        </w:rPr>
        <w:t>La variación territorial es alta y asimétrica: mientras el Tribunal Administrativo de Antioquia ha adoptado una interpretación restrictiva que prohíbe los movimientos presupuestales, el Tribunal de Córdoba ha mantenido una posición más flexible. Esta fragmentación jurisprudencial convierte a los tribunales en árbitros no electos de la política fiscal local, generando un mapa de incertidumbre que dificulta la planificación de mediano plazo inherente a los MFMP.</w:t>
      </w:r>
    </w:p>
    <w:p>
      <w:pPr>
        <w:pStyle w:val="Heading1"/>
      </w:pPr>
      <w:r>
        <w:t>2. EJE TEMÁTICO 1: LA SENTENCIA C-036 Y LA CRISIS DE AUTONOMÍA FISCAL TERRITORIAL</w:t>
      </w:r>
    </w:p>
    <w:p>
      <w:pPr>
        <w:pStyle w:val="Heading2"/>
      </w:pPr>
      <w:r>
        <w:rPr>
          <w:color w:val="0B43F7"/>
        </w:rPr>
        <w:t>2.1 PROBLEMA</w:t>
      </w:r>
    </w:p>
    <w:p>
      <w:pPr>
        <w:jc w:val="both"/>
      </w:pPr>
      <w:r>
        <w:rPr>
          <w:rFonts w:ascii="Montserrat" w:hAnsi="Montserrat"/>
          <w:color w:val="333333"/>
          <w:sz w:val="22"/>
        </w:rPr>
        <w:t>La Corte Constitucional, mediante la Sentencia C-036 de 2023, declaró inexequible la facultad del ejecutivo territorial para modificar el presupuesto sin autorización del concejo o asamblea. El problema no es meramente normativo; es una parálisis operativa. Jaramillo advierte que la administración ha quedado “embarcada” en una posición defensiva donde “empieza el desgaste administrativo”: cada modificación presupuestal, incluso para infraestructura básica, requiere convocar al concejo en sesiones extraordinarias. Lupita Bello, Secretaria de Hacienda de Montería, completa el diagnóstico señalando que “los consejos de alguna manera se vuelven coadministradores”.</w:t>
      </w:r>
    </w:p>
    <w:p>
      <w:pPr>
        <w:jc w:val="both"/>
      </w:pPr>
      <w:r>
        <w:rPr>
          <w:rFonts w:ascii="Montserrat" w:hAnsi="Montserrat"/>
          <w:color w:val="333333"/>
          <w:sz w:val="22"/>
        </w:rPr>
        <w:t>La ficha de panel registra este problema como 'pérdida de autonomía administrativa' y 'desgaste administrativo para afrontar la tramitología', con nivel de gravedad ALTO y variación territorial SÍ. El daño no es abstracto: se traduce en retrasos en la ejecución de inversiones, obsolescencia de proyectos aprobados y una pérdida de capacidad de respuesta del aparato estatal frente a necesidades ciudadanas dinámicas.</w:t>
      </w:r>
    </w:p>
    <w:p>
      <w:pPr>
        <w:pStyle w:val="Heading2"/>
      </w:pPr>
      <w:r>
        <w:rPr>
          <w:color w:val="0AB6F2"/>
        </w:rPr>
        <w:t>2.2 RETO</w:t>
      </w:r>
    </w:p>
    <w:p>
      <w:pPr>
        <w:jc w:val="both"/>
      </w:pPr>
      <w:r>
        <w:rPr>
          <w:rFonts w:ascii="Montserrat" w:hAnsi="Montserrat"/>
          <w:color w:val="333333"/>
          <w:sz w:val="22"/>
        </w:rPr>
        <w:t>El reto es triple y estructural:</w:t>
      </w:r>
    </w:p>
    <w:p>
      <w:pPr>
        <w:spacing w:after="120"/>
        <w:ind w:left="360" w:hanging="360"/>
      </w:pPr>
      <w:r>
        <w:rPr>
          <w:rFonts w:ascii="Montserrat" w:hAnsi="Montserrat"/>
          <w:color w:val="0B43F7"/>
          <w:sz w:val="20"/>
        </w:rPr>
        <w:t>●</w:t>
        <w:tab/>
      </w:r>
      <w:r>
        <w:rPr>
          <w:rFonts w:ascii="Montserrat" w:hAnsi="Montserrat"/>
          <w:color w:val="333333"/>
          <w:sz w:val="22"/>
        </w:rPr>
        <w:t>Normativo: La dispersión interpretativa de los tribunales administrativos genera un mapa de incertidumbre. Jaramillo señala que "en Antioquia, por lo menos del tribunal administrativo, las facultades ya están prohibidas para los movimientos presupuestales", mientras que Bello reporta que "nuestro tribunal de Córdoba ha tenido una posición un poco más flexible". Esta fragmentación jurisprudencial convierte a los tribunales en árbitros no electos de la política fiscal local, donde la misma conducta administrativa puede ser legal en Montería e ilegal en Sabaneta.</w:t>
      </w:r>
    </w:p>
    <w:p>
      <w:pPr>
        <w:spacing w:after="120"/>
        <w:ind w:left="360" w:hanging="360"/>
      </w:pPr>
      <w:r>
        <w:rPr>
          <w:rFonts w:ascii="Montserrat" w:hAnsi="Montserrat"/>
          <w:color w:val="0AB6F2"/>
          <w:sz w:val="20"/>
        </w:rPr>
        <w:t>●</w:t>
        <w:tab/>
      </w:r>
      <w:r>
        <w:rPr>
          <w:rFonts w:ascii="Montserrat" w:hAnsi="Montserrat"/>
          <w:color w:val="333333"/>
          <w:sz w:val="22"/>
        </w:rPr>
        <w:t>Político: La proximidad de los procesos electorales y las mayorías concejiles transforman el presupuesto en un campo de batalla partidista. Bello advierte con precisión demoledora: "Mañana nosotros no vamos a poder hacer nada; los ordenadores del gasto serán los consejos municipales y aquí entrarán temas políticos, temas de intereses, temas de mayorías. Y esa no es la función del ejecutivo ni la función del Consejo". Esta tensión revela una mutación del concejo de órgano de control político a órgano de gestión administrativa, desdibujando la separación de poderes y sometiendo la técnica fiscal a la lógica de coaliciones coyunturales.</w:t>
      </w:r>
    </w:p>
    <w:p>
      <w:pPr>
        <w:spacing w:after="120"/>
        <w:ind w:left="360" w:hanging="360"/>
      </w:pPr>
      <w:r>
        <w:rPr>
          <w:rFonts w:ascii="Montserrat" w:hAnsi="Montserrat"/>
          <w:color w:val="00CC30"/>
          <w:sz w:val="20"/>
        </w:rPr>
        <w:t>●</w:t>
        <w:tab/>
      </w:r>
      <w:r>
        <w:rPr>
          <w:rFonts w:ascii="Montserrat" w:hAnsi="Montserrat"/>
          <w:color w:val="333333"/>
          <w:sz w:val="22"/>
        </w:rPr>
        <w:t>Técnico: El nivel de desagregación presupuestal exigido por los concejos —que, según Bello, buscan "armonizarnos con el presupuesto de la nación"— implica una rigidez que impide la reasignación ágil de recursos. En Montería, la batalla por mantener partidas mayorizantes fue tan intensa que requirió "ayuda de Bogotá para Montería para ver en el consejo que el nivel de desagregación a las partidas mayorizantes fortalece nuestros estatutos orgánicos de presupuesto". Esta hiperespecificación anula la capacidad de respuesta del ejecutivo y genera un presupuesto de mera contabilidad, no de gestión.</w:t>
      </w:r>
    </w:p>
    <w:p>
      <w:pPr>
        <w:pStyle w:val="Heading2"/>
      </w:pPr>
      <w:r>
        <w:rPr>
          <w:color w:val="00CC30"/>
        </w:rPr>
        <w:t>2.3 SOLUCIÓN</w:t>
      </w:r>
    </w:p>
    <w:p>
      <w:pPr>
        <w:jc w:val="both"/>
      </w:pPr>
      <w:r>
        <w:rPr>
          <w:rFonts w:ascii="Montserrat" w:hAnsi="Montserrat"/>
          <w:color w:val="333333"/>
          <w:sz w:val="22"/>
        </w:rPr>
        <w:t>Desde Sabaneta, Jaramillo propone 'revisar la postura que realmente nos permita volver a esa autonomía', sugiriendo una articulación intermunicipal para incidir ante tribunales y legislativo. Bello defiende una solución intermedia: que los concejos otorguen “facultades temporales y precisas”, nunca abiertas ni permanentes. Esta propuesta se sustenta en una lectura técnica de la sentencia: “la sentencia se refiere a una norma demandada del nivel departamental y ese análisis lo hemos hecho en muchas ocasiones; hoy quieren aplicar a los municipios”.</w:t>
      </w:r>
    </w:p>
    <w:p>
      <w:pPr>
        <w:jc w:val="both"/>
      </w:pPr>
      <w:r>
        <w:rPr>
          <w:rFonts w:ascii="Montserrat" w:hAnsi="Montserrat"/>
          <w:color w:val="333333"/>
          <w:sz w:val="22"/>
        </w:rPr>
        <w:t>La propuesta más estructural emerge del Secretario de Hacienda de Copacabana, Gabriel Alzate, registrada en la ficha: 'presentar una reforma constitucional que permita autonomía presupuestaria'. Bello complementa: “tendría que ser una reforma constitucional porque la corte ya se ha pronunciado señalando que hay restricción”. Paralelamente, se propone fortalecer los estatutos orgánicos de presupuesto para blindar el nivel de desagregación en partidas mayorizantes, evitando el micromanejo concejil que convierte al presupuesto en un instrumento de obstrucción política.</w:t>
      </w:r>
    </w:p>
    <w:p>
      <w:pPr>
        <w:jc w:val="both"/>
      </w:pPr>
      <w:r>
        <w:rPr>
          <w:rFonts w:ascii="Montserrat" w:hAnsi="Montserrat"/>
          <w:color w:val="333333"/>
          <w:sz w:val="22"/>
        </w:rPr>
        <w:t>Una solución complementaria, inferida del debate, consiste en diferenciar jerárquicamente entre modificaciones presupuestales de bajo impacto fiscal (reasignaciones intra-rubro o intra-programa) y modificaciones de alto impacto (creación de nuevos programas, endeudamiento, contratación masiva). Solo las segundas requerirían autorización concejil, mientras las primeras podrían delegarse al ejecutivo mediante parámetros objetivos predefinidos en el acuerdo municipal de aprobación del presupuesto.</w:t>
      </w:r>
    </w:p>
    <w:p>
      <w:pPr>
        <w:pStyle w:val="Heading2"/>
      </w:pPr>
      <w:r>
        <w:rPr>
          <w:color w:val="6CD3A5"/>
        </w:rPr>
        <w:t>2.4 SINERGIA</w:t>
      </w:r>
    </w:p>
    <w:p>
      <w:pPr>
        <w:jc w:val="both"/>
      </w:pPr>
      <w:r>
        <w:rPr>
          <w:rFonts w:ascii="Montserrat" w:hAnsi="Montserrat"/>
          <w:color w:val="333333"/>
          <w:sz w:val="22"/>
        </w:rPr>
        <w:t>Se identifica una sinergia emergente entre secretarios de hacienda de diferentes territorios. Jaramillo menciona el “fuerte acompañamiento profesional” en Antioquia, mientras Bello reporta haber “hablado con mis compañeros secretarios de ciudades capitales. Esto nos toca a todos. Tenemos que movilizarnos todos, tenemos que establecer una línea, tenemos que defender esa posición”. La ficha registra la propuesta de crear una 'mesa de secretarios de hacienda' desde Sabaneta, que adquiere aquí su sentido político pleno: es un frente de presión gremial para incidir en la jurisprudencia y el legislativo, articulando la experiencia técnica de quienes operan el presupuesto día a día.</w:t>
      </w:r>
    </w:p>
    <w:p>
      <w:pPr>
        <w:jc w:val="both"/>
      </w:pPr>
      <w:r>
        <w:rPr>
          <w:rFonts w:ascii="Montserrat" w:hAnsi="Montserrat"/>
          <w:color w:val="333333"/>
          <w:sz w:val="22"/>
        </w:rPr>
        <w:t>Sin embargo, no se identifica participación activa del nivel nacional (MinHacienda, DNP, Ministerio del Interior) ni de los organismos de control en esta conversación, configurando un vacío de articulación vertical crítico. La sinergia es horizontal, municipalista, pero carece de contraparte en el centro del Estado. Esto limita su potencial de incidencia: una reforma constitucional o legal requiere de la agenda legislativa nacional, no solo de la presión territorial.</w:t>
      </w:r>
    </w:p>
    <w:p>
      <w:pPr>
        <w:pStyle w:val="Heading1"/>
      </w:pPr>
      <w:r>
        <w:t>3. EJE TEMÁTICO 2: PRESUPUESTO Y EMERGENCIAS — LA TENSIÓN ENTRE RIGIDEZ NORMATIVA Y AGILIDAD ADMINISTRATIVA</w:t>
      </w:r>
    </w:p>
    <w:p>
      <w:pPr>
        <w:pStyle w:val="Heading2"/>
      </w:pPr>
      <w:r>
        <w:rPr>
          <w:color w:val="0B43F7"/>
        </w:rPr>
        <w:t>3.1 PROBLEMA</w:t>
      </w:r>
    </w:p>
    <w:p>
      <w:pPr>
        <w:jc w:val="both"/>
      </w:pPr>
      <w:r>
        <w:rPr>
          <w:rFonts w:ascii="Montserrat" w:hAnsi="Montserrat"/>
          <w:color w:val="333333"/>
          <w:sz w:val="22"/>
        </w:rPr>
        <w:t>La rigidez presupuestaria post-C-036 se convierte en una amenaza existencial ante situaciones de emergencia. El caso de Montería en 2025-2026 ilustra la paradoja con crudeza: la ciudad tenía recursos propios disponibles —rendimientos financieros, recursos del balance, fondos de libre destinación por 13.600 millones de pesos— pero no podía ejecutarlos por la ausencia de facultades del alcalde para reasignar. Bello relata: “Este fenómeno que pasó en Montería fue un golpe a todo lo que nosotros tenemos planeado para 2026... nadie se prepara para esto así. Todos hablamos de fenómenos climáticos, de gestión del riesgo; no estamos listos para esto, no tenemos recursos para atender la magnitud de una emergencia”.</w:t>
      </w:r>
    </w:p>
    <w:p>
      <w:pPr>
        <w:jc w:val="both"/>
      </w:pPr>
      <w:r>
        <w:rPr>
          <w:rFonts w:ascii="Montserrat" w:hAnsi="Montserrat"/>
          <w:color w:val="333333"/>
          <w:sz w:val="22"/>
        </w:rPr>
        <w:t>El fondo de gestión del riesgo apenas alcanzaba 2.300 millones de pesos (el 1% de los recursos), mientras la afectación superaba los 70.000 damnificados, con 'instituciones educativas destruidas, corregimientos bajo el agua... el tema fue catastrófico'. La restricción normativa no solo paralizó la respuesta; profundizó la vulnerabilidad de la población al mantener recursos congelados en una estructura presupuestaria rígida mientras la realidad exigía movilidad inmediata.</w:t>
      </w:r>
    </w:p>
    <w:p>
      <w:pPr>
        <w:pStyle w:val="Heading2"/>
      </w:pPr>
      <w:r>
        <w:rPr>
          <w:color w:val="0AB6F2"/>
        </w:rPr>
        <w:t>3.2 RETO</w:t>
      </w:r>
    </w:p>
    <w:p>
      <w:pPr>
        <w:jc w:val="both"/>
      </w:pPr>
      <w:r>
        <w:rPr>
          <w:rFonts w:ascii="Montserrat" w:hAnsi="Montserrat"/>
          <w:color w:val="333333"/>
          <w:sz w:val="22"/>
        </w:rPr>
        <w:t>El reto es institucional, temporal, político y humanitario:</w:t>
      </w:r>
    </w:p>
    <w:p>
      <w:pPr>
        <w:spacing w:after="120"/>
        <w:ind w:left="360" w:hanging="360"/>
      </w:pPr>
      <w:r>
        <w:rPr>
          <w:rFonts w:ascii="Montserrat" w:hAnsi="Montserrat"/>
          <w:color w:val="0B43F7"/>
          <w:sz w:val="20"/>
        </w:rPr>
        <w:t>●</w:t>
        <w:tab/>
      </w:r>
      <w:r>
        <w:rPr>
          <w:rFonts w:ascii="Montserrat" w:hAnsi="Montserrat"/>
          <w:color w:val="333333"/>
          <w:sz w:val="22"/>
        </w:rPr>
        <w:t>Institucional: En plena emergencia, la administración requirió acudir al concejo para adicionar recursos, pero el concejo, "sustentados en la sentencia C-036 nos dijeron: el consejo no puede dar facultades al ejecutivo; vengan cada vez que lo necesiten". Bello describe una situación límite: "Nosotros tenemos casi nueve mil personas en albergues, no teníamos cómo sacar la gente de las inundaciones en zonas rurales, sobre un tema que superaba totalmente el gobierno".</w:t>
      </w:r>
    </w:p>
    <w:p>
      <w:pPr>
        <w:spacing w:after="120"/>
        <w:ind w:left="360" w:hanging="360"/>
      </w:pPr>
      <w:r>
        <w:rPr>
          <w:rFonts w:ascii="Montserrat" w:hAnsi="Montserrat"/>
          <w:color w:val="0AB6F2"/>
          <w:sz w:val="20"/>
        </w:rPr>
        <w:t>●</w:t>
        <w:tab/>
      </w:r>
      <w:r>
        <w:rPr>
          <w:rFonts w:ascii="Montserrat" w:hAnsi="Montserrat"/>
          <w:color w:val="333333"/>
          <w:sz w:val="22"/>
        </w:rPr>
        <w:t>Temporal: El gobierno nacional emitió un decreto de medidas extraordinarias que permitiría orientar rentas no constitucionales, pero este llegó "el último día de la emergencia" y, paradójicamente, remitió al concejo municipal la autorización final: "no las puede orientar usted; vaya al consejo que le autorice reorientarlas". Los tiempos de la tramitología legislativa (concejo, comisiones, debates, votaciones) son incompatibles con los tiempos de la emergencia humanitaria.</w:t>
      </w:r>
    </w:p>
    <w:p>
      <w:pPr>
        <w:spacing w:after="120"/>
        <w:ind w:left="360" w:hanging="360"/>
      </w:pPr>
      <w:r>
        <w:rPr>
          <w:rFonts w:ascii="Montserrat" w:hAnsi="Montserrat"/>
          <w:color w:val="00CC30"/>
          <w:sz w:val="20"/>
        </w:rPr>
        <w:t>●</w:t>
        <w:tab/>
      </w:r>
      <w:r>
        <w:rPr>
          <w:rFonts w:ascii="Montserrat" w:hAnsi="Montserrat"/>
          <w:color w:val="333333"/>
          <w:sz w:val="22"/>
        </w:rPr>
        <w:t>Político: Según Bello, "entraba el tema político, que iban a esperar que pasaran las elecciones... en plena emergencia sale el lunes siguiente a las elecciones". La emergencia se convirtió en rehén de la coyuntura electoral, donde la distribución de recursos de auxilio pasó a depender de cálculos de mayoría concejil, no de criterios técnicos de priorización de riesgo.</w:t>
      </w:r>
    </w:p>
    <w:p>
      <w:pPr>
        <w:spacing w:after="120"/>
        <w:ind w:left="360" w:hanging="360"/>
      </w:pPr>
      <w:r>
        <w:rPr>
          <w:rFonts w:ascii="Montserrat" w:hAnsi="Montserrat"/>
          <w:color w:val="6CD3A5"/>
          <w:sz w:val="20"/>
        </w:rPr>
        <w:t>●</w:t>
        <w:tab/>
      </w:r>
      <w:r>
        <w:rPr>
          <w:rFonts w:ascii="Montserrat" w:hAnsi="Montserrat"/>
          <w:color w:val="333333"/>
          <w:sz w:val="22"/>
        </w:rPr>
        <w:t>Humanitario: El costo de la parálisis no es fiscal sino vital. Bello enfatiza: "era gente que necesitaba nuestra ayuda". La imposibilidad de reasignar 13.600 millones de pesos de libre destinación mientras 9.000 personas permanecían en albergues revela una disfunción estructural del Estado que prioriza la formalidad normativa sobre la protección de la vida.</w:t>
      </w:r>
    </w:p>
    <w:p>
      <w:pPr>
        <w:pStyle w:val="Heading2"/>
      </w:pPr>
      <w:r>
        <w:rPr>
          <w:color w:val="00CC30"/>
        </w:rPr>
        <w:t>3.3 SOLUCIÓN</w:t>
      </w:r>
    </w:p>
    <w:p>
      <w:pPr>
        <w:jc w:val="both"/>
      </w:pPr>
      <w:r>
        <w:rPr>
          <w:rFonts w:ascii="Montserrat" w:hAnsi="Montserrat"/>
          <w:color w:val="333333"/>
          <w:sz w:val="22"/>
        </w:rPr>
        <w:t>Bello propone una modificación normativa para que, “en los estatutos orgánicos [o en la Constitución], los estados de excepción puedan hacer adiciones y modificaciones [al presupuesto]... temporales, mientras dure el estado de excepción, específica para los recursos o acciones que requieren la atención inmediata”. Esta propuesta introduce una lógica de 'facultades de emergencia' que no existe en el ordenamiento actual para el nivel territorial, pero que es coherente con el modelo constitucional de excepción (artículos 212-215 de la Constitución), donde el Presidente de la República adquiere facultades extraordinarias. La asimetría es evidente: el nivel nacional puede reasignar recursos en emergencia, pero el nivel territorial, que es el primero en responder, está atado de manos.</w:t>
      </w:r>
    </w:p>
    <w:p>
      <w:pPr>
        <w:jc w:val="both"/>
      </w:pPr>
      <w:r>
        <w:rPr>
          <w:rFonts w:ascii="Montserrat" w:hAnsi="Montserrat"/>
          <w:color w:val="333333"/>
          <w:sz w:val="22"/>
        </w:rPr>
        <w:t>A nivel local, Montería ejecutó una solución de supervivencia: 'apartamos los otros proyectos priorizados, todos los recursos van a atender la emergencia', utilizando recursos del balance de libre destinación. Sin embargo, esto implicó un costo de oportunidad severo para el desarrollo planificado y una dependencia de la buena voluntad concejil en contexto de urgencia vital. La experiencia demuestra que, ante la ausencia de normas claras, la respuesta territorial es improvisada, desigual y sujeta a la arbitrariedad política local.</w:t>
      </w:r>
    </w:p>
    <w:p>
      <w:pPr>
        <w:jc w:val="both"/>
      </w:pPr>
      <w:r>
        <w:rPr>
          <w:rFonts w:ascii="Montserrat" w:hAnsi="Montserrat"/>
          <w:color w:val="333333"/>
          <w:sz w:val="22"/>
        </w:rPr>
        <w:t>Una solución sistémica requeriría: (a) una cláusula constitucional o legal que habilite al ejecutivo territorial, durante estados de emergencia declarados, a reasignar hasta un porcentaje definido del presupuesto de inversión sin autorización concejil; (b) un fondo de reserva de emergencia con reglas de activación automática, financiado con un porcentaje de los recursos de libre destinación; y (c) un protocolo de coordinación vertical (nacional-territorial) que acorte los tiempos de respuesta, evitando que un decreto nacional de medidas extraordinarias llegue 'el último día de la emergencia'.</w:t>
      </w:r>
    </w:p>
    <w:p>
      <w:pPr>
        <w:pStyle w:val="Heading2"/>
      </w:pPr>
      <w:r>
        <w:rPr>
          <w:color w:val="6CD3A5"/>
        </w:rPr>
        <w:t>3.4 SINERGIA</w:t>
      </w:r>
    </w:p>
    <w:p>
      <w:pPr>
        <w:jc w:val="both"/>
      </w:pPr>
      <w:r>
        <w:rPr>
          <w:rFonts w:ascii="Montserrat" w:hAnsi="Montserrat"/>
          <w:color w:val="333333"/>
          <w:sz w:val="22"/>
        </w:rPr>
        <w:t>La sinergia vertical (nacional-territorial) es crítica pero fallida en este caso. El gobierno nacional actuó con lentitud y delegó la decisión final al concejo, reproduciendo el cuello de botella. No se identifica una articulación con el DNP, el Ministerio de Hacienda o la UNGRD en la narrativa de los panelistas, lo que sugiere un vacío de coordinación intergubernamental en emergencias. La sinergia horizontal entre municipios afectados (Montería, Sabaneta, Copacabana) es la que muestra potencial, aunque aún informal. Se requiere una red de alerta temprana y respuesta coordinada entre secretarios de hacienda de municipios en zonas de riesgo climático similar, que compartan protocolos de reasignación presupuestal y presión conjunta ante el nivel nacional.</w:t>
      </w:r>
    </w:p>
    <w:p>
      <w:pPr>
        <w:pStyle w:val="Heading1"/>
      </w:pPr>
      <w:r>
        <w:t>4. EJE TEMÁTICO 3: CRÉDITO PÚBLICO TERRITORIAL — RESTRICCIONES Y HORIZONTE DE FLEXIBILIZACIÓN</w:t>
      </w:r>
    </w:p>
    <w:p>
      <w:pPr>
        <w:pStyle w:val="Heading2"/>
      </w:pPr>
      <w:r>
        <w:rPr>
          <w:color w:val="0B43F7"/>
        </w:rPr>
        <w:t>4.1 PROBLEMA</w:t>
      </w:r>
    </w:p>
    <w:p>
      <w:pPr>
        <w:jc w:val="both"/>
      </w:pPr>
      <w:r>
        <w:rPr>
          <w:rFonts w:ascii="Montserrat" w:hAnsi="Montserrat"/>
          <w:color w:val="333333"/>
          <w:sz w:val="22"/>
        </w:rPr>
        <w:t>El crédito público territorial opera bajo una regulación que los panelistas consideran anacrónica. Luis Fernando Arboleda, experto en financiación de desarrollo territorial, señala que “la regulación que hay para los préstamos en el territorio... sostiene todo” un sistema de trabas. La transcripción, aunque fragmentaria, revela una crítica a la vinculación del endeudamiento con 'presupuesto de ingresos corrientes' y 'gasto de funcionamiento nacional', categorías que Arboleda sugiere revisar o 'eliminar' por ser producto de 'consultorías complementarias del siglo pasado'. La restricción histórica —producto de la crisis fiscal de los años noventa y la Ley 715 de 2001— sofoca la capacidad de inversión de los territorios.</w:t>
      </w:r>
    </w:p>
    <w:p>
      <w:pPr>
        <w:jc w:val="both"/>
      </w:pPr>
      <w:r>
        <w:rPr>
          <w:rFonts w:ascii="Montserrat" w:hAnsi="Montserrat"/>
          <w:color w:val="333333"/>
          <w:sz w:val="22"/>
        </w:rPr>
        <w:t>El problema se amplía porque la restricción crediticia no es homogénea: municipios con alta pobreza y baja capacidad recaudatoria enfrentan un doble cerco: no pueden endeudarse por sus bajos ingresos corrientes, y no pueden invertir sin endeudamiento por sus bajos recursos propios. Esto configura una trampa de pobreza fiscal territorial donde la normativa, diseñada para evitar el sobreendeudamiento, termina por perpetuar el subdesarrollo.</w:t>
      </w:r>
    </w:p>
    <w:p>
      <w:pPr>
        <w:pStyle w:val="Heading2"/>
      </w:pPr>
      <w:r>
        <w:rPr>
          <w:color w:val="0AB6F2"/>
        </w:rPr>
        <w:t>4.2 RETO</w:t>
      </w:r>
    </w:p>
    <w:p>
      <w:pPr>
        <w:jc w:val="both"/>
      </w:pPr>
      <w:r>
        <w:rPr>
          <w:rFonts w:ascii="Montserrat" w:hAnsi="Montserrat"/>
          <w:color w:val="333333"/>
          <w:sz w:val="22"/>
        </w:rPr>
        <w:t>El reto es transformar la deuda de mecanismo de supervivencia fiscal en herramienta de desarrollo territorial. Arboleda vincula el acceso al crédito con indicadores de 'pobreza extrema y pobreza financiera', sugiriendo que los municipios con mayor rezago requieren mayor capacidad de endeudamiento para inversión. Sin embargo, el marco normativo actual establece controles rígidos que impiden esta lógica. Bello evidencia la judicialización del endeudamiento: 'tenemos demandado el acuerdo que nos daba... hemos autorizado un cupón de endeudamiento', revelando que hasta la autorización para endeudarse está sujeta a litigio, lo que añade incertidumbre jurídica al riesgo financiero.</w:t>
      </w:r>
    </w:p>
    <w:p>
      <w:pPr>
        <w:jc w:val="both"/>
      </w:pPr>
      <w:r>
        <w:rPr>
          <w:rFonts w:ascii="Montserrat" w:hAnsi="Montserrat"/>
          <w:color w:val="333333"/>
          <w:sz w:val="22"/>
        </w:rPr>
        <w:t>El reto subyacente es diseñar un marco de endeudamiento territorial que: (1) desvincule el límite crediticio del mero presupuesto de ingresos corrientes y lo articule con indicadores de necesidad de inversión y capacidad de generación de valor; (2) diferencie entre deuda para consumo (refinanciación, pago de pasivos) y deuda para inversión (infraestructura, tecnología, gestión del riesgo); y (3) establezca mecanismos de cofinanciación con el nivel nacional que compensen la debilidad recaudatoria de los territorios más pobres.</w:t>
      </w:r>
    </w:p>
    <w:p>
      <w:pPr>
        <w:pStyle w:val="Heading2"/>
      </w:pPr>
      <w:r>
        <w:rPr>
          <w:color w:val="00CC30"/>
        </w:rPr>
        <w:t>4.3 SOLUCIÓN</w:t>
      </w:r>
    </w:p>
    <w:p>
      <w:pPr>
        <w:jc w:val="both"/>
      </w:pPr>
      <w:r>
        <w:rPr>
          <w:rFonts w:ascii="Montserrat" w:hAnsi="Montserrat"/>
          <w:color w:val="333333"/>
          <w:sz w:val="22"/>
        </w:rPr>
        <w:t>Arboleda insinúa una reforma integral de la regulación crediticia territorial que permita vincular el endeudamiento no solo a ingresos corrientes sino a indicadores de desarrollo y resultados de inversión. La ficha registra como solución 'flexibilizar el acceso a deuda pública' con replicabilidad SÍ. El moderador enmarca la discusión en la necesidad de 'modernizar las finanzas públicas territoriales desde el presupuesto público y desde el crédito público'.</w:t>
      </w:r>
    </w:p>
    <w:p>
      <w:pPr>
        <w:jc w:val="both"/>
      </w:pPr>
      <w:r>
        <w:rPr>
          <w:rFonts w:ascii="Montserrat" w:hAnsi="Montserrat"/>
          <w:color w:val="333333"/>
          <w:sz w:val="22"/>
        </w:rPr>
        <w:t>Se insinúa, aunque no se desarrolla explícitamente, la necesidad de instrumentos de financiamiento asociados a proyectos específicos (APP o proyectos de impacto) que desbloqueen el potencial crediticio sin comprometer la sostenibilidad fiscal. Una vía inferida del debate es la creación de 'bonos de desarrollo territorial', donde el endeudamiento esté atado a proyectos con flujos de caja identificables (valorización, peajes urbanos, mejoras catastrales), reduciendo la dependencia de la capacidad de pago basada exclusivamente en impuestos.</w:t>
      </w:r>
    </w:p>
    <w:p>
      <w:pPr>
        <w:jc w:val="both"/>
      </w:pPr>
      <w:r>
        <w:rPr>
          <w:rFonts w:ascii="Montserrat" w:hAnsi="Montserrat"/>
          <w:color w:val="333333"/>
          <w:sz w:val="22"/>
        </w:rPr>
        <w:t>Asimismo, se propone implícitamente una revisión de la clasificación de los municipios según categorías del SISFUT. Arboleda menciona 'categorías casi cuatro, cinco y seis', sugiriendo que la actual segmentación no refleja la real capacidad de endeudamiento ni las necesidades de inversión. Una reclasificación dinámica, basada en indicadores de pobreza multidimensional, riesgo climático y brechas de infraestructura, podría abrir espacios de endeudamiento para municipios hoy excluidos del crédito bancario.</w:t>
      </w:r>
    </w:p>
    <w:p>
      <w:pPr>
        <w:pStyle w:val="Heading2"/>
      </w:pPr>
      <w:r>
        <w:rPr>
          <w:color w:val="6CD3A5"/>
        </w:rPr>
        <w:t>4.4 SINERGIA</w:t>
      </w:r>
    </w:p>
    <w:p>
      <w:pPr>
        <w:jc w:val="both"/>
      </w:pPr>
      <w:r>
        <w:rPr>
          <w:rFonts w:ascii="Montserrat" w:hAnsi="Montserrat"/>
          <w:color w:val="333333"/>
          <w:sz w:val="22"/>
        </w:rPr>
        <w:t>La sinergia con el sector privado y la cooperación internacional es mencionada tangencialmente por Arboleda, dada su experiencia en alianzas público-privadas. Sin embargo, no se profundiza en mecanismos concretos. La ficha registra ausencia de propuestas de articulación con el sector académico o la cooperación internacional en este panel, configurando un vacío estratégico para el diseño de nuevos instrumentos financieros.</w:t>
      </w:r>
    </w:p>
    <w:p>
      <w:pPr>
        <w:jc w:val="both"/>
      </w:pPr>
      <w:r>
        <w:rPr>
          <w:rFonts w:ascii="Montserrat" w:hAnsi="Montserrat"/>
          <w:color w:val="333333"/>
          <w:sz w:val="22"/>
        </w:rPr>
        <w:t>Se identifica una oportunidad de sinergia no explorada: la articulación entre los secretarios de hacienda y las entidades financieras de segundo piso (Findeter, FDN, Bancoldex) para diseñar líneas de crédito condicionadas a reformas en gestión tributaria y catastral. Este esquema —endeudamiento condicionado a mejora institucional— ha sido probado en contextos internacionales (Banco Mundial, CAF) y podría vincularse con los paneles sobre gestión catastral e impuesto predial del mismo Congreso, generando una hoja de ruta integral de modernización fiscal.</w:t>
      </w:r>
    </w:p>
    <w:p>
      <w:pPr>
        <w:pStyle w:val="Heading1"/>
      </w:pPr>
      <w:r>
        <w:t>5. LECTURA ESTRATÉGICA: CONTENIDO IMPLÍCITO</w:t>
      </w:r>
    </w:p>
    <w:p>
      <w:pPr>
        <w:jc w:val="both"/>
      </w:pPr>
      <w:r>
        <w:rPr>
          <w:rFonts w:ascii="Montserrat" w:hAnsi="Montserrat"/>
          <w:color w:val="333333"/>
          <w:sz w:val="22"/>
        </w:rPr>
        <w:t>Esta sección captura lo que la conversación política dice sin decir: los consensos tácitos, las tensiones no verbalizadas, los silencios estratégicos, los énfasis discursivos y los posicionamientos institucales que revelan jerarquías de poder. Siguiendo el marco metodológico de Nonaka y Takeuchi, se distingue entre conocimiento explícito (lo dicho) y conocimiento tácito (lo operativo, lo político, lo no dicho).</w:t>
      </w:r>
    </w:p>
    <w:p>
      <w:pPr>
        <w:pStyle w:val="Heading2"/>
      </w:pPr>
      <w:r>
        <w:t>5.1 Consensos tácitos</w:t>
      </w:r>
    </w:p>
    <w:p>
      <w:pPr>
        <w:spacing w:after="120"/>
        <w:ind w:left="360" w:hanging="360"/>
      </w:pPr>
      <w:r>
        <w:rPr>
          <w:rFonts w:ascii="Montserrat" w:hAnsi="Montserrat"/>
          <w:color w:val="0B43F7"/>
          <w:sz w:val="20"/>
        </w:rPr>
        <w:t>●</w:t>
        <w:tab/>
      </w:r>
      <w:r>
        <w:rPr>
          <w:rFonts w:ascii="Montserrat" w:hAnsi="Montserrat"/>
          <w:color w:val="333333"/>
          <w:sz w:val="22"/>
        </w:rPr>
        <w:t>La sentencia C-036 es matizable, no un punto final: a pesar de las diferencias territoriales en su aplicación, todos los panelistas asumen que la sentencia es un obstáculo sorteable mediante reforma legal o constitucional. No hay resignación, sino una convicción compartida de que la autonomía presupuestaria es recuperable. Este consenso opera como premisa no cuestionada del debate.</w:t>
      </w:r>
    </w:p>
    <w:p>
      <w:pPr>
        <w:spacing w:after="120"/>
        <w:ind w:left="360" w:hanging="360"/>
      </w:pPr>
      <w:r>
        <w:rPr>
          <w:rFonts w:ascii="Montserrat" w:hAnsi="Montserrat"/>
          <w:color w:val="0AB6F2"/>
          <w:sz w:val="20"/>
        </w:rPr>
        <w:t>●</w:t>
        <w:tab/>
      </w:r>
      <w:r>
        <w:rPr>
          <w:rFonts w:ascii="Montserrat" w:hAnsi="Montserrat"/>
          <w:color w:val="333333"/>
          <w:sz w:val="22"/>
        </w:rPr>
        <w:t>El concejo no es el enemigo, pero sí un actor que requiere contención: tanto Jaramillo como Bello distinguen entre el rol legítimo de control político y la invasión de la gestión administrativa. El consenso tácito es que se necesita "delegación temporal y precisa", no abolición del concejo. Esto revela una sofisticación política: los secretarios de hacienda no proponen un Estado autoritario, sino uno eficiente con contrapesos inteligentes.</w:t>
      </w:r>
    </w:p>
    <w:p>
      <w:pPr>
        <w:spacing w:after="120"/>
        <w:ind w:left="360" w:hanging="360"/>
      </w:pPr>
      <w:r>
        <w:rPr>
          <w:rFonts w:ascii="Montserrat" w:hAnsi="Montserrat"/>
          <w:color w:val="00CC30"/>
          <w:sz w:val="20"/>
        </w:rPr>
        <w:t>●</w:t>
        <w:tab/>
      </w:r>
      <w:r>
        <w:rPr>
          <w:rFonts w:ascii="Montserrat" w:hAnsi="Montserrat"/>
          <w:color w:val="333333"/>
          <w:sz w:val="22"/>
        </w:rPr>
        <w:t>La emergencia climática es el stress test del sistema: Montería funciona como caso paradigmático que demuestra que el marco fiscal y presupuestal actual no está diseñado para la nueva realidad del cambio climático. El consenso tácito es que la frecuencia e intensidad de los fenómenos climáticos exigirán, inevitablemente, una flexibilización normativa. La pregunta no es si, sino cuándo y cómo.</w:t>
      </w:r>
    </w:p>
    <w:p>
      <w:pPr>
        <w:pStyle w:val="Heading2"/>
      </w:pPr>
      <w:r>
        <w:t>5.2 Tensiones / desacuerdos</w:t>
      </w:r>
    </w:p>
    <w:p>
      <w:pPr>
        <w:spacing w:after="120"/>
        <w:ind w:left="360" w:hanging="360"/>
      </w:pPr>
      <w:r>
        <w:rPr>
          <w:rFonts w:ascii="Montserrat" w:hAnsi="Montserrat"/>
          <w:color w:val="0B43F7"/>
          <w:sz w:val="20"/>
        </w:rPr>
        <w:t>●</w:t>
        <w:tab/>
      </w:r>
      <w:r>
        <w:rPr>
          <w:rFonts w:ascii="Montserrat" w:hAnsi="Montserrat"/>
          <w:color w:val="333333"/>
          <w:sz w:val="22"/>
        </w:rPr>
        <w:t>Estrategia de confrontación vs. negociación: Jaramillo se inclina por una postura de "revertir" la sentencia y recuperar la "autoridad fiscal", con tono confrontativo hacia la jurisprudencia. Bello adopta una estrategia de negociación pragmática, buscando "facultades temporales" dentro del marco existente. Esta tensión refleja diferentes diagnósticos sobre la profundidad del problema y diferentes cálculos políticos: Sabaneta, municipio del área metropolitana con mayor estabilidad fiscal, puede permitirse una postura más dura; Montería, capital departamental con historia de tensiones concejiles, necesita soluciones operativas inmediatas.</w:t>
      </w:r>
    </w:p>
    <w:p>
      <w:pPr>
        <w:spacing w:after="120"/>
        <w:ind w:left="360" w:hanging="360"/>
      </w:pPr>
      <w:r>
        <w:rPr>
          <w:rFonts w:ascii="Montserrat" w:hAnsi="Montserrat"/>
          <w:color w:val="0AB6F2"/>
          <w:sz w:val="20"/>
        </w:rPr>
        <w:t>●</w:t>
        <w:tab/>
      </w:r>
      <w:r>
        <w:rPr>
          <w:rFonts w:ascii="Montserrat" w:hAnsi="Montserrat"/>
          <w:color w:val="333333"/>
          <w:sz w:val="22"/>
        </w:rPr>
        <w:t>Reforma constitucional vs. reforma legal: Alzate y Bello apuntan a la reforma constitucional como vía necesaria, mientras que Jaramillo parece apostar inicialmente a una reversión jurisprudencial. Esta tensión refleja diferentes diagnósticos sobre la profundidad del problema: si la Corte ya "se ha pronunciado señalando que hay restricción", como dice Bello, la vía legal es insuficiente y solo una reforma constitucional puede modificar el parámetro de control. Jaramillo, en cambio, parece confiar en la presión política y gremial para generar una nueva interpretación judicial.</w:t>
      </w:r>
    </w:p>
    <w:p>
      <w:pPr>
        <w:spacing w:after="120"/>
        <w:ind w:left="360" w:hanging="360"/>
      </w:pPr>
      <w:r>
        <w:rPr>
          <w:rFonts w:ascii="Montserrat" w:hAnsi="Montserrat"/>
          <w:color w:val="00CC30"/>
          <w:sz w:val="20"/>
        </w:rPr>
        <w:t>●</w:t>
        <w:tab/>
      </w:r>
      <w:r>
        <w:rPr>
          <w:rFonts w:ascii="Montserrat" w:hAnsi="Montserrat"/>
          <w:color w:val="333333"/>
          <w:sz w:val="22"/>
        </w:rPr>
        <w:t>Nivel de desagregación presupuestal: Bello narra una batalla ganada en Montería para mantener partidas mayorizantes frente a la presión concejil de armonizar con el presupuesto nacional. Jaramillo, en cambio, indica que en Sabaneta presentan el presupuesto "con el mayor detalle porque realmente así está parametrizado". Hay una tensión no resuelta entre transparencia detallista (que satisface al concejo y a los organismos de control) y flexibilidad operativa (que requiere el ejecutivo para gestionar). El método metodológico de la ficha —Problema → Reto → Solución— no resuelve esta tensión, pero la hace visible como campo de batalla técnico-político.</w:t>
      </w:r>
    </w:p>
    <w:p>
      <w:pPr>
        <w:pStyle w:val="Heading2"/>
      </w:pPr>
      <w:r>
        <w:t>5.3 Silencios estratégicos</w:t>
      </w:r>
    </w:p>
    <w:p>
      <w:pPr>
        <w:spacing w:after="120"/>
        <w:ind w:left="360" w:hanging="360"/>
      </w:pPr>
      <w:r>
        <w:rPr>
          <w:rFonts w:ascii="Montserrat" w:hAnsi="Montserrat"/>
          <w:color w:val="0B43F7"/>
          <w:sz w:val="20"/>
        </w:rPr>
        <w:t>●</w:t>
        <w:tab/>
      </w:r>
      <w:r>
        <w:rPr>
          <w:rFonts w:ascii="Montserrat" w:hAnsi="Montserrat"/>
          <w:color w:val="333333"/>
          <w:sz w:val="22"/>
        </w:rPr>
        <w:t>El rol del Ministerio de Hacienda: ningún panelista menciona una articulación activa con el nivel nacional para resolver la crisis post-C-036. El silencio sugiere una desconexión estructural entre territorios y centro, o una resignación ante la indiferencia nacional. Este silencio es estratégicamente peligroso: una reforma constitucional o legal requiere de la agenda del Ministerio y del Congreso, y la ausencia de diálogo vertical convierte la presión territorial en un grito en el desierto.</w:t>
      </w:r>
    </w:p>
    <w:p>
      <w:pPr>
        <w:spacing w:after="120"/>
        <w:ind w:left="360" w:hanging="360"/>
      </w:pPr>
      <w:r>
        <w:rPr>
          <w:rFonts w:ascii="Montserrat" w:hAnsi="Montserrat"/>
          <w:color w:val="0AB6F2"/>
          <w:sz w:val="20"/>
        </w:rPr>
        <w:t>●</w:t>
        <w:tab/>
      </w:r>
      <w:r>
        <w:rPr>
          <w:rFonts w:ascii="Montserrat" w:hAnsi="Montserrat"/>
          <w:color w:val="333333"/>
          <w:sz w:val="22"/>
        </w:rPr>
        <w:t>La voz del legislativo territorial: a pesar de que el problema es la relación ejecutivo-concejo, no hay concejales en el panel ni se presenta su perspectiva. El silencio reproduce la asimetría: es un diálogo de ejecutivos sobre los legisladores, sin los legisladores. Esto limita la comprensión del problema y sesga las soluciones hacia la recuperación de autonomía ejecutiva, sin explorar si existen formas de fortalecer el concejo como órgano de control sin que se convierta en coadministrador.</w:t>
      </w:r>
    </w:p>
    <w:p>
      <w:pPr>
        <w:spacing w:after="120"/>
        <w:ind w:left="360" w:hanging="360"/>
      </w:pPr>
      <w:r>
        <w:rPr>
          <w:rFonts w:ascii="Montserrat" w:hAnsi="Montserrat"/>
          <w:color w:val="00CC30"/>
          <w:sz w:val="20"/>
        </w:rPr>
        <w:t>●</w:t>
        <w:tab/>
      </w:r>
      <w:r>
        <w:rPr>
          <w:rFonts w:ascii="Montserrat" w:hAnsi="Montserrat"/>
          <w:color w:val="333333"/>
          <w:sz w:val="22"/>
        </w:rPr>
        <w:t>La sostenibilidad fiscal del endeudamiento: mientras se pide flexibilizar el crédito, no se aborda el riesgo moral de un endeudamiento descontrolado en municipios con baja capacidad recaudatoria. Arboleda, aunque experto en financiación, no menciona mecanismos de control de la calidad de la deuda. Este silencio puede interpretarse como una estrategia deliberada para no alarmar a los organismos de control, o como una ceguera profesional compartida donde la necesidad de inversión eclipsa el riesgo de sobreendeudamiento.</w:t>
      </w:r>
    </w:p>
    <w:p>
      <w:pPr>
        <w:spacing w:after="120"/>
        <w:ind w:left="360" w:hanging="360"/>
      </w:pPr>
      <w:r>
        <w:rPr>
          <w:rFonts w:ascii="Montserrat" w:hAnsi="Montserrat"/>
          <w:color w:val="6CD3A5"/>
          <w:sz w:val="20"/>
        </w:rPr>
        <w:t>●</w:t>
        <w:tab/>
      </w:r>
      <w:r>
        <w:rPr>
          <w:rFonts w:ascii="Montserrat" w:hAnsi="Montserrat"/>
          <w:color w:val="333333"/>
          <w:sz w:val="22"/>
        </w:rPr>
        <w:t>La dimensión de género y equidad: aunque Bello es la única mujer en el panel y su experiencia en Montería es la más detallada, no se articula una perspectiva de género en el análisis del impacto de la rigidez presupuestal. Las 9.000 personas en albergues incluyen mayoritariamente mujeres jefas de hogar, niños y adultos mayores, pero esta desagregación no aparece. El silencio reproduce la invisibilización de las desigualdades de género en la política fiscal.</w:t>
      </w:r>
    </w:p>
    <w:p>
      <w:pPr>
        <w:pStyle w:val="Heading2"/>
      </w:pPr>
      <w:r>
        <w:t>5.4 Énfasis discursivo</w:t>
      </w:r>
    </w:p>
    <w:p>
      <w:pPr>
        <w:spacing w:after="120"/>
        <w:ind w:left="360" w:hanging="360"/>
      </w:pPr>
      <w:r>
        <w:rPr>
          <w:rFonts w:ascii="Montserrat" w:hAnsi="Montserrat"/>
          <w:color w:val="0B43F7"/>
          <w:sz w:val="20"/>
        </w:rPr>
        <w:t>●</w:t>
        <w:tab/>
      </w:r>
      <w:r>
        <w:rPr>
          <w:rFonts w:ascii="Montserrat" w:hAnsi="Montserrat"/>
          <w:color w:val="333333"/>
          <w:sz w:val="22"/>
        </w:rPr>
        <w:t>El "desgaste administrativo": Jaramillo insiste en esta categoría, desplazando el debate desde lo jurídico hacia lo operativo. El énfasis busca sensibilizar sobre el costo de oportunidad de la tramitología: cada hora que un secretario de hacienda pide gestionando un trámite concejil es una hora que no invierte en recaudo, en modernización o en atención al ciudadano. El énfasis es retóricamente efectivo porque traduce una abstracción normativa en una experiencia cotidiana de frustración.</w:t>
      </w:r>
    </w:p>
    <w:p>
      <w:pPr>
        <w:spacing w:after="120"/>
        <w:ind w:left="360" w:hanging="360"/>
      </w:pPr>
      <w:r>
        <w:rPr>
          <w:rFonts w:ascii="Montserrat" w:hAnsi="Montserrat"/>
          <w:color w:val="0AB6F2"/>
          <w:sz w:val="20"/>
        </w:rPr>
        <w:t>●</w:t>
        <w:tab/>
      </w:r>
      <w:r>
        <w:rPr>
          <w:rFonts w:ascii="Montserrat" w:hAnsi="Montserrat"/>
          <w:color w:val="333333"/>
          <w:sz w:val="22"/>
        </w:rPr>
        <w:t>La "emergencia" como argumento de autoridad: Bello utiliza la experiencia reciente de Montería como recurso retórico irrefutable. El énfasis en las "nueve mil personas en albergues" funciona como justificación moral para flexibilizar normas. Este énfasis es políticamente astuto porque desplaza el debate desde la legalidad formal hacia la legitimidad humanitaria, colocando a los defensores de la rigidez normativa en una posición moralmente incómoda.</w:t>
      </w:r>
    </w:p>
    <w:p>
      <w:pPr>
        <w:spacing w:after="120"/>
        <w:ind w:left="360" w:hanging="360"/>
      </w:pPr>
      <w:r>
        <w:rPr>
          <w:rFonts w:ascii="Montserrat" w:hAnsi="Montserrat"/>
          <w:color w:val="00CC30"/>
          <w:sz w:val="20"/>
        </w:rPr>
        <w:t>●</w:t>
        <w:tab/>
      </w:r>
      <w:r>
        <w:rPr>
          <w:rFonts w:ascii="Montserrat" w:hAnsi="Montserrat"/>
          <w:color w:val="333333"/>
          <w:sz w:val="22"/>
        </w:rPr>
        <w:t>La "autonomía" como valor supremo: tanto Jaramillo ("volver a esa autonomía") como el moderador repiten esta palabra, revelando un imaginario institucional donde la independencia ejecutiva es sinónimo de eficiencia. El énfasis oculta una pregunta incómoda: ¿autonomía para qué? La respuesta implícita es "autonomía para gestionar", pero no se discute si esa autonomía histórica no fue también la que permitió desfalcos, clientelismo y mala inversión en décadas pasadas. El énfasis en la autonomía es, en últimas, una apuesta por la confianza en la técnica frente a la desconfianza en la política.</w:t>
      </w:r>
    </w:p>
    <w:p>
      <w:pPr>
        <w:pStyle w:val="Heading2"/>
      </w:pPr>
      <w:r>
        <w:t>5.5 Posicionamiento institucional</w:t>
      </w:r>
    </w:p>
    <w:p>
      <w:pPr>
        <w:spacing w:after="120"/>
        <w:ind w:left="360" w:hanging="360"/>
      </w:pPr>
      <w:r>
        <w:rPr>
          <w:rFonts w:ascii="Montserrat" w:hAnsi="Montserrat"/>
          <w:color w:val="0B43F7"/>
          <w:sz w:val="20"/>
        </w:rPr>
        <w:t>●</w:t>
        <w:tab/>
      </w:r>
      <w:r>
        <w:rPr>
          <w:rFonts w:ascii="Montserrat" w:hAnsi="Montserrat"/>
          <w:color w:val="333333"/>
          <w:sz w:val="22"/>
        </w:rPr>
        <w:t>Secretarios de Hacienda municipales: se posicionan como comunidad profesional con identidad propia ("mis compañeros secretarios de ciudades capitales"), diferenciada de alcaldes y concejos. Reivindican la técnica frente a la política. Su posicionamiento es de clase profesional: son técnicos que operan en un entorno político hostil, y su propuesta de crear una "mesa de secretarios" es una forma de gremialización defensiva.</w:t>
      </w:r>
    </w:p>
    <w:p>
      <w:pPr>
        <w:spacing w:after="120"/>
        <w:ind w:left="360" w:hanging="360"/>
      </w:pPr>
      <w:r>
        <w:rPr>
          <w:rFonts w:ascii="Montserrat" w:hAnsi="Montserrat"/>
          <w:color w:val="0AB6F2"/>
          <w:sz w:val="20"/>
        </w:rPr>
        <w:t>●</w:t>
        <w:tab/>
      </w:r>
      <w:r>
        <w:rPr>
          <w:rFonts w:ascii="Montserrat" w:hAnsi="Montserrat"/>
          <w:color w:val="333333"/>
          <w:sz w:val="22"/>
        </w:rPr>
        <w:t>Tribunales Administrativos: actores implícitos con poder de veto. Su fragmentación interpretativa (Antioquia vs. Córdoba) los convierte en árbitros no electos de la política fiscal territorial. El posicionamiento de los panelistas frente a ellos es ambivalente: los necesitan para revertir la sentencia, pero los critican por su inconsistencia. No hay propuesta de reforma al sistema de justicia administrativa, solo de presión para obtener interpretaciones favorables.</w:t>
      </w:r>
    </w:p>
    <w:p>
      <w:pPr>
        <w:spacing w:after="120"/>
        <w:ind w:left="360" w:hanging="360"/>
      </w:pPr>
      <w:r>
        <w:rPr>
          <w:rFonts w:ascii="Montserrat" w:hAnsi="Montserrat"/>
          <w:color w:val="00CC30"/>
          <w:sz w:val="20"/>
        </w:rPr>
        <w:t>●</w:t>
        <w:tab/>
      </w:r>
      <w:r>
        <w:rPr>
          <w:rFonts w:ascii="Montserrat" w:hAnsi="Montserrat"/>
          <w:color w:val="333333"/>
          <w:sz w:val="22"/>
        </w:rPr>
        <w:t>Corte Constitucional: referida como instancia que "ya se ha pronunciado", revelando respeto institucional combinado con frustración operativa. Los panelistas no cuestionan la legitimidad de la Corte, pero sí la extensión de su sentencia a los municipios. Este posicionamiento es estratégicamente prudente: atacar a la Corte sería contraproducente políticamente, por lo que se opta por argumentar la inaplicabilidad territorial de una sentencia originada en el nivel departamental.</w:t>
      </w:r>
    </w:p>
    <w:p>
      <w:pPr>
        <w:pStyle w:val="Heading2"/>
      </w:pPr>
      <w:r>
        <w:t>5.6 Vacíos de conocimiento</w:t>
      </w:r>
    </w:p>
    <w:p>
      <w:pPr>
        <w:jc w:val="both"/>
      </w:pPr>
      <w:r>
        <w:rPr>
          <w:rFonts w:ascii="Montserrat" w:hAnsi="Montserrat"/>
          <w:color w:val="333333"/>
          <w:sz w:val="22"/>
        </w:rPr>
        <w:t>No se discuten cifras consolidadas del impacto fiscal de la C-036 a nivel nacional (cuántos municipios han paralizado inversiones, cuánto dinero está congelado). No se presentan experiencias internacionales de autonomía presupuestaria municipal en sistemas comparados (Brasil, México, España, Perú). No se evalúa cómo incorporar el riesgo climático en la proyección fiscal de mediano plazo de los MFMP. No se cuantifica el costo de oportunidad del desgaste administrativo en términos de ejecución de inversión pública. Estos vacíos limitan la capacidad de incidencia: sin datos duros, las propuestas de reforma carecen de la evidencia que exige el CONPES 4069 de 2021.</w:t>
      </w:r>
    </w:p>
    <w:p>
      <w:pPr>
        <w:pStyle w:val="Heading1"/>
      </w:pPr>
      <w:r>
        <w:t>6. SÍNTESIS EN CALIENTE (POLICY SNAPSHOT)</w:t>
      </w:r>
    </w:p>
    <w:p>
      <w:pPr>
        <w:pStyle w:val="Quote"/>
      </w:pPr>
      <w:r>
        <w:rPr>
          <w:rFonts w:ascii="Georgia" w:hAnsi="Georgia"/>
          <w:i/>
          <w:color w:val="1A1A2E"/>
          <w:sz w:val="21"/>
        </w:rPr>
        <w:t>Completada inmediatamente al cierre del panel. La frescura de esta síntesis es irremplazable; después de 24 horas se diluye el contexto implícito.</w:t>
      </w:r>
    </w:p>
    <w:p>
      <w:pPr>
        <w:pStyle w:val="Heading2"/>
      </w:pPr>
      <w:r>
        <w:t>D.1 Hallazgo principal con potencial de incidencia política</w:t>
      </w:r>
    </w:p>
    <w:p>
      <w:pPr>
        <w:jc w:val="both"/>
      </w:pPr>
      <w:r>
        <w:rPr>
          <w:rFonts w:ascii="Montserrat" w:hAnsi="Montserrat"/>
          <w:color w:val="333333"/>
          <w:sz w:val="22"/>
        </w:rPr>
        <w:t>La Sentencia C-036 de 2023 ha desencadenado una parálisis fiscal territorial que no solo ralentiza la gestión ordinaria sino que pone en riesgo la respuesta a emergencias climáticas. La solución no puede ser meramente jurisprudencial ni legislativa aislada: requiere una reforma constitucional o legal que establezca un régimen de facultades presupuestales temporales y precisas para el ejecutivo territorial, diferenciando entre reasignaciones ordinarias (que requieren control concejil) y reasignaciones de emergencia (que deben activarse automáticamente). El hallazgo de más alto valor policy-ready es que la fragmentación jurisprudencial (Antioquia restrictiva vs. Córdoba flexible) genera desigualdad territorial en el acceso a la gestión pública, violando el principio de equidad que debe regir la política fiscal colombiana.</w:t>
      </w:r>
    </w:p>
    <w:p>
      <w:pPr>
        <w:pStyle w:val="Heading2"/>
      </w:pPr>
      <w:r>
        <w:t>D.2 Alerta territorial crítica</w:t>
      </w:r>
    </w:p>
    <w:p>
      <w:pPr>
        <w:jc w:val="both"/>
      </w:pPr>
      <w:r>
        <w:rPr>
          <w:rFonts w:ascii="Montserrat" w:hAnsi="Montserrat"/>
          <w:color w:val="333333"/>
          <w:sz w:val="22"/>
        </w:rPr>
        <w:t>Montería y los municipios de la Costa Caribe enfrentan una convergencia letal: alta vulnerabilidad climática (frentes fríos, fenómeno de La Niña), baja capacidad recaudatoria, rigidez presupuestaria post-C-036 y dependencia de la voluntad concejil. La alerta es que, ante la próxima emergencia climática, estos municipios no podrán responder con los recursos que ya tienen, generando una crisis humanitaria prevenible por causas institucionales, no por ausencia de recursos. Los municipios del Área Metropolitana del Valle de Aburrá (Sabaneta, Copacabana) tienen mayor resiliencia fiscal, pero enfrentan la misma rigidez normativa, lo que sugiere que la alerta es nacional con intensidad regional diferenciada.</w:t>
      </w:r>
    </w:p>
    <w:p>
      <w:pPr>
        <w:pStyle w:val="Heading2"/>
      </w:pPr>
      <w:r>
        <w:rPr>
          <w:color w:val="6CD3A5"/>
        </w:rPr>
        <w:t>D.3 Oportunidad de sinergia interinstitucional</w:t>
      </w:r>
    </w:p>
    <w:p>
      <w:pPr>
        <w:jc w:val="both"/>
      </w:pPr>
      <w:r>
        <w:rPr>
          <w:rFonts w:ascii="Montserrat" w:hAnsi="Montserrat"/>
          <w:color w:val="333333"/>
          <w:sz w:val="22"/>
        </w:rPr>
        <w:t>La mesa de secretarios de hacienda, aún informal, es la semilla de un frente gremial con capacidad de incidencia legislativa. Sin embargo, su potencial se multiplicaría si se articula con: (1) el Ministerio de Hacienda, para incluir la flexibilización presupuestal en la agenda de modernización fiscal del nuevo gobierno; (2) la Federación Colombiana de Municipios (FCM), para convertir la presión técnica en presión política institucionalizada; (3) la Procuraduría y la Contraloría, para diseñar salvaguardas anticorrupción que acompañen la flexibilización, respondiendo al temor legítimo de los concejos; y (4) entidades financieras de segundo piso (Findeter, FDN), para vincular el acceso al crédito con reformas en autonomía presupuestal. Esta sinergia cuádruple no existe actualmente y su construcción es la oportunidad estratégica más valiosa del panel.</w:t>
      </w:r>
    </w:p>
    <w:p>
      <w:pPr>
        <w:pStyle w:val="Heading2"/>
      </w:pPr>
      <w:r>
        <w:t>D.4 Insight del sistematizador (lectura interpretativa)</w:t>
      </w:r>
    </w:p>
    <w:p>
      <w:pPr>
        <w:jc w:val="both"/>
      </w:pPr>
      <w:r>
        <w:rPr>
          <w:rFonts w:ascii="Montserrat" w:hAnsi="Montserrat"/>
          <w:color w:val="333333"/>
          <w:sz w:val="22"/>
        </w:rPr>
        <w:t>El panel revela una fractura estructural en el Estado colombiano que la metodología de sistematización hace visible: la tensión entre 'gobierno' (ejecutivo) y 'gobierno' (legislativo local) no es un conflicto de personas sino de arquitecturas institucionales diseñadas para épocas de estabilidad en un país de emergencias permanentes. La insistencia en la 'autonomía' del ejecutivo territorial es, en el fondo, una demanda de agilidad estatal frente a la complejidad creciente. Sin embargo, el silencio sobre cómo fortalecer al concejo sin paralizar al ejecutivo revela que el debate está incompleto. El insight interpretativo es que la solución no está en recuperar la autonomía perdida, sino en redefinir el contrato fiscal local: un concejo que define políticas, aprueba planes de desarrollo y fiscaliza resultados; un ejecutivo que gestiona con flexibilidad dentro de esos marcos; y un sistema de justicia que garantiza equidad territorial en la interpretación normativa. Este nuevo contrato requiere no solo reforma legal, sino pedagogía política: los concejales deben entender que su función no es gestionar partidas, sino garantizar que la gestión del ejecutivo responda a las prioridades ciudadanas. Hasta que eso ocurra, la 'autonomía' seguirá siendo un grito de auxilio, no una propuesta de Estado.</w:t>
      </w:r>
    </w:p>
    <w:p>
      <w:pPr>
        <w:pStyle w:val="Heading1"/>
      </w:pPr>
      <w:r>
        <w:t>7. CODIFICACIÓN PARA ANÁLISIS CRUZADO Y TRAZABILIDAD</w:t>
      </w:r>
    </w:p>
    <w:p>
      <w:pPr>
        <w:pStyle w:val="Heading2"/>
      </w:pPr>
      <w:r>
        <w:t>Dimensiones temáticas (marcadas con X en la ficha):</w:t>
      </w:r>
    </w:p>
    <w:p>
      <w:pPr>
        <w:spacing w:after="120"/>
        <w:ind w:left="360" w:hanging="360"/>
      </w:pPr>
      <w:r>
        <w:rPr>
          <w:rFonts w:ascii="Montserrat" w:hAnsi="Montserrat"/>
          <w:color w:val="0B43F7"/>
          <w:sz w:val="20"/>
        </w:rPr>
        <w:t>●</w:t>
        <w:tab/>
      </w:r>
      <w:r>
        <w:rPr>
          <w:rFonts w:ascii="Montserrat" w:hAnsi="Montserrat"/>
          <w:color w:val="333333"/>
          <w:sz w:val="22"/>
        </w:rPr>
        <w:t>Marco normativo / regulatorio — Aplica: Sentencia C-036, Ley 715/2001, estatutos orgánicos</w:t>
      </w:r>
    </w:p>
    <w:p>
      <w:pPr>
        <w:spacing w:after="120"/>
        <w:ind w:left="360" w:hanging="360"/>
      </w:pPr>
      <w:r>
        <w:rPr>
          <w:rFonts w:ascii="Montserrat" w:hAnsi="Montserrat"/>
          <w:color w:val="0B43F7"/>
          <w:sz w:val="20"/>
        </w:rPr>
        <w:t>●</w:t>
        <w:tab/>
      </w:r>
      <w:r>
        <w:rPr>
          <w:rFonts w:ascii="Montserrat" w:hAnsi="Montserrat"/>
          <w:color w:val="333333"/>
          <w:sz w:val="22"/>
        </w:rPr>
        <w:t>Gestión catastral / tributaria — No aplica: No abordado directamente en este panel</w:t>
      </w:r>
    </w:p>
    <w:p>
      <w:pPr>
        <w:spacing w:after="120"/>
        <w:ind w:left="360" w:hanging="360"/>
      </w:pPr>
      <w:r>
        <w:rPr>
          <w:rFonts w:ascii="Montserrat" w:hAnsi="Montserrat"/>
          <w:color w:val="0B43F7"/>
          <w:sz w:val="20"/>
        </w:rPr>
        <w:t>●</w:t>
        <w:tab/>
      </w:r>
      <w:r>
        <w:rPr>
          <w:rFonts w:ascii="Montserrat" w:hAnsi="Montserrat"/>
          <w:color w:val="333333"/>
          <w:sz w:val="22"/>
        </w:rPr>
        <w:t>Descentralización / autonomía territorial — Aplica: Eje central del debate: autonomía fiscal vs. control concejil</w:t>
      </w:r>
    </w:p>
    <w:p>
      <w:pPr>
        <w:spacing w:after="120"/>
        <w:ind w:left="360" w:hanging="360"/>
      </w:pPr>
      <w:r>
        <w:rPr>
          <w:rFonts w:ascii="Montserrat" w:hAnsi="Montserrat"/>
          <w:color w:val="0B43F7"/>
          <w:sz w:val="20"/>
        </w:rPr>
        <w:t>●</w:t>
        <w:tab/>
      </w:r>
      <w:r>
        <w:rPr>
          <w:rFonts w:ascii="Montserrat" w:hAnsi="Montserrat"/>
          <w:color w:val="333333"/>
          <w:sz w:val="22"/>
        </w:rPr>
        <w:t>Financiación / fuentes alternativas — Aplica: Crédito público, endeudamiento, APP</w:t>
      </w:r>
    </w:p>
    <w:p>
      <w:pPr>
        <w:spacing w:after="120"/>
        <w:ind w:left="360" w:hanging="360"/>
      </w:pPr>
      <w:r>
        <w:rPr>
          <w:rFonts w:ascii="Montserrat" w:hAnsi="Montserrat"/>
          <w:color w:val="0B43F7"/>
          <w:sz w:val="20"/>
        </w:rPr>
        <w:t>●</w:t>
        <w:tab/>
      </w:r>
      <w:r>
        <w:rPr>
          <w:rFonts w:ascii="Montserrat" w:hAnsi="Montserrat"/>
          <w:color w:val="333333"/>
          <w:sz w:val="22"/>
        </w:rPr>
        <w:t>Infraestructura pública / valorización — No aplica: Mencionado tangencialmente en el contexto de emergencias</w:t>
      </w:r>
    </w:p>
    <w:p>
      <w:pPr>
        <w:spacing w:after="120"/>
        <w:ind w:left="360" w:hanging="360"/>
      </w:pPr>
      <w:r>
        <w:rPr>
          <w:rFonts w:ascii="Montserrat" w:hAnsi="Montserrat"/>
          <w:color w:val="0B43F7"/>
          <w:sz w:val="20"/>
        </w:rPr>
        <w:t>●</w:t>
        <w:tab/>
      </w:r>
      <w:r>
        <w:rPr>
          <w:rFonts w:ascii="Montserrat" w:hAnsi="Montserrat"/>
          <w:color w:val="333333"/>
          <w:sz w:val="22"/>
        </w:rPr>
        <w:t>Tecnología / innovación en gestión de ingresos — No aplica: No abordado</w:t>
      </w:r>
    </w:p>
    <w:p>
      <w:pPr>
        <w:spacing w:after="120"/>
        <w:ind w:left="360" w:hanging="360"/>
      </w:pPr>
      <w:r>
        <w:rPr>
          <w:rFonts w:ascii="Montserrat" w:hAnsi="Montserrat"/>
          <w:color w:val="0B43F7"/>
          <w:sz w:val="20"/>
        </w:rPr>
        <w:t>●</w:t>
        <w:tab/>
      </w:r>
      <w:r>
        <w:rPr>
          <w:rFonts w:ascii="Montserrat" w:hAnsi="Montserrat"/>
          <w:color w:val="333333"/>
          <w:sz w:val="22"/>
        </w:rPr>
        <w:t>Jurisprudencia / procedimiento tributario — Aplica: Interpretación de tribunales administrativos, C-036</w:t>
      </w:r>
    </w:p>
    <w:p>
      <w:pPr>
        <w:spacing w:after="120"/>
        <w:ind w:left="360" w:hanging="360"/>
      </w:pPr>
      <w:r>
        <w:rPr>
          <w:rFonts w:ascii="Montserrat" w:hAnsi="Montserrat"/>
          <w:color w:val="0B43F7"/>
          <w:sz w:val="20"/>
        </w:rPr>
        <w:t>●</w:t>
        <w:tab/>
      </w:r>
      <w:r>
        <w:rPr>
          <w:rFonts w:ascii="Montserrat" w:hAnsi="Montserrat"/>
          <w:color w:val="333333"/>
          <w:sz w:val="22"/>
        </w:rPr>
        <w:t>Presupuesto / operaciones de crédito — Aplica: Eje estructural del panel</w:t>
      </w:r>
    </w:p>
    <w:p>
      <w:pPr>
        <w:spacing w:after="120"/>
        <w:ind w:left="360" w:hanging="360"/>
      </w:pPr>
      <w:r>
        <w:rPr>
          <w:rFonts w:ascii="Montserrat" w:hAnsi="Montserrat"/>
          <w:color w:val="0B43F7"/>
          <w:sz w:val="20"/>
        </w:rPr>
        <w:t>●</w:t>
        <w:tab/>
      </w:r>
      <w:r>
        <w:rPr>
          <w:rFonts w:ascii="Montserrat" w:hAnsi="Montserrat"/>
          <w:color w:val="333333"/>
          <w:sz w:val="22"/>
        </w:rPr>
        <w:t>Modernización institucional — Aplica: Propuestas de reforma constitucional y estatutaria</w:t>
      </w:r>
    </w:p>
    <w:p>
      <w:pPr>
        <w:spacing w:after="120"/>
        <w:ind w:left="360" w:hanging="360"/>
      </w:pPr>
      <w:r>
        <w:rPr>
          <w:rFonts w:ascii="Montserrat" w:hAnsi="Montserrat"/>
          <w:color w:val="0B43F7"/>
          <w:sz w:val="20"/>
        </w:rPr>
        <w:t>●</w:t>
        <w:tab/>
      </w:r>
      <w:r>
        <w:rPr>
          <w:rFonts w:ascii="Montserrat" w:hAnsi="Montserrat"/>
          <w:color w:val="333333"/>
          <w:sz w:val="22"/>
        </w:rPr>
        <w:t>Incidencia política / agenda pública — Aplica: Mesa de secretarios de hacienda, presión gremial</w:t>
      </w:r>
    </w:p>
    <w:p>
      <w:pPr>
        <w:pStyle w:val="Heading2"/>
      </w:pPr>
      <w:r>
        <w:t>Dimensiones territoriales:</w:t>
      </w:r>
    </w:p>
    <w:p>
      <w:pPr>
        <w:spacing w:after="120"/>
        <w:ind w:left="360" w:hanging="360"/>
      </w:pPr>
      <w:r>
        <w:rPr>
          <w:rFonts w:ascii="Montserrat" w:hAnsi="Montserrat"/>
          <w:color w:val="0B43F7"/>
          <w:sz w:val="20"/>
        </w:rPr>
        <w:t>●</w:t>
        <w:tab/>
      </w:r>
      <w:r>
        <w:rPr>
          <w:rFonts w:ascii="Montserrat" w:hAnsi="Montserrat"/>
          <w:color w:val="333333"/>
          <w:sz w:val="22"/>
        </w:rPr>
        <w:t>Nacional: X. La sentencia C-036 afecta todo el territorio nacional; se discute reforma constitucional.</w:t>
      </w:r>
    </w:p>
    <w:p>
      <w:pPr>
        <w:spacing w:after="120"/>
        <w:ind w:left="360" w:hanging="360"/>
      </w:pPr>
      <w:r>
        <w:rPr>
          <w:rFonts w:ascii="Montserrat" w:hAnsi="Montserrat"/>
          <w:color w:val="0AB6F2"/>
          <w:sz w:val="20"/>
        </w:rPr>
        <w:t>●</w:t>
        <w:tab/>
      </w:r>
      <w:r>
        <w:rPr>
          <w:rFonts w:ascii="Montserrat" w:hAnsi="Montserrat"/>
          <w:color w:val="333333"/>
          <w:sz w:val="22"/>
        </w:rPr>
        <w:t>Regional / departamental: X. Córdoba (Montería), Antioquia (Sabaneta, Copacabana). Variación jurisprudencial departamental.</w:t>
      </w:r>
    </w:p>
    <w:p>
      <w:pPr>
        <w:spacing w:after="120"/>
        <w:ind w:left="360" w:hanging="360"/>
      </w:pPr>
      <w:r>
        <w:rPr>
          <w:rFonts w:ascii="Montserrat" w:hAnsi="Montserrat"/>
          <w:color w:val="00CC30"/>
          <w:sz w:val="20"/>
        </w:rPr>
        <w:t>●</w:t>
        <w:tab/>
      </w:r>
      <w:r>
        <w:rPr>
          <w:rFonts w:ascii="Montserrat" w:hAnsi="Montserrat"/>
          <w:color w:val="333333"/>
          <w:sz w:val="22"/>
        </w:rPr>
        <w:t>Municipal / distrito: X. Escala principal del análisis.</w:t>
      </w:r>
    </w:p>
    <w:p>
      <w:pPr>
        <w:spacing w:after="120"/>
        <w:ind w:left="360" w:hanging="360"/>
      </w:pPr>
      <w:r>
        <w:rPr>
          <w:rFonts w:ascii="Montserrat" w:hAnsi="Montserrat"/>
          <w:color w:val="6CD3A5"/>
          <w:sz w:val="20"/>
        </w:rPr>
        <w:t>●</w:t>
        <w:tab/>
      </w:r>
      <w:r>
        <w:rPr>
          <w:rFonts w:ascii="Montserrat" w:hAnsi="Montserrat"/>
          <w:color w:val="333333"/>
          <w:sz w:val="22"/>
        </w:rPr>
        <w:t>Área metropolitana: X. Sabaneta y Copacabana (Valle de Aburrá).</w:t>
      </w:r>
    </w:p>
    <w:p>
      <w:pPr>
        <w:spacing w:after="120"/>
        <w:ind w:left="360" w:hanging="360"/>
      </w:pPr>
      <w:r>
        <w:rPr>
          <w:rFonts w:ascii="Montserrat" w:hAnsi="Montserrat"/>
          <w:color w:val="0B43F7"/>
          <w:sz w:val="20"/>
        </w:rPr>
        <w:t>●</w:t>
        <w:tab/>
      </w:r>
      <w:r>
        <w:rPr>
          <w:rFonts w:ascii="Montserrat" w:hAnsi="Montserrat"/>
          <w:color w:val="333333"/>
          <w:sz w:val="22"/>
        </w:rPr>
        <w:t>Rural / disperso: Implícito. Montería menciona corregimientos bajo el agua.</w:t>
      </w:r>
    </w:p>
    <w:p>
      <w:pPr>
        <w:pStyle w:val="Heading2"/>
      </w:pPr>
      <w:r>
        <w:rPr>
          <w:color w:val="6CD3A5"/>
        </w:rPr>
        <w:t>Dimensiones de actoría y sinergia:</w:t>
      </w:r>
    </w:p>
    <w:p>
      <w:pPr>
        <w:spacing w:after="120"/>
        <w:ind w:left="360" w:hanging="360"/>
      </w:pPr>
      <w:r>
        <w:rPr>
          <w:rFonts w:ascii="Montserrat" w:hAnsi="Montserrat"/>
          <w:color w:val="0B43F7"/>
          <w:sz w:val="20"/>
        </w:rPr>
        <w:t>●</w:t>
        <w:tab/>
      </w:r>
      <w:r>
        <w:rPr>
          <w:rFonts w:ascii="Montserrat" w:hAnsi="Montserrat"/>
          <w:color w:val="333333"/>
          <w:sz w:val="22"/>
        </w:rPr>
        <w:t>Gobernaciones / alcaldías: X. Propuesta de articulación: mesa de secretarios de hacienda.</w:t>
      </w:r>
    </w:p>
    <w:p>
      <w:pPr>
        <w:spacing w:after="120"/>
        <w:ind w:left="360" w:hanging="360"/>
      </w:pPr>
      <w:r>
        <w:rPr>
          <w:rFonts w:ascii="Montserrat" w:hAnsi="Montserrat"/>
          <w:color w:val="0AB6F2"/>
          <w:sz w:val="20"/>
        </w:rPr>
        <w:t>●</w:t>
        <w:tab/>
      </w:r>
      <w:r>
        <w:rPr>
          <w:rFonts w:ascii="Montserrat" w:hAnsi="Montserrat"/>
          <w:color w:val="333333"/>
          <w:sz w:val="22"/>
        </w:rPr>
        <w:t>Asambleas / concejos: X. Actor problematizado; no hay propuesta de articulación constructiva.</w:t>
      </w:r>
    </w:p>
    <w:p>
      <w:pPr>
        <w:spacing w:after="120"/>
        <w:ind w:left="360" w:hanging="360"/>
      </w:pPr>
      <w:r>
        <w:rPr>
          <w:rFonts w:ascii="Montserrat" w:hAnsi="Montserrat"/>
          <w:color w:val="00CC30"/>
          <w:sz w:val="20"/>
        </w:rPr>
        <w:t>●</w:t>
        <w:tab/>
      </w:r>
      <w:r>
        <w:rPr>
          <w:rFonts w:ascii="Montserrat" w:hAnsi="Montserrat"/>
          <w:color w:val="333333"/>
          <w:sz w:val="22"/>
        </w:rPr>
        <w:t>Organismos de control / fiscalización: X. Tribunales administrativos como actores clave no invitados.</w:t>
      </w:r>
    </w:p>
    <w:p>
      <w:pPr>
        <w:spacing w:after="120"/>
        <w:ind w:left="360" w:hanging="360"/>
      </w:pPr>
      <w:r>
        <w:rPr>
          <w:rFonts w:ascii="Montserrat" w:hAnsi="Montserrat"/>
          <w:color w:val="6CD3A5"/>
          <w:sz w:val="20"/>
        </w:rPr>
        <w:t>●</w:t>
        <w:tab/>
      </w:r>
      <w:r>
        <w:rPr>
          <w:rFonts w:ascii="Montserrat" w:hAnsi="Montserrat"/>
          <w:color w:val="333333"/>
          <w:sz w:val="22"/>
        </w:rPr>
        <w:t>Ministerios / nivel nacional: Mencionado en el contexto de emergencia; sin propuesta de articulación.</w:t>
      </w:r>
    </w:p>
    <w:p>
      <w:pPr>
        <w:spacing w:after="120"/>
        <w:ind w:left="360" w:hanging="360"/>
      </w:pPr>
      <w:r>
        <w:rPr>
          <w:rFonts w:ascii="Montserrat" w:hAnsi="Montserrat"/>
          <w:color w:val="0B43F7"/>
          <w:sz w:val="20"/>
        </w:rPr>
        <w:t>●</w:t>
        <w:tab/>
      </w:r>
      <w:r>
        <w:rPr>
          <w:rFonts w:ascii="Montserrat" w:hAnsi="Montserrat"/>
          <w:color w:val="333333"/>
          <w:sz w:val="22"/>
        </w:rPr>
        <w:t>Sector privado / gremios: Implícito vía Arboleda (APP). Sin propuesta explícita de articulación.</w:t>
      </w:r>
    </w:p>
    <w:p>
      <w:pPr>
        <w:pStyle w:val="Heading2"/>
      </w:pPr>
      <w:r>
        <w:t>Relación con otros paneles (Knowledge Graph):</w:t>
      </w:r>
    </w:p>
    <w:p>
      <w:pPr>
        <w:spacing w:after="120"/>
        <w:ind w:left="360" w:hanging="360"/>
      </w:pPr>
      <w:r>
        <w:rPr>
          <w:rFonts w:ascii="Montserrat" w:hAnsi="Montserrat"/>
          <w:color w:val="0B43F7"/>
          <w:sz w:val="20"/>
        </w:rPr>
        <w:t>●</w:t>
        <w:tab/>
      </w:r>
      <w:r>
        <w:rPr>
          <w:rFonts w:ascii="Montserrat" w:hAnsi="Montserrat"/>
          <w:color w:val="333333"/>
          <w:sz w:val="22"/>
        </w:rPr>
        <w:t>Panel 2 (Principales marcos normativos): Conexión directa. El marco normativo de los MFMP y la Ley 715 son el sustento legal de las restricciones discutidas.</w:t>
      </w:r>
    </w:p>
    <w:p>
      <w:pPr>
        <w:spacing w:after="120"/>
        <w:ind w:left="360" w:hanging="360"/>
      </w:pPr>
      <w:r>
        <w:rPr>
          <w:rFonts w:ascii="Montserrat" w:hAnsi="Montserrat"/>
          <w:color w:val="0AB6F2"/>
          <w:sz w:val="20"/>
        </w:rPr>
        <w:t>●</w:t>
        <w:tab/>
      </w:r>
      <w:r>
        <w:rPr>
          <w:rFonts w:ascii="Montserrat" w:hAnsi="Montserrat"/>
          <w:color w:val="333333"/>
          <w:sz w:val="22"/>
        </w:rPr>
        <w:t>Panel 6 (El futuro de las finanzas públicas): Conexión directa. La modernización de las finanzas públicas requiere resolver la rigidez presupuestal y crediticia.</w:t>
      </w:r>
    </w:p>
    <w:p>
      <w:pPr>
        <w:spacing w:after="120"/>
        <w:ind w:left="360" w:hanging="360"/>
      </w:pPr>
      <w:r>
        <w:rPr>
          <w:rFonts w:ascii="Montserrat" w:hAnsi="Montserrat"/>
          <w:color w:val="00CC30"/>
          <w:sz w:val="20"/>
        </w:rPr>
        <w:t>●</w:t>
        <w:tab/>
      </w:r>
      <w:r>
        <w:rPr>
          <w:rFonts w:ascii="Montserrat" w:hAnsi="Montserrat"/>
          <w:color w:val="333333"/>
          <w:sz w:val="22"/>
        </w:rPr>
        <w:t>Panel 7 (Propuestas para la modernización): Conexión directa. Las propuestas de este panel (reforma constitucional, mesa de secretarios) alimentan la hoja de ruta de modernización.</w:t>
      </w:r>
    </w:p>
    <w:p>
      <w:pPr>
        <w:spacing w:after="120"/>
        <w:ind w:left="360" w:hanging="360"/>
      </w:pPr>
      <w:r>
        <w:rPr>
          <w:rFonts w:ascii="Montserrat" w:hAnsi="Montserrat"/>
          <w:color w:val="6CD3A5"/>
          <w:sz w:val="20"/>
        </w:rPr>
        <w:t>●</w:t>
        <w:tab/>
      </w:r>
      <w:r>
        <w:rPr>
          <w:rFonts w:ascii="Montserrat" w:hAnsi="Montserrat"/>
          <w:color w:val="333333"/>
          <w:sz w:val="22"/>
        </w:rPr>
        <w:t>Panel 10 (Nuevas tecnologías): Conexión potencial. La flexibilización presupuestal podría habilitar inversión en tecnología de gestión del riesgo y recaudo.</w:t>
      </w:r>
    </w:p>
    <w:p>
      <w:pPr>
        <w:pStyle w:val="Heading2"/>
      </w:pPr>
      <w:r>
        <w:t>Trazabilidad y validación:</w:t>
      </w:r>
    </w:p>
    <w:p>
      <w:pPr>
        <w:spacing w:after="120"/>
        <w:ind w:left="360" w:hanging="360"/>
      </w:pPr>
      <w:r>
        <w:rPr>
          <w:rFonts w:ascii="Montserrat" w:hAnsi="Montserrat"/>
          <w:color w:val="0B43F7"/>
          <w:sz w:val="20"/>
        </w:rPr>
        <w:t>●</w:t>
        <w:tab/>
      </w:r>
      <w:r>
        <w:rPr>
          <w:rFonts w:ascii="Montserrat" w:hAnsi="Montserrat"/>
          <w:color w:val="333333"/>
          <w:sz w:val="22"/>
        </w:rPr>
        <w:t>Nivel de confianza del registro: ALTO. Información verificada con fuente clara (transcripción textual del Panel 12), dato confirmado en ficha de panel en tiempo real, y contrastado con acta de alistamiento estratégico.</w:t>
      </w:r>
    </w:p>
    <w:p>
      <w:pPr>
        <w:spacing w:after="120"/>
        <w:ind w:left="360" w:hanging="360"/>
      </w:pPr>
      <w:r>
        <w:rPr>
          <w:rFonts w:ascii="Montserrat" w:hAnsi="Montserrat"/>
          <w:color w:val="0AB6F2"/>
          <w:sz w:val="20"/>
        </w:rPr>
        <w:t>●</w:t>
        <w:tab/>
      </w:r>
      <w:r>
        <w:rPr>
          <w:rFonts w:ascii="Montserrat" w:hAnsi="Montserrat"/>
          <w:color w:val="333333"/>
          <w:sz w:val="22"/>
        </w:rPr>
        <w:t>Pendientes / dudas: Se requiere verificar la fecha exacta de la Sentencia C-036 de 2023 y el texto de la demanda original (nivel departamental vs. municipal). Se requiere contrastar la narrativa de Montería con información oficial de la UNGRD sobre la magnitud de la emergencia.</w:t>
      </w:r>
    </w:p>
    <w:p>
      <w:pPr>
        <w:spacing w:after="120"/>
        <w:ind w:left="360" w:hanging="360"/>
      </w:pPr>
      <w:r>
        <w:rPr>
          <w:rFonts w:ascii="Montserrat" w:hAnsi="Montserrat"/>
          <w:color w:val="00CC30"/>
          <w:sz w:val="20"/>
        </w:rPr>
        <w:t>●</w:t>
        <w:tab/>
      </w:r>
      <w:r>
        <w:rPr>
          <w:rFonts w:ascii="Montserrat" w:hAnsi="Montserrat"/>
          <w:color w:val="333333"/>
          <w:sz w:val="22"/>
        </w:rPr>
        <w:t>Archivos adjuntos: Transcripción Panel 12 (transcripción 12 (1).docx); Ficha de Panel 12 (Panel 12. Novedades en los MFMP (1).xlsx); Documento Metodológico Ejecutivo FPT 2026.</w:t>
      </w:r>
    </w:p>
    <w:p>
      <w:pPr>
        <w:pStyle w:val="Quote"/>
      </w:pPr>
      <w:r>
        <w:rPr>
          <w:rFonts w:ascii="Georgia" w:hAnsi="Georgia"/>
          <w:i/>
          <w:color w:val="1A1A2E"/>
          <w:sz w:val="21"/>
        </w:rPr>
        <w:t>— Documento elaborado bajo los lineamientos del Documento Metodológico Ejecutivo FPT 2026 —</w:t>
        <w:br/>
        <w:t>Magna Comunicaciones | Julio 2026 | Conocimiento policy-ready | Enfoque territorial</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