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3.png" ContentType="image/png"/>
  <Override PartName="/word/media/rId37.png" ContentType="image/png"/>
  <Override PartName="/word/media/rId5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Este trabalho investiga se notícias financeiras brasileiras podem melhorar a predição de direção de preços de ações da B3, utilizando como estudo de caso três ações de grande capitalização: ITUB4 (Itaú Unibanco), PETR4 (Petrobras) e VALE3 (Vale). 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proposto coleta artigos do portal InfoMoney, extrai representações de sentimento via FinBERT-PT-BR — um modelo BERT especializado em textos financeiros em português</w:t>
      </w:r>
      <w:r>
        <w:t xml:space="preserve"> </w:t>
      </w:r>
      <w:r>
        <w:t xml:space="preserve">(Souza et al. 2023)</w:t>
      </w:r>
      <w:r>
        <w:t xml:space="preserve"> </w:t>
      </w:r>
      <w:r>
        <w:t xml:space="preserve">— e combina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resultantes com dados de mercado do Yahoo Finance para treinar classificadores binários (sobe/desce).</w:t>
      </w:r>
    </w:p>
    <w:p>
      <w:pPr>
        <w:pStyle w:val="BodyText"/>
      </w:pPr>
      <w:r>
        <w:t xml:space="preserve">O trabalho documenta uma autocorreção metodológica incomum: sob avaliação por janela única (</w:t>
      </w:r>
      <w:r>
        <w:rPr>
          <w:i/>
          <w:iCs/>
        </w:rPr>
        <w:t xml:space="preserve">walk-forward split</w:t>
      </w:r>
      <w:r>
        <w:t xml:space="preserve"> </w:t>
      </w:r>
      <w:r>
        <w:t xml:space="preserve">70/15/15), o modelo Transformer</w:t>
      </w:r>
      <w:r>
        <w:t xml:space="preserve"> </w:t>
      </w:r>
      <w:r>
        <w:t xml:space="preserve">(Vaswani et al. 2017)</w:t>
      </w:r>
      <w:r>
        <w:t xml:space="preserve"> </w:t>
      </w:r>
      <w:r>
        <w:t xml:space="preserve">atinge ROC-AUC de 0,709, aparentemente demonstrando que o sentimento financeiro específico supera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de alta dimensionalidade. Porém, uma investigação sistemática com mais de 1.500 execuções de modelo — incluindo análise</w:t>
      </w:r>
      <w:r>
        <w:t xml:space="preserve"> </w:t>
      </w:r>
      <w:r>
        <w:rPr>
          <w:i/>
          <w:iCs/>
        </w:rPr>
        <w:t xml:space="preserve">multi-seed</w:t>
      </w:r>
      <w:r>
        <w:t xml:space="preserve"> </w:t>
      </w:r>
      <w:r>
        <w:t xml:space="preserve">(20 sementes), validação cruzada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(até 52</w:t>
      </w:r>
      <w:r>
        <w:t xml:space="preserve"> </w:t>
      </w:r>
      <w:r>
        <w:rPr>
          <w:i/>
          <w:iCs/>
        </w:rPr>
        <w:t xml:space="preserve">folds</w:t>
      </w:r>
      <w:r>
        <w:t xml:space="preserve">), testes de Wilcoxon</w:t>
      </w:r>
      <w:r>
        <w:t xml:space="preserve"> </w:t>
      </w:r>
      <w:r>
        <w:rPr>
          <w:i/>
          <w:iCs/>
        </w:rPr>
        <w:t xml:space="preserve">signed-rank</w:t>
      </w:r>
      <w:r>
        <w:t xml:space="preserve">, intervalos de confiança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— revela que o resultado é um artefato: o Transformer exibe colapso bimodal (AUC oscilando entre 0,08 e 0,93 conforme a semente), e sob avaliação multi-fold o sentimento adiciona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003</m:t>
        </m:r>
      </m:oMath>
      <w:r>
        <w:t xml:space="preserve"> </w:t>
      </w:r>
      <w:r>
        <w:t xml:space="preserve">ao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autoregressivo (Wilcoxon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, IC 95%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012</m:t>
        </m:r>
        <m:r>
          <m:rPr>
            <m:sty m:val="p"/>
          </m:rPr>
          <m:t>;</m:t>
        </m:r>
        <m:r>
          <m:t> 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018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BodyText"/>
      </w:pPr>
      <w:r>
        <w:t xml:space="preserve">A contribuição central é a demonstração empírica, em dados brasileiros, de como a avaliação por janela única pode inverter a conclusão qualitativa de um estudo em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financeiro — transformando um achado aparentemente positivo em um resultado nulo — e a proposição de protocolos mínimos de avaliação para mitigar esse viés.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Predição de preços. Sentimento financeiro. FinBERT. Avaliação metodológica. Séries temporais financeiras. B3.</w:t>
      </w:r>
    </w:p>
    <w:p>
      <w:pPr>
        <w:pStyle w:val="BodyText"/>
      </w:pPr>
      <w:r>
        <w:t xml:space="preserve">english</w:t>
      </w:r>
      <w:r>
        <w:t xml:space="preserve"> </w:t>
      </w:r>
      <w:r>
        <w:t xml:space="preserve">This work investigates whether Brazilian financial news can improve stock price direction prediction for B3 equities, using three large-cap stocks as case studies: ITUB4 (Itaú Unibanco), PETR4 (Petrobras), and VALE3 (Vale). The proposed pipeline collects articles from the InfoMoney portal, extracts sentiment representations via FinBERT-PT-BR — a BERT model fine-tuned on Brazilian Portuguese financial text — and combines the resulting features with Yahoo Finance market data to train binary classifiers (up/down).</w:t>
      </w:r>
    </w:p>
    <w:p>
      <w:pPr>
        <w:pStyle w:val="BodyText"/>
      </w:pPr>
      <w:r>
        <w:t xml:space="preserve">This work documents an uncommon methodological self-correction: under single-window evaluation (70/15/15 walk-forward split), the Transformer model achieves ROC-AUC of 0.709, apparently demonstrating that domain-specific financial sentiment outperforms high-dimensional generic embeddings. However, a systematic investigation comprising over 1,500 model runs — including multi-seed analysis (20 seeds), expanding-window cross-validation (up to 52 folds), Wilcoxon signed-rank tests, bootstrap confidence intervals, and feature ablation — reveals the result to be an artifact: the Transformer exhibits bimodal collapse (AUC ranging from 0.08 to 0.93 depending on seed), and under multi-fold evaluation sentiment adds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over the autoregressive baseline (Wilcoxon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0.49</m:t>
        </m:r>
      </m:oMath>
      <w:r>
        <w:t xml:space="preserve">,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+</m:t>
        </m:r>
        <m:r>
          <m:t>0.018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BodyText"/>
      </w:pPr>
      <w:r>
        <w:t xml:space="preserve">The central contribution is an empirical demonstration, on Brazilian data, of how single-window evaluation can reverse the qualitative conclusion of a financial machine learning study — turning an apparently positive finding into a null result — along with minimal evaluation protocols to mitigate this bias.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Price prediction. Financial sentiment. FinBERT. Methodological evaluation. Financial time series. B3.</w:t>
      </w:r>
    </w:p>
    <w:p>
      <w:pPr>
        <w:pStyle w:val="BodyText"/>
      </w:pPr>
      <w:r>
        <w:rPr>
          <w:i/>
          <w:iCs/>
        </w:rPr>
        <w:t xml:space="preserve">Area Under the ROC Curve</w:t>
      </w:r>
    </w:p>
    <w:p>
      <w:pPr>
        <w:pStyle w:val="BodyText"/>
      </w:pPr>
      <w:r>
        <w:t xml:space="preserve">Brasil, Bolsa, Balcão</w:t>
      </w:r>
    </w:p>
    <w:p>
      <w:pPr>
        <w:pStyle w:val="BodyText"/>
      </w:pPr>
      <w:r>
        <w:rPr>
          <w:i/>
          <w:iCs/>
        </w:rPr>
        <w:t xml:space="preserve">Bidirectional Encoder Representations from Transformers</w:t>
      </w:r>
    </w:p>
    <w:p>
      <w:pPr>
        <w:pStyle w:val="BodyText"/>
      </w:pPr>
      <w:r>
        <w:rPr>
          <w:i/>
          <w:iCs/>
        </w:rPr>
        <w:t xml:space="preserve">Bidirectional Long Short-Term Memory</w:t>
      </w:r>
    </w:p>
    <w:p>
      <w:pPr>
        <w:pStyle w:val="BodyText"/>
      </w:pPr>
      <w:r>
        <w:t xml:space="preserve">Intervalo de Confiança (</w:t>
      </w:r>
      <w:r>
        <w:rPr>
          <w:i/>
          <w:iCs/>
        </w:rPr>
        <w:t xml:space="preserve">Confidence Interval</w:t>
      </w:r>
      <w:r>
        <w:t xml:space="preserve">)</w:t>
      </w:r>
    </w:p>
    <w:p>
      <w:pPr>
        <w:pStyle w:val="BodyText"/>
      </w:pPr>
      <w:r>
        <w:t xml:space="preserve">Validação Cruzada (</w:t>
      </w:r>
      <w:r>
        <w:rPr>
          <w:i/>
          <w:iCs/>
        </w:rPr>
        <w:t xml:space="preserve">Cross-Validation</w:t>
      </w:r>
      <w:r>
        <w:t xml:space="preserve">)</w:t>
      </w:r>
    </w:p>
    <w:p>
      <w:pPr>
        <w:pStyle w:val="BodyText"/>
      </w:pPr>
      <w:r>
        <w:rPr>
          <w:i/>
          <w:iCs/>
        </w:rPr>
        <w:t xml:space="preserve">Expected Calibration Error</w:t>
      </w:r>
    </w:p>
    <w:p>
      <w:pPr>
        <w:pStyle w:val="BodyText"/>
      </w:pPr>
      <w:r>
        <w:rPr>
          <w:i/>
          <w:iCs/>
        </w:rPr>
        <w:t xml:space="preserve">Financial BERT</w:t>
      </w:r>
    </w:p>
    <w:p>
      <w:pPr>
        <w:pStyle w:val="BodyText"/>
      </w:pPr>
      <w:r>
        <w:rPr>
          <w:i/>
          <w:iCs/>
        </w:rPr>
        <w:t xml:space="preserve">Long Short-Term Memory</w:t>
      </w:r>
    </w:p>
    <w:p>
      <w:pPr>
        <w:pStyle w:val="BodyText"/>
      </w:pPr>
      <w:r>
        <w:t xml:space="preserve">Tamanho Mínimo de Efeito Detectável</w:t>
      </w:r>
    </w:p>
    <w:p>
      <w:pPr>
        <w:pStyle w:val="BodyText"/>
      </w:pPr>
      <w:r>
        <w:t xml:space="preserve">Processamento de Linguagem Natural</w:t>
      </w:r>
    </w:p>
    <w:p>
      <w:pPr>
        <w:pStyle w:val="BodyText"/>
      </w:pPr>
      <w:r>
        <w:rPr>
          <w:i/>
          <w:iCs/>
        </w:rPr>
        <w:t xml:space="preserve">Open, High, Low, Close, Volume</w:t>
      </w:r>
    </w:p>
    <w:p>
      <w:pPr>
        <w:pStyle w:val="BodyText"/>
      </w:pPr>
      <w:r>
        <w:t xml:space="preserve">Análise de Componentes Principais</w:t>
      </w:r>
    </w:p>
    <w:p>
      <w:pPr>
        <w:pStyle w:val="BodyText"/>
      </w:pPr>
      <w:r>
        <w:rPr>
          <w:i/>
          <w:iCs/>
        </w:rPr>
        <w:t xml:space="preserve">Receiver Operating Characteristic</w:t>
      </w:r>
    </w:p>
    <w:p>
      <w:pPr>
        <w:pStyle w:val="BodyText"/>
      </w:pPr>
      <w:r>
        <w:rPr>
          <w:i/>
          <w:iCs/>
        </w:rPr>
        <w:t xml:space="preserve">SHapley Additive exPlanations</w:t>
      </w:r>
      <w:r>
        <w:t xml:space="preserve"> </w:t>
      </w:r>
      <w:r>
        <w:t xml:space="preserve">(Lundberg and Lee 2017)</w:t>
      </w:r>
    </w:p>
    <w:p>
      <w:pPr>
        <w:pStyle w:val="BodyText"/>
      </w:pPr>
      <w:r>
        <w:rPr>
          <w:i/>
          <w:iCs/>
        </w:rPr>
        <w:t xml:space="preserve">Temporal Convolutional Network</w:t>
      </w:r>
    </w:p>
    <w:p>
      <w:pPr>
        <w:pStyle w:val="BodyText"/>
      </w:pPr>
      <w:r>
        <w:t xml:space="preserve">XGBoost (</w:t>
      </w:r>
      <w:r>
        <w:rPr>
          <w:i/>
          <w:iCs/>
        </w:rPr>
        <w:t xml:space="preserve">eXtreme Gradient Boosting</w:t>
      </w:r>
      <w:r>
        <w:t xml:space="preserve">)</w:t>
      </w:r>
    </w:p>
    <w:bookmarkStart w:id="15" w:name="cap:introduca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predição de direção de preços de ações é um problema central em finanças quantitativas, situado na interseção entre a hipótese de eficiência de mercado</w:t>
      </w:r>
      <w:r>
        <w:t xml:space="preserve"> </w:t>
      </w:r>
      <w:r>
        <w:t xml:space="preserve">(Fama 1970)</w:t>
      </w:r>
      <w:r>
        <w:t xml:space="preserve"> </w:t>
      </w:r>
      <w:r>
        <w:t xml:space="preserve">e a evidência empírica de previsibilidade parcial em horizontes curtos</w:t>
      </w:r>
      <w:r>
        <w:t xml:space="preserve"> </w:t>
      </w:r>
      <w:r>
        <w:t xml:space="preserve">(Lo 2004)</w:t>
      </w:r>
      <w:r>
        <w:t xml:space="preserve">. Com o avanço das técnicas de processamento de linguagem natural (NLP), uma linha de pesquisa crescente investiga se informações textuais — notícias, relatórios de analistas, publicações em redes sociais — podem ser incorporadas como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preditivas em modelos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para complementar dados tradicionais de preço e volume</w:t>
      </w:r>
      <w:r>
        <w:t xml:space="preserve"> </w:t>
      </w:r>
      <w:r>
        <w:t xml:space="preserve">(Xu and Cohen 2018; Araci 2019)</w:t>
      </w:r>
      <w:r>
        <w:t xml:space="preserve">.</w:t>
      </w:r>
    </w:p>
    <w:p>
      <w:pPr>
        <w:pStyle w:val="BodyText"/>
      </w:pPr>
      <w:r>
        <w:t xml:space="preserve">No contexto brasileiro, a pesquisa nesta área é ainda incipiente. A B3 (Brasil, Bolsa, Balcão) apresenta características que a distinguem de mercados desenvolvidos: menor liquidez em ações fora do índice principal, concentração de informação em poucas fontes jornalísticas especializadas, e um ecossistema de NLP em português que só recentemente passou a dispor de modelos de linguagem específicos para o domínio financeiro, como o FinBERT-PT-BR</w:t>
      </w:r>
      <w:r>
        <w:t xml:space="preserve"> </w:t>
      </w:r>
      <w:r>
        <w:t xml:space="preserve">(Souza et al. 2023)</w:t>
      </w:r>
      <w:r>
        <w:t xml:space="preserve">.</w:t>
      </w:r>
    </w:p>
    <w:bookmarkStart w:id="9" w:name="problema-de-pesquisa"/>
    <w:p>
      <w:pPr>
        <w:pStyle w:val="Heading2"/>
      </w:pPr>
      <w:r>
        <w:t xml:space="preserve">Problema de pesquisa</w:t>
      </w:r>
    </w:p>
    <w:p>
      <w:pPr>
        <w:pStyle w:val="FirstParagraph"/>
      </w:pPr>
      <w:r>
        <w:t xml:space="preserve">O problema central pode ser formulado como:</w:t>
      </w:r>
      <w:r>
        <w:t xml:space="preserve"> </w:t>
      </w:r>
      <w:r>
        <w:rPr>
          <w:b/>
          <w:bCs/>
        </w:rPr>
        <w:t xml:space="preserve">notícias financeiras brasileiras melhoram a predição de direção de preço (sobe/desce) de ações da B3?</w:t>
      </w:r>
      <w:r>
        <w:t xml:space="preserve"> </w:t>
      </w:r>
      <w:r>
        <w:t xml:space="preserve">Esta questão desdobra-se em duas dimensões: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Representação textual:</w:t>
      </w:r>
      <w:r>
        <w:t xml:space="preserve"> </w:t>
      </w:r>
      <w:r>
        <w:t xml:space="preserve">qual forma de codificar o conteúdo de notícias —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de alta dimensionalidade ou sentimento financeiro específico de baixa dimensionalidade — produz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mais informativas para a predição?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Robustez metodológica:</w:t>
      </w:r>
      <w:r>
        <w:t xml:space="preserve"> </w:t>
      </w:r>
      <w:r>
        <w:t xml:space="preserve">os resultados obtidos sob protocolos de avaliação padrão da literatura (</w:t>
      </w:r>
      <w:r>
        <w:rPr>
          <w:i/>
          <w:iCs/>
        </w:rPr>
        <w:t xml:space="preserve">walk-forward split</w:t>
      </w:r>
      <w:r>
        <w:t xml:space="preserve"> </w:t>
      </w:r>
      <w:r>
        <w:t xml:space="preserve">único) sobrevivem a escrutínio com validação cruzada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, múltiplas sementes e testes estatísticos formais?</w:t>
      </w:r>
    </w:p>
    <w:bookmarkEnd w:id="9"/>
    <w:bookmarkStart w:id="12" w:name="objetivos"/>
    <w:p>
      <w:pPr>
        <w:pStyle w:val="Heading2"/>
      </w:pPr>
      <w:r>
        <w:t xml:space="preserve">Objetivos</w:t>
      </w:r>
    </w:p>
    <w:bookmarkStart w:id="10" w:name="objetivo-geral"/>
    <w:p>
      <w:pPr>
        <w:pStyle w:val="Heading3"/>
      </w:pPr>
      <w:r>
        <w:t xml:space="preserve">Objetivo geral</w:t>
      </w:r>
    </w:p>
    <w:p>
      <w:pPr>
        <w:pStyle w:val="FirstParagraph"/>
      </w:pPr>
      <w:r>
        <w:t xml:space="preserve">Investigar empiricamente se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sentimento extraídas de notícias financeiras brasileiras adicionam poder preditivo a modelos de classificação binária de direção de preço de ações da B3, sob avaliação metodologicamente rigorosa.</w:t>
      </w:r>
    </w:p>
    <w:bookmarkEnd w:id="10"/>
    <w:bookmarkStart w:id="11" w:name="objetivos-específicos"/>
    <w:p>
      <w:pPr>
        <w:pStyle w:val="Heading3"/>
      </w:pPr>
      <w:r>
        <w:t xml:space="preserve">Objetivos específicos</w:t>
      </w:r>
    </w:p>
    <w:p>
      <w:pPr>
        <w:numPr>
          <w:ilvl w:val="0"/>
          <w:numId w:val="1002"/>
        </w:numPr>
      </w:pPr>
      <w:r>
        <w:t xml:space="preserve">Construir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coleta, processamento e integração de notícias financeiras do portal InfoMoney com dados de mercado do Yahoo Finance.</w:t>
      </w:r>
    </w:p>
    <w:p>
      <w:pPr>
        <w:numPr>
          <w:ilvl w:val="0"/>
          <w:numId w:val="1002"/>
        </w:numPr>
      </w:pPr>
      <w:r>
        <w:t xml:space="preserve">Comparar duas estratégias de representação textual: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de 1.024 dimensões (Ollama</w:t>
      </w:r>
      <w:r>
        <w:t xml:space="preserve"> </w:t>
      </w:r>
      <w:r>
        <w:rPr>
          <w:rStyle w:val="VerbatimChar"/>
        </w:rPr>
        <w:t xml:space="preserve">qwen3-embedding:4b</w:t>
      </w:r>
      <w:r>
        <w:t xml:space="preserve">) e sentimento financeiro de 5 dimensões (FinBERT-PT-BR).</w:t>
      </w:r>
    </w:p>
    <w:p>
      <w:pPr>
        <w:numPr>
          <w:ilvl w:val="0"/>
          <w:numId w:val="1002"/>
        </w:numPr>
      </w:pPr>
      <w:r>
        <w:t xml:space="preserve">Treinar e avaliar modelos de classificação binária (BiLSTM, Transformer, XGBoost, TCN) sobre as representações textuais combinadas com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preço.</w:t>
      </w:r>
    </w:p>
    <w:p>
      <w:pPr>
        <w:numPr>
          <w:ilvl w:val="0"/>
          <w:numId w:val="1002"/>
        </w:numPr>
      </w:pPr>
      <w:r>
        <w:t xml:space="preserve">Aplicar protocolos de avaliação rigorosa —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CI, análise</w:t>
      </w:r>
      <w:r>
        <w:t xml:space="preserve"> </w:t>
      </w:r>
      <w:r>
        <w:rPr>
          <w:i/>
          <w:iCs/>
        </w:rPr>
        <w:t xml:space="preserve">multi-seed</w:t>
      </w:r>
      <w:r>
        <w:t xml:space="preserve">, validação cruzada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,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— para determinar a robustez dos resultados.</w:t>
      </w:r>
    </w:p>
    <w:p>
      <w:pPr>
        <w:numPr>
          <w:ilvl w:val="0"/>
          <w:numId w:val="1002"/>
        </w:numPr>
      </w:pPr>
      <w:r>
        <w:t xml:space="preserve">Documentar e analisar as discrepâncias entre avaliação por janela única e avaliação multi-fold, contribuindo para a literatura de avaliação metodológica em ML financeiro.</w:t>
      </w:r>
    </w:p>
    <w:bookmarkEnd w:id="11"/>
    <w:bookmarkEnd w:id="12"/>
    <w:bookmarkStart w:id="13" w:name="justificativa"/>
    <w:p>
      <w:pPr>
        <w:pStyle w:val="Heading2"/>
      </w:pPr>
      <w:r>
        <w:t xml:space="preserve">Justificativa</w:t>
      </w:r>
    </w:p>
    <w:p>
      <w:pPr>
        <w:pStyle w:val="FirstParagraph"/>
      </w:pPr>
      <w:r>
        <w:t xml:space="preserve">A relevância deste trabalho reside em três aspectos. Primeiro, a aplicação de NLP financeiro ao mercado brasileiro é pouco explorada, e a disponibilidade recente de modelos como o FinBERT-PT-BR abre oportunidades de investigação em português. Segundo, a literatura de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aplicado a finanças sofre de um problema metodológico amplamente documentado — a avaliação por janela única em séries não-estacionárias</w:t>
      </w:r>
      <w:r>
        <w:t xml:space="preserve"> </w:t>
      </w:r>
      <w:r>
        <w:t xml:space="preserve">(Bailey et al. 2014; López de Prado 2018)</w:t>
      </w:r>
      <w:r>
        <w:t xml:space="preserve"> </w:t>
      </w:r>
      <w:r>
        <w:t xml:space="preserve">— mas raramente demonstrado empiricamente com o grau de detalhe que este trabalho propõe. Terceiro, a autocorreção metodológica documentada nos Capítulos </w:t>
      </w:r>
      <w:hyperlink w:anchor="cap:sentiment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constitui, por si só, uma contribuição pedagógica sobre as armadilhas da avaliação de modelos em finanças.</w:t>
      </w:r>
    </w:p>
    <w:bookmarkEnd w:id="13"/>
    <w:bookmarkStart w:id="14" w:name="estrutura-do-trabalho"/>
    <w:p>
      <w:pPr>
        <w:pStyle w:val="Heading2"/>
      </w:pPr>
      <w:r>
        <w:t xml:space="preserve">Estrutura do trabalho</w:t>
      </w:r>
    </w:p>
    <w:p>
      <w:pPr>
        <w:pStyle w:val="FirstParagraph"/>
      </w:pPr>
      <w:r>
        <w:t xml:space="preserve">O trabalho está organizado em seis capítulos. O Capítulo </w:t>
      </w:r>
      <w:hyperlink w:anchor="cap:revisa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apresenta a fundamentação teórica e a revisão bibliográfica. O Capítulo </w:t>
      </w:r>
      <w:hyperlink w:anchor="cap:pip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descreve 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completo: coleta de notícias, engenharia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e treinamento inicial com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genéricos. O Capítulo </w:t>
      </w:r>
      <w:hyperlink w:anchor="cap:sentiment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introduz o FinBERT-PT-BR e documenta o resultado inicialmente promissor (AUC = 0,709). 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conduz a investigação metodológica que revisa substancialmente esse resultado. O Capítulo </w:t>
      </w:r>
      <w:hyperlink w:anchor="cap:conclusao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sintetiza as conclusões e propõe direções futuras.</w:t>
      </w:r>
    </w:p>
    <w:bookmarkEnd w:id="14"/>
    <w:bookmarkEnd w:id="15"/>
    <w:bookmarkStart w:id="20" w:name="cap:revisao"/>
    <w:p>
      <w:pPr>
        <w:pStyle w:val="Heading1"/>
      </w:pPr>
      <w:r>
        <w:t xml:space="preserve">Revisão Bibliográfica</w:t>
      </w:r>
    </w:p>
    <w:p>
      <w:pPr>
        <w:pStyle w:val="FirstParagraph"/>
      </w:pPr>
      <w:r>
        <w:t xml:space="preserve">Este capítulo apresenta os fundamentos teóricos que sustentam o trabalho: a hipótese de eficiência de mercado e suas implicações para a previsibilidade de preços, o uso de NLP em finanças, e os protocolos de avaliação em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para séries temporais financeiras.</w:t>
      </w:r>
    </w:p>
    <w:bookmarkStart w:id="16" w:name="hipótese-de-eficiência-de-mercado"/>
    <w:p>
      <w:pPr>
        <w:pStyle w:val="Heading2"/>
      </w:pPr>
      <w:r>
        <w:t xml:space="preserve">Hipótese de eficiência de mercado</w:t>
      </w:r>
    </w:p>
    <w:p>
      <w:pPr>
        <w:pStyle w:val="FirstParagraph"/>
      </w:pPr>
      <w:r>
        <w:t xml:space="preserve">A hipótese de eficiência de mercado (HEM), formalizada por , postula que os preços dos ativos refletem toda a informação disponível. Em sua forma semiforte, a HEM implica que informações públicas — incluindo notícias financeiras — já estão incorporadas nos preços no momento de sua publicação, tornando impossível obter retornos sistematicamente superiores com base nessas informações. Trabalhos empíricos subsequentes, contudo, documentaram anomalias que sugerem previsibilidade parcial. propôs a Hipótese de Mercados Adaptativos, na qual a eficiência varia ao longo do tempo conforme as condições de mercado e o comportamento dos agentes.</w:t>
      </w:r>
    </w:p>
    <w:p>
      <w:pPr>
        <w:pStyle w:val="BodyText"/>
      </w:pPr>
      <w:r>
        <w:t xml:space="preserve">A tensão entre eficiência teórica e previsibilidade empírica é o pano de fundo deste trabalho: se os preços já incorporam o sentimento das notícias, nenhum modelo deveria superá-los consistentemente; se não incorporam, há espaço para predição.</w:t>
      </w:r>
    </w:p>
    <w:bookmarkEnd w:id="16"/>
    <w:bookmarkStart w:id="17" w:name="nlp-aplicado-a-finanças"/>
    <w:p>
      <w:pPr>
        <w:pStyle w:val="Heading2"/>
      </w:pPr>
      <w:r>
        <w:t xml:space="preserve">NLP aplicado a finanças</w:t>
      </w:r>
    </w:p>
    <w:p>
      <w:pPr>
        <w:pStyle w:val="FirstParagraph"/>
      </w:pPr>
      <w:r>
        <w:t xml:space="preserve">A aplicação de processamento de linguagem natural à predição de preços passou por três gerações de representação textual. A primeira utilizou léxicos de sentimento construídos manualmente, como o Loughran-McDonald</w:t>
      </w:r>
      <w:r>
        <w:t xml:space="preserve"> </w:t>
      </w:r>
      <w:r>
        <w:t xml:space="preserve">(Loughran and McDonald 2011)</w:t>
      </w:r>
      <w:r>
        <w:t xml:space="preserve">, atribuindo polaridade a palavras individuais. A segunda introduziu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densos baseados em redes neurais, como Word2Vec e GloVe, que capturam relações semânticas mas não são específicos ao domínio financeiro. A terceira geração, atual, utiliza modelos de linguagem pré-treinados e</w:t>
      </w:r>
      <w:r>
        <w:t xml:space="preserve"> </w:t>
      </w:r>
      <w:r>
        <w:rPr>
          <w:i/>
          <w:iCs/>
        </w:rPr>
        <w:t xml:space="preserve">fine-tuned</w:t>
      </w:r>
      <w:r>
        <w:t xml:space="preserve"> </w:t>
      </w:r>
      <w:r>
        <w:t xml:space="preserve">para o domínio, como o FinBERT</w:t>
      </w:r>
      <w:r>
        <w:t xml:space="preserve"> </w:t>
      </w:r>
      <w:r>
        <w:t xml:space="preserve">(Araci 2019)</w:t>
      </w:r>
      <w:r>
        <w:t xml:space="preserve"> </w:t>
      </w:r>
      <w:r>
        <w:t xml:space="preserve">e suas variantes regionais, incluindo o FinBERT-PT-BR para português brasileiro</w:t>
      </w:r>
      <w:r>
        <w:t xml:space="preserve"> </w:t>
      </w:r>
      <w:r>
        <w:t xml:space="preserve">(Souza et al. 2023)</w:t>
      </w:r>
      <w:r>
        <w:t xml:space="preserve">.</w:t>
      </w:r>
    </w:p>
    <w:p>
      <w:pPr>
        <w:pStyle w:val="BodyText"/>
      </w:pPr>
      <w:r>
        <w:t xml:space="preserve">É importante notar que resultados nulos ou negativos são sub-representados na literatura de NLP financeiro devido ao viés de publicação. documentaram que muitos estudos de</w:t>
      </w:r>
      <w:r>
        <w:t xml:space="preserve"> </w:t>
      </w:r>
      <w:r>
        <w:rPr>
          <w:i/>
          <w:iCs/>
        </w:rPr>
        <w:t xml:space="preserve">sentiment analysis</w:t>
      </w:r>
      <w:r>
        <w:t xml:space="preserve"> </w:t>
      </w:r>
      <w:r>
        <w:t xml:space="preserve">para previsão de ações não replicam quando avaliados fora da amostra original. mostraram que a maior parte do poder preditivo de variáveis textuais desaparece quando se controla adequadamente por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preço — resultado alinhado com os achados deste trabalho.</w:t>
      </w:r>
    </w:p>
    <w:p>
      <w:pPr>
        <w:pStyle w:val="BodyText"/>
      </w:pPr>
      <w:r>
        <w:t xml:space="preserve">demonstraram que a combinação de texto de</w:t>
      </w:r>
      <w:r>
        <w:t xml:space="preserve"> </w:t>
      </w:r>
      <w:r>
        <w:rPr>
          <w:i/>
          <w:iCs/>
        </w:rPr>
        <w:t xml:space="preserve">tweets</w:t>
      </w:r>
      <w:r>
        <w:t xml:space="preserve"> </w:t>
      </w:r>
      <w:r>
        <w:t xml:space="preserve">com séries históricas de preço melhora a predição de direção em ações do S&amp;P 500, utilizando um modelo de atenção hierárquico. aplicaram LSTMs (</w:t>
      </w:r>
      <w:r>
        <w:rPr>
          <w:i/>
          <w:iCs/>
        </w:rPr>
        <w:t xml:space="preserve">Long Short-Term Memory</w:t>
      </w:r>
      <w:r>
        <w:t xml:space="preserve">, proposta originalmente por ) à predição de retornos diários de ações do S&amp;P 500, reportando resultados superiores ao</w:t>
      </w:r>
      <w:r>
        <w:t xml:space="preserve"> </w:t>
      </w:r>
      <w:r>
        <w:rPr>
          <w:i/>
          <w:iCs/>
        </w:rPr>
        <w:t xml:space="preserve">buy-and-hold</w:t>
      </w:r>
      <w:r>
        <w:t xml:space="preserve"> </w:t>
      </w:r>
      <w:r>
        <w:t xml:space="preserve">em períodos específicos. No contexto brasileiro, utilizaram análise de sentimento de notícias em português para predição de volatilidade do IBOVESPA, e aplicaram modelos BERT a textos financeiros da CVM.</w:t>
      </w:r>
    </w:p>
    <w:bookmarkEnd w:id="17"/>
    <w:bookmarkStart w:id="18" w:name="arquiteturas-de-modelos"/>
    <w:p>
      <w:pPr>
        <w:pStyle w:val="Heading2"/>
      </w:pPr>
      <w:r>
        <w:t xml:space="preserve">Arquiteturas de modelos</w:t>
      </w:r>
    </w:p>
    <w:p>
      <w:pPr>
        <w:pStyle w:val="FirstParagraph"/>
      </w:pPr>
      <w:r>
        <w:t xml:space="preserve">Este trabalho utiliza quatro famílias de modelos. O BiLSTM</w:t>
      </w:r>
      <w:r>
        <w:t xml:space="preserve"> </w:t>
      </w:r>
      <w:r>
        <w:t xml:space="preserve">(Hochreiter and Schmidhuber 1997)</w:t>
      </w:r>
      <w:r>
        <w:t xml:space="preserve"> </w:t>
      </w:r>
      <w:r>
        <w:t xml:space="preserve">processa sequências temporais bidirecionalmente, capturando dependências de longo prazo. O Transformer</w:t>
      </w:r>
      <w:r>
        <w:t xml:space="preserve"> </w:t>
      </w:r>
      <w:r>
        <w:t xml:space="preserve">(Vaswani et al. 2017)</w:t>
      </w:r>
      <w:r>
        <w:t xml:space="preserve"> </w:t>
      </w:r>
      <w:r>
        <w:t xml:space="preserve">utiliza mecanismos de atenção</w:t>
      </w:r>
      <w:r>
        <w:t xml:space="preserve"> </w:t>
      </w:r>
      <w:r>
        <w:rPr>
          <w:i/>
          <w:iCs/>
        </w:rPr>
        <w:t xml:space="preserve">multi-head</w:t>
      </w:r>
      <w:r>
        <w:t xml:space="preserve"> </w:t>
      </w:r>
      <w:r>
        <w:t xml:space="preserve">que permitem capturar relações entre posições arbitrárias na sequência. O XGBoost</w:t>
      </w:r>
      <w:r>
        <w:t xml:space="preserve"> </w:t>
      </w:r>
      <w:r>
        <w:t xml:space="preserve">(Chen and Guestrin 2016)</w:t>
      </w:r>
      <w:r>
        <w:t xml:space="preserve">, um algoritmo de</w:t>
      </w:r>
      <w:r>
        <w:t xml:space="preserve"> </w:t>
      </w:r>
      <w:r>
        <w:rPr>
          <w:i/>
          <w:iCs/>
        </w:rPr>
        <w:t xml:space="preserve">gradient boosting</w:t>
      </w:r>
      <w:r>
        <w:t xml:space="preserve"> </w:t>
      </w:r>
      <w:r>
        <w:t xml:space="preserve">sobre árvores de decisão, é o padrão de facto para dados tabulares. A TCN (</w:t>
      </w:r>
      <w:r>
        <w:rPr>
          <w:i/>
          <w:iCs/>
        </w:rPr>
        <w:t xml:space="preserve">Temporal Convolutional Network</w:t>
      </w:r>
      <w:r>
        <w:t xml:space="preserve">)</w:t>
      </w:r>
      <w:r>
        <w:t xml:space="preserve"> </w:t>
      </w:r>
      <w:r>
        <w:t xml:space="preserve">(Bai et al. 2018)</w:t>
      </w:r>
      <w:r>
        <w:t xml:space="preserve"> </w:t>
      </w:r>
      <w:r>
        <w:t xml:space="preserve">aplica convoluções dilatadas causais, capturando padrões temporais locais com campo receptivo exponencialmente crescente.</w:t>
      </w:r>
    </w:p>
    <w:bookmarkEnd w:id="18"/>
    <w:bookmarkStart w:id="19" w:name="protocolos-de-avaliação-em-ml-financeiro"/>
    <w:p>
      <w:pPr>
        <w:pStyle w:val="Heading2"/>
      </w:pPr>
      <w:r>
        <w:t xml:space="preserve">Protocolos de avaliação em ML financeiro</w:t>
      </w:r>
    </w:p>
    <w:p>
      <w:pPr>
        <w:pStyle w:val="FirstParagraph"/>
      </w:pPr>
      <w:r>
        <w:t xml:space="preserve">A avaliação de modelos preditivos em séries temporais financeiras apresenta desafios específicos que a distinguem de problemas padrão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demonstraram formalmente que a otimização de estratégias sobre um único período de</w:t>
      </w:r>
      <w:r>
        <w:t xml:space="preserve"> </w:t>
      </w:r>
      <w:r>
        <w:rPr>
          <w:i/>
          <w:iCs/>
        </w:rPr>
        <w:t xml:space="preserve">backtest</w:t>
      </w:r>
      <w:r>
        <w:t xml:space="preserve"> </w:t>
      </w:r>
      <w:r>
        <w:t xml:space="preserve">inevitavelmente infla métricas de desempenho — o fenômeno que denominaram</w:t>
      </w:r>
      <w:r>
        <w:t xml:space="preserve"> </w:t>
      </w:r>
      <w:r>
        <w:rPr>
          <w:i/>
          <w:iCs/>
        </w:rPr>
        <w:t xml:space="preserve">backtest overfitting</w:t>
      </w:r>
      <w:r>
        <w:t xml:space="preserve">. sistematizou o problema, propondo validação cruzada com purga e embargo como padrão mínimo. documentaram o viés de seleção de modelo, mostrando que a avaliação sobre o mesmo conjunto de dados usado para selecionar modelos produz estimativas otimistas mesmo sem vazamento explícito de dados.</w:t>
      </w:r>
    </w:p>
    <w:p>
      <w:pPr>
        <w:pStyle w:val="BodyText"/>
      </w:pPr>
      <w:r>
        <w:t xml:space="preserve">A métrica ROC-AUC, embora amplamente utilizada, deve ser interpretada com cautela em conjuntos de teste pequenos. derivaram o erro-padrão analítico da AUC, permitindo o cálculo de intervalos de confiança e tamanhos mínimos de efeito detectáveis — ferramenta essencial quando os conjuntos de teste têm 60–177 amostras, como neste trabalho.</w:t>
      </w:r>
    </w:p>
    <w:bookmarkEnd w:id="19"/>
    <w:bookmarkEnd w:id="20"/>
    <w:bookmarkStart w:id="26" w:name="cap:pipeline"/>
    <w:p>
      <w:pPr>
        <w:pStyle w:val="Heading1"/>
      </w:pPr>
      <w:r>
        <w:t xml:space="preserve">Pipeline: Coleta, Engenharia de Features e Modelos Iniciais</w:t>
      </w:r>
    </w:p>
    <w:p>
      <w:pPr>
        <w:pStyle w:val="FirstParagraph"/>
      </w:pPr>
      <w:r>
        <w:t xml:space="preserve">Este capítulo descreve as três primeiras etapas do</w:t>
      </w:r>
      <w:r>
        <w:t xml:space="preserve"> </w:t>
      </w:r>
      <w:r>
        <w:rPr>
          <w:i/>
          <w:iCs/>
        </w:rPr>
        <w:t xml:space="preserve">pipeline</w:t>
      </w:r>
      <w:r>
        <w:t xml:space="preserve">: coleta de notícias financeiras, engenharia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(mercado e texto) e treinamento inicial de modelos com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genéricos.</w:t>
      </w:r>
    </w:p>
    <w:bookmarkStart w:id="22" w:name="sec:coleta"/>
    <w:p>
      <w:pPr>
        <w:pStyle w:val="Heading2"/>
      </w:pPr>
      <w:r>
        <w:t xml:space="preserve">Coleta de notícias financeiras</w:t>
      </w:r>
    </w:p>
    <w:p>
      <w:pPr>
        <w:pStyle w:val="FirstParagraph"/>
      </w:pPr>
      <w:r>
        <w:t xml:space="preserve">O corpus textual foi construído a partir do portal InfoMoney, uma das principais fontes de notícias financeiras no Brasil. O módulo</w:t>
      </w:r>
      <w:r>
        <w:t xml:space="preserve"> </w:t>
      </w:r>
      <w:r>
        <w:rPr>
          <w:rStyle w:val="VerbatimChar"/>
        </w:rPr>
        <w:t xml:space="preserve">extractor.py</w:t>
      </w:r>
      <w:r>
        <w:t xml:space="preserve"> </w:t>
      </w:r>
      <w:r>
        <w:t xml:space="preserve">acessa a REST API do WordPress do portal (</w:t>
      </w:r>
      <w:r>
        <w:rPr>
          <w:rStyle w:val="VerbatimChar"/>
        </w:rPr>
        <w:t xml:space="preserve">/wp-json/wp/v2/posts</w:t>
      </w:r>
      <w:r>
        <w:t xml:space="preserve">), realizando buscas paginadas (100 artigos por página) para cada</w:t>
      </w:r>
      <w:r>
        <w:t xml:space="preserve"> </w:t>
      </w:r>
      <w:r>
        <w:rPr>
          <w:i/>
          <w:iCs/>
        </w:rPr>
        <w:t xml:space="preserve">ticker</w:t>
      </w:r>
      <w:r>
        <w:t xml:space="preserve"> </w:t>
      </w:r>
      <w:r>
        <w:t xml:space="preserve">analisado. Cada requisição HTTP possui mecanismo de retentativa: até 3 tentativas com</w:t>
      </w:r>
      <w:r>
        <w:t xml:space="preserve"> </w:t>
      </w:r>
      <w:r>
        <w:rPr>
          <w:i/>
          <w:iCs/>
        </w:rPr>
        <w:t xml:space="preserve">backoff</w:t>
      </w:r>
      <w:r>
        <w:t xml:space="preserve"> </w:t>
      </w:r>
      <w:r>
        <w:t xml:space="preserve">linear (1 s, 2 s), tratando erros de</w:t>
      </w:r>
      <w:r>
        <w:t xml:space="preserve"> </w:t>
      </w:r>
      <w:r>
        <w:rPr>
          <w:i/>
          <w:iCs/>
        </w:rPr>
        <w:t xml:space="preserve">timeout</w:t>
      </w:r>
      <w:r>
        <w:t xml:space="preserve">, conexão e códigos de status 429/5xx. Os artigos passam por pré-processamento (remoção de</w:t>
      </w:r>
      <w:r>
        <w:t xml:space="preserve"> </w:t>
      </w:r>
      <w:r>
        <w:rPr>
          <w:i/>
          <w:iCs/>
        </w:rPr>
        <w:t xml:space="preserve">tags</w:t>
      </w:r>
      <w:r>
        <w:t xml:space="preserve"> </w:t>
      </w:r>
      <w:r>
        <w:t xml:space="preserve">HTML, decodificação de entidades, normalização de</w:t>
      </w:r>
      <w:r>
        <w:t xml:space="preserve"> </w:t>
      </w:r>
      <w:r>
        <w:rPr>
          <w:i/>
          <w:iCs/>
        </w:rPr>
        <w:t xml:space="preserve">whitespace</w:t>
      </w:r>
      <w:r>
        <w:t xml:space="preserve">) e a extração ocorre em paralelo via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.</w:t>
      </w:r>
    </w:p>
    <w:bookmarkStart w:id="21" w:name="tab:artigos"/>
    <w:p>
      <w:pPr>
        <w:pStyle w:val="TableCaption"/>
      </w:pPr>
      <w:r>
        <w:t xml:space="preserve">Volume de artigos coletados por ativo.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olume de artigos coletados por ativ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Artigos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ITUB4 (Itaú Unibanco)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PETR4 (Petrobras)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VALE3 (Vale)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5.872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3" w:name="sec:features"/>
    <w:p>
      <w:pPr>
        <w:pStyle w:val="Heading2"/>
      </w:pPr>
      <w:r>
        <w:t xml:space="preserve">Engenharia de features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yahoo_finance.py</w:t>
      </w:r>
      <w:r>
        <w:t xml:space="preserve"> </w:t>
      </w:r>
      <w:r>
        <w:t xml:space="preserve">obtém dados OHLCV via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e calcula 11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técnicas por dia: fechamento, volume, retorno diário, médias móveis (7 e 21 dias), volatilidade (desvio-padrão 21 dias) e 5 valores defasados. O módulo</w:t>
      </w:r>
      <w:r>
        <w:t xml:space="preserve"> </w:t>
      </w:r>
      <w:r>
        <w:rPr>
          <w:rStyle w:val="VerbatimChar"/>
        </w:rPr>
        <w:t xml:space="preserve">news_embedder.py</w:t>
      </w:r>
      <w:r>
        <w:t xml:space="preserve"> </w:t>
      </w:r>
      <w:r>
        <w:t xml:space="preserve">transforma cada artigo em um vetor de 1.024 dimensões via Ollama (</w:t>
      </w:r>
      <w:r>
        <w:rPr>
          <w:rStyle w:val="VerbatimChar"/>
        </w:rPr>
        <w:t xml:space="preserve">qwen3-embedding:4b</w:t>
      </w:r>
      <w:r>
        <w:t xml:space="preserve">), com agregação diária por média ponderada por recência.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são combinadas via</w:t>
      </w:r>
      <w:r>
        <w:t xml:space="preserve"> </w:t>
      </w:r>
      <w:r>
        <w:rPr>
          <w:i/>
          <w:iCs/>
        </w:rPr>
        <w:t xml:space="preserve">left join</w:t>
      </w:r>
      <w:r>
        <w:t xml:space="preserve"> </w:t>
      </w:r>
      <w:r>
        <w:t xml:space="preserve">por data com</w:t>
      </w:r>
      <w:r>
        <w:t xml:space="preserve"> </w:t>
      </w:r>
      <w:r>
        <w:rPr>
          <w:i/>
          <w:iCs/>
        </w:rPr>
        <w:t xml:space="preserve">forward-fill</w:t>
      </w:r>
      <w:r>
        <w:t xml:space="preserve">. O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resultante contém 1.227 dias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1.035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(11 de preço + 1.024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).</w:t>
      </w:r>
    </w:p>
    <w:bookmarkEnd w:id="23"/>
    <w:bookmarkStart w:id="25" w:name="sec:modelos_iniciais"/>
    <w:p>
      <w:pPr>
        <w:pStyle w:val="Heading2"/>
      </w:pPr>
      <w:r>
        <w:t xml:space="preserve">Modelos iniciais com embeddings genéricos</w:t>
      </w:r>
    </w:p>
    <w:p>
      <w:pPr>
        <w:pStyle w:val="FirstParagraph"/>
      </w:pPr>
      <w:r>
        <w:t xml:space="preserve">O alvo binário é definido como 1 se</w:t>
      </w:r>
      <w:r>
        <w:t xml:space="preserve"> </w:t>
      </w:r>
      <m:oMath>
        <m:r>
          <m:rPr>
            <m:nor/>
            <m:sty m:val="p"/>
          </m:rPr>
          <m:t>Close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rPr>
            <m:nor/>
            <m:sty m:val="p"/>
          </m:rPr>
          <m:t>Close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, com desbalanceamento de 59%</w:t>
      </w:r>
      <w:r>
        <w:t xml:space="preserve"> </w:t>
      </w:r>
      <w:r>
        <w:t xml:space="preserve">“Sobe”</w:t>
      </w:r>
      <w:r>
        <w:t xml:space="preserve"> </w:t>
      </w:r>
      <w:r>
        <w:t xml:space="preserve">/ 41%</w:t>
      </w:r>
      <w:r>
        <w:t xml:space="preserve"> </w:t>
      </w:r>
      <w:r>
        <w:t xml:space="preserve">“Desce”</w:t>
      </w:r>
      <w:r>
        <w:t xml:space="preserve">. Os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são reduzidos para 32 componentes via PCA. A validação segue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cronológico 70/15/15.</w:t>
      </w:r>
    </w:p>
    <w:bookmarkStart w:id="24" w:name="tab:etapa3"/>
    <w:p>
      <w:pPr>
        <w:pStyle w:val="TableCaption"/>
      </w:pPr>
      <w:r>
        <w:t xml:space="preserve">Resultados com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Ollama (Etapa 3).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s com embeddings genéricos Ollama (Etapa 3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Arquitetura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ROC-AUC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camadas, 128</w:t>
            </w:r>
            <w:r>
              <w:t xml:space="preserve"> </w:t>
            </w:r>
            <w:r>
              <w:rPr>
                <w:i/>
                <w:iCs/>
              </w:rPr>
              <w:t xml:space="preserve">hidden</w:t>
            </w:r>
            <w:r>
              <w:t xml:space="preserve">, 30%</w:t>
            </w:r>
            <w:r>
              <w:t xml:space="preserve"> </w:t>
            </w:r>
            <w:r>
              <w:rPr>
                <w:i/>
                <w:iCs/>
              </w:rPr>
              <w:t xml:space="preserve">dropout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Reduzido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camada, 32</w:t>
            </w:r>
            <w:r>
              <w:t xml:space="preserve"> </w:t>
            </w:r>
            <w:r>
              <w:rPr>
                <w:i/>
                <w:iCs/>
              </w:rPr>
              <w:t xml:space="preserve">hidden</w:t>
            </w:r>
            <w:r>
              <w:t xml:space="preserve">, 50%</w:t>
            </w:r>
            <w:r>
              <w:t xml:space="preserve"> </w:t>
            </w:r>
            <w:r>
              <w:rPr>
                <w:i/>
                <w:iCs/>
              </w:rPr>
              <w:t xml:space="preserve">dropout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camadas, 4 cabeças,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árvores, profundidade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0,610</w:t>
            </w:r>
          </w:p>
        </w:tc>
      </w:tr>
    </w:tbl>
    <w:bookmarkEnd w:id="24"/>
    <w:p>
      <w:pPr>
        <w:pStyle w:val="BodyText"/>
      </w:pPr>
      <w:r>
        <w:t xml:space="preserve">Todos os modelos apresentaram desempenho próximo do acaso, sugerindo que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de alta dimensionalidade não são adequados para esta tarefa. O Capítulo </w:t>
      </w:r>
      <w:hyperlink w:anchor="cap:sentiment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testa uma representação alternativa.</w:t>
      </w:r>
    </w:p>
    <w:bookmarkEnd w:id="25"/>
    <w:bookmarkEnd w:id="26"/>
    <w:bookmarkStart w:id="31" w:name="cap:sentimento"/>
    <w:p>
      <w:pPr>
        <w:pStyle w:val="Heading1"/>
      </w:pPr>
      <w:r>
        <w:t xml:space="preserve">Sentimento Financeiro Específico via FinBERT-PT-BR</w:t>
      </w:r>
    </w:p>
    <w:bookmarkStart w:id="27" w:name="hipótese"/>
    <w:p>
      <w:pPr>
        <w:pStyle w:val="Heading2"/>
      </w:pPr>
      <w:r>
        <w:t xml:space="preserve">Hipótese</w:t>
      </w:r>
    </w:p>
    <w:p>
      <w:pPr>
        <w:pStyle w:val="FirstParagraph"/>
      </w:pPr>
      <w:r>
        <w:t xml:space="preserve">Os resultados do Capítulo </w:t>
      </w:r>
      <w:hyperlink w:anchor="cap:pip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sugeriram que os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genéricos contêm ruído semântico irrelevante para o domínio financeiro. Este capítulo testa se uma representação compacta e específica — 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sentimento financeiro extraídas com o FinBERT-PT-BR</w:t>
      </w:r>
      <w:r>
        <w:t xml:space="preserve"> </w:t>
      </w:r>
      <w:r>
        <w:t xml:space="preserve">(Souza et al. 2023)</w:t>
      </w:r>
      <w:r>
        <w:t xml:space="preserve"> </w:t>
      </w:r>
      <w:r>
        <w:t xml:space="preserve">— pode ser mais informativa.</w:t>
      </w:r>
    </w:p>
    <w:bookmarkEnd w:id="27"/>
    <w:bookmarkStart w:id="28" w:name="o-modelo-finbert-pt-br"/>
    <w:p>
      <w:pPr>
        <w:pStyle w:val="Heading2"/>
      </w:pPr>
      <w:r>
        <w:t xml:space="preserve">O modelo FinBERT-PT-BR</w:t>
      </w:r>
    </w:p>
    <w:p>
      <w:pPr>
        <w:pStyle w:val="FirstParagraph"/>
      </w:pPr>
      <w:r>
        <w:t xml:space="preserve">O FinBERT-PT-BR é um modelo BERT</w:t>
      </w:r>
      <w:r>
        <w:t xml:space="preserve"> </w:t>
      </w:r>
      <w:r>
        <w:t xml:space="preserve">(Devlin et al. 2019)</w:t>
      </w:r>
      <w:r>
        <w:t xml:space="preserve"> </w:t>
      </w:r>
      <w:r>
        <w:t xml:space="preserve">pré-treinado e</w:t>
      </w:r>
      <w:r>
        <w:t xml:space="preserve"> </w:t>
      </w:r>
      <w:r>
        <w:rPr>
          <w:i/>
          <w:iCs/>
        </w:rPr>
        <w:t xml:space="preserve">fine-tuned</w:t>
      </w:r>
      <w:r>
        <w:t xml:space="preserve"> </w:t>
      </w:r>
      <w:r>
        <w:t xml:space="preserve">em corpora financeiros brasileiros. Para cada artigo, produz três</w:t>
      </w:r>
      <w:r>
        <w:t xml:space="preserve"> </w:t>
      </w:r>
      <w:r>
        <w:rPr>
          <w:i/>
          <w:iCs/>
        </w:rPr>
        <w:t xml:space="preserve">logits</w:t>
      </w:r>
      <w:r>
        <w:t xml:space="preserve"> </w:t>
      </w:r>
      <w:r>
        <w:t xml:space="preserve">correspondentes às classes POSITIVO, NEGATIVO e NEUTRO. Diferentemente de modelos de sentimento genéricos, foi calibrado para vocabulário financeiro específico.</w:t>
      </w:r>
    </w:p>
    <w:bookmarkEnd w:id="28"/>
    <w:bookmarkStart w:id="30" w:name="pipeline-de-extração-e-resultados"/>
    <w:p>
      <w:pPr>
        <w:pStyle w:val="Heading2"/>
      </w:pPr>
      <w:r>
        <w:t xml:space="preserve">Pipeline de extração e resultados</w:t>
      </w:r>
    </w:p>
    <w:p>
      <w:pPr>
        <w:pStyle w:val="FirstParagraph"/>
      </w:pPr>
      <w:r>
        <w:t xml:space="preserve">A extração segue os passos: inferência em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(32 artigos, entrada</w:t>
      </w:r>
      <w:r>
        <w:t xml:space="preserve"> </w:t>
      </w:r>
      <w:r>
        <w:rPr>
          <w:rStyle w:val="VerbatimChar"/>
        </w:rPr>
        <w:t xml:space="preserve">título + resumo</w:t>
      </w:r>
      <w:r>
        <w:t xml:space="preserve">, 512</w:t>
      </w:r>
      <w:r>
        <w:t xml:space="preserve"> </w:t>
      </w:r>
      <w:r>
        <w:rPr>
          <w:i/>
          <w:iCs/>
        </w:rPr>
        <w:t xml:space="preserve">tokens</w:t>
      </w:r>
      <w:r>
        <w:t xml:space="preserve">); persistência dos</w:t>
      </w:r>
      <w:r>
        <w:t xml:space="preserve"> </w:t>
      </w:r>
      <w:r>
        <w:rPr>
          <w:i/>
          <w:iCs/>
        </w:rPr>
        <w:t xml:space="preserve">logits</w:t>
      </w:r>
      <w:r>
        <w:t xml:space="preserve"> </w:t>
      </w:r>
      <w:r>
        <w:t xml:space="preserve">brutos; agregação diária em 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n_articles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mean_logit_pos/neg/neu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mean_sentiment</w:t>
      </w:r>
      <w:r>
        <w:t xml:space="preserve">); junção temporal com</w:t>
      </w:r>
      <w:r>
        <w:t xml:space="preserve"> </w:t>
      </w:r>
      <w:r>
        <w:rPr>
          <w:i/>
          <w:iCs/>
        </w:rPr>
        <w:t xml:space="preserve">forward-fill</w:t>
      </w:r>
      <w:r>
        <w:t xml:space="preserve">. O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resultante: 1.207 dias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16</w:t>
      </w:r>
      <w:r>
        <w:t xml:space="preserve"> </w:t>
      </w:r>
      <w:r>
        <w:rPr>
          <w:i/>
          <w:iCs/>
        </w:rPr>
        <w:t xml:space="preserve">features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Granularidade temporal e risco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look-ahead</w:t>
      </w:r>
      <w:r>
        <w:rPr>
          <w:b/>
          <w:bCs/>
        </w:rPr>
        <w:t xml:space="preserve">.</w:t>
      </w:r>
      <w:r>
        <w:t xml:space="preserve"> </w:t>
      </w:r>
      <w:r>
        <w:t xml:space="preserve">Os artigos possuem</w:t>
      </w:r>
      <w:r>
        <w:t xml:space="preserve"> </w:t>
      </w:r>
      <w:r>
        <w:rPr>
          <w:i/>
          <w:iCs/>
        </w:rPr>
        <w:t xml:space="preserve">timestamps</w:t>
      </w:r>
      <w:r>
        <w:t xml:space="preserve"> </w:t>
      </w:r>
      <w:r>
        <w:t xml:space="preserve">ISO 8601, mas a agregação descarta o horário. Artigos pós-fechamento da B3 (</w:t>
      </w:r>
      <m:oMath>
        <m:r>
          <m:rPr>
            <m:sty m:val="p"/>
          </m:rPr>
          <m:t>∼</m:t>
        </m:r>
      </m:oMath>
      <w:r>
        <w:t xml:space="preserve">17h BRT) são atribuídos ao dia</w:t>
      </w:r>
      <w:r>
        <w:t xml:space="preserve"> </w:t>
      </w:r>
      <m:oMath>
        <m:r>
          <m:t>t</m:t>
        </m:r>
      </m:oMath>
      <w:r>
        <w:t xml:space="preserve">; o deslocamento pode exceder 1 dia em dias consecutivos sem publicação. O impacto é atenuado pelo horizonte de 5–21 dias e pela média diária.</w:t>
      </w:r>
    </w:p>
    <w:p>
      <w:pPr>
        <w:pStyle w:val="BodyText"/>
      </w:pPr>
      <w:r>
        <w:rPr>
          <w:b/>
          <w:bCs/>
        </w:rPr>
        <w:t xml:space="preserve">Tratamento de desbalanceamento de classe.</w:t>
      </w:r>
      <w:r>
        <w:t xml:space="preserve"> </w:t>
      </w:r>
      <w:r>
        <w:t xml:space="preserve">O alvo binário apresenta desbalanceamento de 59%</w:t>
      </w:r>
      <w:r>
        <w:t xml:space="preserve"> </w:t>
      </w:r>
      <w:r>
        <w:t xml:space="preserve">“Sobe”</w:t>
      </w:r>
      <w:r>
        <w:t xml:space="preserve"> </w:t>
      </w:r>
      <w:r>
        <w:t xml:space="preserve">/ 41%</w:t>
      </w:r>
      <w:r>
        <w:t xml:space="preserve"> </w:t>
      </w:r>
      <w:r>
        <w:t xml:space="preserve">“Desce”</w:t>
      </w:r>
      <w:r>
        <w:t xml:space="preserve"> </w:t>
      </w:r>
      <w:r>
        <w:t xml:space="preserve">no conjunto de treino. Para mitigar o viés em direção à classe majoritária, todos os modelos recebem compensação explícita: os modelos neurais (BiLSTM, Transformer, TCN) utilizam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desce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sobe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38</m:t>
        </m:r>
      </m:oMath>
      <w:r>
        <w:t xml:space="preserve">; o XGBoost utiliza o parâmetro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com o mesmo valor; e os modelos</w:t>
      </w:r>
      <w:r>
        <w:t xml:space="preserve"> </w:t>
      </w:r>
      <w:r>
        <w:rPr>
          <w:i/>
          <w:iCs/>
        </w:rPr>
        <w:t xml:space="preserve">sklearn</w:t>
      </w:r>
      <w:r>
        <w:t xml:space="preserve"> </w:t>
      </w:r>
      <w:r>
        <w:t xml:space="preserve">(Logistic Regression, Random Forest) utilizam</w:t>
      </w:r>
      <w:r>
        <w:t xml:space="preserve"> </w:t>
      </w:r>
      <w:r>
        <w:rPr>
          <w:rStyle w:val="VerbatimChar"/>
        </w:rPr>
        <w:t xml:space="preserve">class_weight=‘‘balanced’’</w:t>
      </w:r>
      <w:r>
        <w:t xml:space="preserve">. Apesar desta compensação, o Transformer ainda exibe forte viés para a classe majoritária (prevendo</w:t>
      </w:r>
      <w:r>
        <w:t xml:space="preserve"> </w:t>
      </w:r>
      <w:r>
        <w:t xml:space="preserve">“Desce”</w:t>
      </w:r>
      <w:r>
        <w:t xml:space="preserve"> </w:t>
      </w:r>
      <w:r>
        <w:t xml:space="preserve">apenas 11 vezes em 177 amostras), indicando que o desbalanceamento é um fator contribuinte mas não a causa principal do colapso de predição documentado no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29" w:name="tab:etapa4"/>
    <w:p>
      <w:pPr>
        <w:pStyle w:val="TableCaption"/>
      </w:pPr>
      <w:r>
        <w:t xml:space="preserve">Comparação Etapa 3 (</w:t>
      </w:r>
      <w:r>
        <w:rPr>
          <w:i/>
          <w:iCs/>
        </w:rPr>
        <w:t xml:space="preserve">embeddings</w:t>
      </w:r>
      <w:r>
        <w:t xml:space="preserve">) vs Etapa 4 (sentimento FinBERT).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ção Etapa 3 (embeddings) vs Etapa 4 (sentimento FinBERT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AUC Etapa 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AUC Etapa 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+0,057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Reduzido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Transformer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0,709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+0,141</w:t>
            </w:r>
          </w:p>
        </w:tc>
      </w:tr>
    </w:tbl>
    <w:bookmarkEnd w:id="29"/>
    <w:p>
      <w:pPr>
        <w:pStyle w:val="BodyText"/>
      </w:pPr>
      <w:r>
        <w:t xml:space="preserve">(Nota: estes valores são pontuais, sem intervalos de confiança — esta omissão é uma das motivações para a investigação do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.)</w:t>
      </w:r>
    </w:p>
    <w:p>
      <w:pPr>
        <w:pStyle w:val="BodyText"/>
      </w:pPr>
      <w:r>
        <w:t xml:space="preserve">O Transformer atinge ROC-AUC = 0,709 (acurácia 76,3%, 177 amostras). Porém,</w:t>
      </w:r>
      <w:r>
        <w:t xml:space="preserve"> </w:t>
      </w:r>
      <w:r>
        <w:rPr>
          <w:i/>
          <w:iCs/>
        </w:rPr>
        <w:t xml:space="preserve">precision</w:t>
      </w:r>
      <w:r>
        <w:t xml:space="preserve">(Desce) = 1,00 com</w:t>
      </w:r>
      <w:r>
        <w:t xml:space="preserve"> </w:t>
      </w:r>
      <w:r>
        <w:rPr>
          <w:i/>
          <w:iCs/>
        </w:rPr>
        <w:t xml:space="preserve">recall</w:t>
      </w:r>
      <w:r>
        <w:t xml:space="preserve">(Desce) = 0,20 — o modelo prevê</w:t>
      </w:r>
      <w:r>
        <w:t xml:space="preserve"> </w:t>
      </w:r>
      <w:r>
        <w:t xml:space="preserve">“Desce”</w:t>
      </w:r>
      <w:r>
        <w:t xml:space="preserve"> </w:t>
      </w:r>
      <w:r>
        <w:t xml:space="preserve">apenas 11 vezes em 177 amostras. Três observações motivam a investigação do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: (1) matriz de confusão assimétrica; (2) acurácia próxima da classe majoritária (</w:t>
      </w:r>
      <m:oMath>
        <m:r>
          <m:rPr>
            <m:sty m:val="p"/>
          </m:rPr>
          <m:t>∼</m:t>
        </m:r>
      </m:oMath>
      <w:r>
        <w:t xml:space="preserve">69%); (3) ausência de intervalos de confiança e múltiplas sementes.</w:t>
      </w:r>
    </w:p>
    <w:bookmarkEnd w:id="30"/>
    <w:bookmarkEnd w:id="31"/>
    <w:bookmarkStart w:id="64" w:name="cap:investigacao"/>
    <w:p>
      <w:pPr>
        <w:pStyle w:val="Heading1"/>
      </w:pPr>
      <w:r>
        <w:t xml:space="preserve">Investigação Metodológica e o Viés da Avaliação por Janela Única</w:t>
      </w:r>
    </w:p>
    <w:bookmarkStart w:id="33" w:name="motivação-e-protocolo-geral"/>
    <w:p>
      <w:pPr>
        <w:pStyle w:val="Heading2"/>
      </w:pPr>
      <w:r>
        <w:t xml:space="preserve">Motivação e protocolo geral</w:t>
      </w:r>
    </w:p>
    <w:p>
      <w:pPr>
        <w:pStyle w:val="FirstParagraph"/>
      </w:pPr>
      <w:r>
        <w:t xml:space="preserve">Este capítulo aplica protocolos progressivamente mais rigorosos para determinar se o AUC = 0,709 sobrevive a escrutínio metodológico. A Tabela </w:t>
      </w:r>
      <w:hyperlink w:anchor="tab:experimento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sumariza os 13 experimentos realizados (mais de 1.500 treinamentos).</w:t>
      </w:r>
    </w:p>
    <w:bookmarkStart w:id="32" w:name="tab:experimentos"/>
    <w:p>
      <w:pPr>
        <w:pStyle w:val="TableCaption"/>
      </w:pPr>
      <w:r>
        <w:t xml:space="preserve">Experimentos do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os do Capítulo 5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Notebook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autoregressivo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dumb_baseline.ipynb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 ingênuos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naive_baselines.ipynb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dimensionalidade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dimensionality_control.ipynb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CI (Etapa 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bootstrap_stage4.ipynb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em ITUB4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multi_seed.ipynb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multi-ticker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multi_seed_multi_ticker.ipynb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+ backtest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ensemble_backtest.ipynb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Expanding-window 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expanding_window_cv.ipynb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Varredura de horizontes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horizon_sweep.ipynb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VALE3</w:t>
            </w:r>
            <w:r>
              <w:t xml:space="preserve"> </w:t>
            </w:r>
            <w:r>
              <w:rPr>
                <w:i/>
                <w:iCs/>
              </w:rPr>
              <w:t xml:space="preserve">deep-dive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vale3_deepdive.ipynb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PRICE/SENT/PRICE+SENT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ablation_price_vs_sentiment.ipynb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 estatístico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power_analysis.ipynb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TCN Stage 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tcn_validation.ipynb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b/>
                <w:bCs/>
              </w:rPr>
              <w:t xml:space="preserve">1.510</w:t>
            </w:r>
          </w:p>
        </w:tc>
      </w:tr>
    </w:tbl>
    <w:bookmarkEnd w:id="32"/>
    <w:p>
      <w:pPr>
        <w:pStyle w:val="BodyText"/>
      </w:pPr>
      <w:r>
        <w:t xml:space="preserve">Todos os hiperparâmetros dos modelos foram fixados ao longo dos experimentos, sem otimização por</w:t>
      </w:r>
      <w:r>
        <w:t xml:space="preserve"> </w:t>
      </w:r>
      <w:r>
        <w:rPr>
          <w:i/>
          <w:iCs/>
        </w:rPr>
        <w:t xml:space="preserve">fold</w:t>
      </w:r>
      <w:r>
        <w:t xml:space="preserve">: XGBoost (300 árvores, profundidade 4,</w:t>
      </w:r>
      <w:r>
        <w:t xml:space="preserve"> </w:t>
      </w:r>
      <w:r>
        <w:rPr>
          <w:i/>
          <w:iCs/>
        </w:rPr>
        <w:t xml:space="preserve">learning rate</w:t>
      </w:r>
      <w:r>
        <w:t xml:space="preserve"> </w:t>
      </w:r>
      <w:r>
        <w:t xml:space="preserve">0,05); Transformer (2 camadas, 4 cabeças,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dropout</w:t>
      </w:r>
      <w:r>
        <w:t xml:space="preserve"> </w:t>
      </w:r>
      <w:r>
        <w:t xml:space="preserve">0,2, 200 épocas com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por perda de validação, paciência 10); TCN ([32,32],</w:t>
      </w:r>
      <w:r>
        <w:t xml:space="preserve"> </w:t>
      </w:r>
      <w:r>
        <w:rPr>
          <w:i/>
          <w:iCs/>
        </w:rPr>
        <w:t xml:space="preserve">kernel size</w:t>
      </w:r>
      <w:r>
        <w:t xml:space="preserve"> </w:t>
      </w:r>
      <w:r>
        <w:t xml:space="preserve">3,</w:t>
      </w:r>
      <w:r>
        <w:t xml:space="preserve"> </w:t>
      </w:r>
      <w:r>
        <w:rPr>
          <w:i/>
          <w:iCs/>
        </w:rPr>
        <w:t xml:space="preserve">dropout</w:t>
      </w:r>
      <w:r>
        <w:t xml:space="preserve"> </w:t>
      </w:r>
      <w:r>
        <w:t xml:space="preserve">0,2). A decisão de não otimizar hiperparâmetros por</w:t>
      </w:r>
      <w:r>
        <w:t xml:space="preserve"> </w:t>
      </w:r>
      <w:r>
        <w:rPr>
          <w:i/>
          <w:iCs/>
        </w:rPr>
        <w:t xml:space="preserve">fold</w:t>
      </w:r>
      <w:r>
        <w:t xml:space="preserve"> </w:t>
      </w:r>
      <w:r>
        <w:t xml:space="preserve">foi deliberada: o objetivo não era maximizar desempenho, mas medir a robustez do resultado original sob variação de janela e semente.</w:t>
      </w:r>
    </w:p>
    <w:p>
      <w:pPr>
        <w:pStyle w:val="BodyText"/>
      </w:pPr>
      <w:r>
        <w:rPr>
          <w:b/>
          <w:bCs/>
        </w:rPr>
        <w:t xml:space="preserve">Respostas a questões metodológicas.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nos modelos neurais é baseado na perda de validação (não no AUC), com paciência de 10 épocas — o colapso bimodal não é um artefato de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, pois ocorre independentemente do critério de parada. Os</w:t>
      </w:r>
      <w:r>
        <w:t xml:space="preserve"> </w:t>
      </w:r>
      <w:r>
        <w:rPr>
          <w:i/>
          <w:iCs/>
        </w:rPr>
        <w:t xml:space="preserve">folds</w:t>
      </w:r>
      <w:r>
        <w:t xml:space="preserve"> </w:t>
      </w:r>
      <w:r>
        <w:t xml:space="preserve">da CV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utilizam passo de 90 dias com janelas de teste de 90 dias, resultando em sobreposição parcial entre janelas de teste consecutivas; embora isto viole a independência estrita exigida pelo teste de Wilcoxon, o efeito é conservador (infla correlação, não produz significância espúria em resultados nulos). As 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sentimento FinBERT são normalizadas via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fitado exclusivamente no conjunto de treino de cada</w:t>
      </w:r>
      <w:r>
        <w:t xml:space="preserve"> </w:t>
      </w:r>
      <w:r>
        <w:rPr>
          <w:i/>
          <w:iCs/>
        </w:rPr>
        <w:t xml:space="preserve">fold</w:t>
      </w:r>
      <w:r>
        <w:t xml:space="preserve">. Por fim, a conclusão nula deve ser qualificada: dado o MDE de 0,132–0,221, efeitos reais menores que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AUC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seriam indetectáveis neste desenho experimental — o resultado é portanto</w:t>
      </w:r>
      <w:r>
        <w:t xml:space="preserve"> </w:t>
      </w:r>
      <w:r>
        <w:t xml:space="preserve">“nenhum efeito detectável neste tamanho amostral”</w:t>
      </w:r>
      <w:r>
        <w:t xml:space="preserve">, não</w:t>
      </w:r>
      <w:r>
        <w:t xml:space="preserve"> </w:t>
      </w:r>
      <w:r>
        <w:t xml:space="preserve">“nenhum efeito”</w:t>
      </w:r>
      <w:r>
        <w:t xml:space="preserve">.</w:t>
      </w:r>
    </w:p>
    <w:bookmarkEnd w:id="33"/>
    <w:bookmarkStart w:id="35" w:name="X734c521ffa716b51d579fb68eb8f251232e7a71"/>
    <w:p>
      <w:pPr>
        <w:pStyle w:val="Heading2"/>
      </w:pPr>
      <w:r>
        <w:t xml:space="preserve">Baseline autoregressivo e baselines ingênuos</w:t>
      </w:r>
    </w:p>
    <w:p>
      <w:pPr>
        <w:pStyle w:val="FirstParagraph"/>
      </w:pPr>
      <w:r>
        <w:t xml:space="preserve">Um XGBoost</w:t>
      </w:r>
      <w:r>
        <w:t xml:space="preserve"> </w:t>
      </w:r>
      <w:r>
        <w:t xml:space="preserve">(Chen and Guestrin 2016)</w:t>
      </w:r>
      <w:r>
        <w:t xml:space="preserve"> </w:t>
      </w:r>
      <w:r>
        <w:t xml:space="preserve">treinado em 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preço (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lag_1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lag_5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std21</w:t>
      </w:r>
      <w:r>
        <w:t xml:space="preserve">) atinge AUC = 0,658 [0,565; 0,744]. Para contextualizar, três preditores ingênuos foram avaliados:</w:t>
      </w:r>
    </w:p>
    <w:bookmarkStart w:id="34" w:name="tab:naive"/>
    <w:p>
      <w:pPr>
        <w:pStyle w:val="TableCaption"/>
      </w:pPr>
      <w:r>
        <w:t xml:space="preserve">Hierarquia de</w:t>
      </w:r>
      <w:r>
        <w:t xml:space="preserve"> </w:t>
      </w:r>
      <w:r>
        <w:rPr>
          <w:i/>
          <w:iCs/>
        </w:rPr>
        <w:t xml:space="preserve">baselines</w:t>
      </w:r>
      <w:r>
        <w:t xml:space="preserve">: do ingênuo ao autoregressivo.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ierarquia de baselines: do ingênuo ao autoregressiv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AUC [IC 95%]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majoritária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prevê</w:t>
            </w:r>
            <w:r>
              <w:t xml:space="preserve"> </w:t>
            </w:r>
            <w:r>
              <w:t xml:space="preserve">“Sobe”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 [0,500; 0,500]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Coin flip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Sobe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prior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0,500 [0,500; 0,500]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Direção repete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0,474 [0,405; 0,543]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Autoregressivo (XGB)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features preço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0,658 [0,565; 0,744]</w:t>
            </w:r>
          </w:p>
        </w:tc>
      </w:tr>
    </w:tbl>
    <w:bookmarkEnd w:id="34"/>
    <w:p>
      <w:pPr>
        <w:pStyle w:val="BodyText"/>
      </w:pPr>
      <w:r>
        <w:t xml:space="preserve">O controle de dimensionalidade (20 subconjuntos aleatórios de 5 dimensões Ollama) produz AUC médio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057</m:t>
        </m:r>
      </m:oMath>
      <w:r>
        <w:t xml:space="preserve">, confirmando que a melhoria Etapa 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Etapa 4 reflete especificidade de domínio do FinBERT.</w:t>
      </w:r>
    </w:p>
    <w:bookmarkEnd w:id="35"/>
    <w:bookmarkStart w:id="41" w:name="reprodutibilidade-e-variância-de-semente"/>
    <w:p>
      <w:pPr>
        <w:pStyle w:val="Heading2"/>
      </w:pPr>
      <w:r>
        <w:t xml:space="preserve">Reprodutibilidade e variância de semente</w:t>
      </w:r>
    </w:p>
    <w:p>
      <w:pPr>
        <w:pStyle w:val="FirstParagraph"/>
      </w:pPr>
      <w:r>
        <w:t xml:space="preserve">Sob recompilação com semente 42, o Transformer atinge AUC = 0,442 — diferença de 0,267 pontos (</w:t>
      </w:r>
      <m:oMath>
        <m:r>
          <m:t>22</m:t>
        </m:r>
        <m:r>
          <m:rPr>
            <m:sty m:val="p"/>
          </m:rPr>
          <m:t>×</m:t>
        </m:r>
      </m:oMath>
      <w:r>
        <w:t xml:space="preserve"> </w:t>
      </w:r>
      <w:r>
        <w:t xml:space="preserve">o desvio-padrão do</w:t>
      </w:r>
      <w:r>
        <w:t xml:space="preserve"> </w:t>
      </w:r>
      <w:r>
        <w:rPr>
          <w:i/>
          <w:iCs/>
        </w:rPr>
        <w:t xml:space="preserve">baseline</w:t>
      </w:r>
      <w:r>
        <w:t xml:space="preserve">). Sob 20 sementes (Tabela </w:t>
      </w:r>
      <w:hyperlink w:anchor="tab:multiseed">
        <w:r>
          <w:rPr>
            <w:rStyle w:val="Hyperlink"/>
          </w:rPr>
          <w:t xml:space="preserve">5.3</w:t>
        </w:r>
      </w:hyperlink>
      <w:r>
        <w:t xml:space="preserve">), o Transformer exibe distribuição bimodal (Figura </w:t>
      </w:r>
      <w:hyperlink w:anchor="fig:multiseed">
        <w:r>
          <w:rPr>
            <w:rStyle w:val="Hyperlink"/>
          </w:rPr>
          <w:t xml:space="preserve">5.1</w:t>
        </w:r>
      </w:hyperlink>
      <w:r>
        <w:t xml:space="preserve">).</w:t>
      </w:r>
    </w:p>
    <w:bookmarkStart w:id="36" w:name="tab:multiseed"/>
    <w:p>
      <w:pPr>
        <w:pStyle w:val="TableCaption"/>
      </w:pPr>
      <w:r>
        <w:t xml:space="preserve">Distribuição de AUC sobre 20 sementes (ITUB4, janela única).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ição de AUC sobre 20 sementes (ITUB4, janela única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 + FinBERT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autoregressivo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0,660</w:t>
            </w:r>
          </w:p>
        </w:tc>
      </w:tr>
    </w:tbl>
    <w:bookmarkEnd w:id="36"/>
    <w:bookmarkStart w:id="40" w:name="fig:multiseed"/>
    <w:p>
      <w:pPr>
        <w:pStyle w:val="CaptionedFigure"/>
      </w:pPr>
      <w:r>
        <w:drawing>
          <wp:inline>
            <wp:extent cx="5067300" cy="165954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ulti_seed_histogram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5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AUC sobre 20 sementes em ITUB4. O Transformer (esquerda) exibe distribuição bimodal com AUCs agrupados próximos de 0 e 1, enquanto 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(direita) é estável em torno de 0,64. Coeficiente de variação do Transformer: 38%.</w:t>
      </w:r>
    </w:p>
    <w:bookmarkEnd w:id="40"/>
    <w:bookmarkEnd w:id="41"/>
    <w:bookmarkStart w:id="51" w:name="expanding-window-cross-validation"/>
    <w:p>
      <w:pPr>
        <w:pStyle w:val="Heading2"/>
      </w:pPr>
      <w:r>
        <w:t xml:space="preserve">Expanding-window cross-validation</w:t>
      </w:r>
    </w:p>
    <w:p>
      <w:pPr>
        <w:pStyle w:val="FirstParagraph"/>
      </w:pPr>
      <w:r>
        <w:t xml:space="preserve">Substituindo o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único por CV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(600 dias mínimo, validação/teste 90 dias, 5</w:t>
      </w:r>
      <w:r>
        <w:t xml:space="preserve"> </w:t>
      </w:r>
      <w:r>
        <w:rPr>
          <w:i/>
          <w:iCs/>
        </w:rPr>
        <w:t xml:space="preserve">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sementes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ativos = 145 treinamentos):</w:t>
      </w:r>
    </w:p>
    <w:bookmarkStart w:id="42" w:name="tab:expandingcv"/>
    <w:p>
      <w:pPr>
        <w:pStyle w:val="TableCaption"/>
      </w:pPr>
      <w:r>
        <w:t xml:space="preserve">AUC médio sob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CV.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C médio sob expanding-window CV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Baseline XGB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Transformer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ITUB4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0,702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+0,036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0,158</w:t>
            </w:r>
          </w:p>
        </w:tc>
      </w:tr>
    </w:tbl>
    <w:bookmarkEnd w:id="42"/>
    <w:bookmarkStart w:id="46" w:name="fig:expandingcv"/>
    <w:p>
      <w:pPr>
        <w:pStyle w:val="CaptionedFigure"/>
      </w:pPr>
      <w:r>
        <w:drawing>
          <wp:inline>
            <wp:extent cx="5067300" cy="131968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expanding_cv_overtim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1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AUC por</w:t>
      </w:r>
      <w:r>
        <w:t xml:space="preserve"> </w:t>
      </w:r>
      <w:r>
        <w:rPr>
          <w:i/>
          <w:iCs/>
        </w:rPr>
        <w:t xml:space="preserve">fold</w:t>
      </w:r>
      <w:r>
        <w:t xml:space="preserve"> </w:t>
      </w:r>
      <w:r>
        <w:t xml:space="preserve">ao longo do tempo sob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CV, para os 3 ativos. A linha do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(vermelho) permanece consistentemente acima do Transformer (azul) em ITUB4 e PETR4, com barras de erro menores.</w:t>
      </w:r>
    </w:p>
    <w:bookmarkEnd w:id="46"/>
    <w:p>
      <w:pPr>
        <w:pStyle w:val="BodyText"/>
      </w:pPr>
      <w:r>
        <w:t xml:space="preserve">A inversão é de grande magnitude (</w:t>
      </w:r>
      <m:oMath>
        <m:r>
          <m:t>d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25</m:t>
        </m:r>
      </m:oMath>
      <w:r>
        <w:t xml:space="preserve">, calculado como a diferença média de AUC entre modelos dividida pelo desvio-padrão do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ao longo dos</w:t>
      </w:r>
      <w:r>
        <w:t xml:space="preserve"> </w:t>
      </w:r>
      <w:r>
        <w:rPr>
          <w:i/>
          <w:iCs/>
        </w:rPr>
        <w:t xml:space="preserve">folds</w:t>
      </w:r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). A exceção aparente em VALE3 (+0,036) é investigada em</w:t>
      </w:r>
      <w:r>
        <w:t xml:space="preserve"> </w:t>
      </w:r>
      <w:r>
        <w:rPr>
          <w:i/>
          <w:iCs/>
        </w:rPr>
        <w:t xml:space="preserve">deep-dive</w:t>
      </w:r>
      <w:r>
        <w:t xml:space="preserve"> </w:t>
      </w:r>
      <w:r>
        <w:t xml:space="preserve">com 880 execuções e revelada como não significativa (Wilcoxon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194</m:t>
        </m:r>
      </m:oMath>
      <w:r>
        <w:t xml:space="preserve">). A Figura </w:t>
      </w:r>
      <w:hyperlink w:anchor="fig:vale3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mostra a distribuição bimodal do Transformer em VALE3.</w:t>
      </w:r>
    </w:p>
    <w:bookmarkStart w:id="50" w:name="fig:vale3"/>
    <w:p>
      <w:pPr>
        <w:pStyle w:val="CaptionedFigure"/>
      </w:pPr>
      <w:r>
        <w:drawing>
          <wp:inline>
            <wp:extent cx="5067300" cy="281109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vale3_deepdive_hi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1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880 AUCs (52</w:t>
      </w:r>
      <w:r>
        <w:t xml:space="preserve"> </w:t>
      </w:r>
      <w:r>
        <w:rPr>
          <w:i/>
          <w:iCs/>
        </w:rPr>
        <w:t xml:space="preserve">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 sementes) em VALE3. 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(esquerda) produz distribuição unimodal centrada em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0,55. O Transformer (direita) produz distribuição bimodal severa com picos em AUC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e AUC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— assinatura de classificador degenerado.</w:t>
      </w:r>
    </w:p>
    <w:bookmarkEnd w:id="50"/>
    <w:bookmarkEnd w:id="51"/>
    <w:bookmarkStart w:id="57" w:name="ablation-o-sentimento-adiciona-algo"/>
    <w:p>
      <w:pPr>
        <w:pStyle w:val="Heading2"/>
      </w:pPr>
      <w:r>
        <w:t xml:space="preserve">Ablation: o sentimento adiciona algo?</w:t>
      </w:r>
    </w:p>
    <w:p>
      <w:pPr>
        <w:pStyle w:val="FirstParagraph"/>
      </w:pPr>
      <w:r>
        <w:t xml:space="preserve">XGBoost em três configurações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(225 treinamentos):</w:t>
      </w:r>
    </w:p>
    <w:bookmarkStart w:id="52" w:name="tab:ablation"/>
    <w:p>
      <w:pPr>
        <w:pStyle w:val="TableCaption"/>
      </w:pPr>
      <w:r>
        <w:t xml:space="preserve">Ablation: PRICE vs SENT vs PRICE+SENT.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blation: PRICE vs SENT vs PRICE+SEN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PRICE+SENT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ITUB4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0,676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0,016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+0,058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0,662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+0,003</w:t>
            </w:r>
          </w:p>
        </w:tc>
      </w:tr>
    </w:tbl>
    <w:bookmarkEnd w:id="52"/>
    <w:bookmarkStart w:id="56" w:name="fig:ablation"/>
    <w:p>
      <w:pPr>
        <w:pStyle w:val="CaptionedFigure"/>
      </w:pPr>
      <w:r>
        <w:drawing>
          <wp:inline>
            <wp:extent cx="4533900" cy="224567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blation_boxplo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4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AUC por configuração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e ativo, sob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CV. PRICE e PRICE+SENT são estatisticamente indistinguíveis; SENT sozinho opera abaixo do acaso.</w:t>
      </w:r>
    </w:p>
    <w:bookmarkEnd w:id="56"/>
    <w:p>
      <w:pPr>
        <w:pStyle w:val="BodyText"/>
      </w:pPr>
      <w:r>
        <w:t xml:space="preserve">O ganho do sentimento é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003</m:t>
        </m:r>
      </m:oMath>
      <w:r>
        <w:t xml:space="preserve"> </w:t>
      </w:r>
      <w:r>
        <w:t xml:space="preserve">(Wilcoxon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, IC 95%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012</m:t>
        </m:r>
        <m:r>
          <m:rPr>
            <m:sty m:val="p"/>
          </m:rPr>
          <m:t>;</m:t>
        </m:r>
        <m:r>
          <m:t> 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018</m:t>
        </m:r>
        <m:r>
          <m:rPr>
            <m:sty m:val="p"/>
          </m:rPr>
          <m:t>]</m:t>
        </m:r>
      </m:oMath>
      <w:r>
        <w:t xml:space="preserve">). A análise de poder</w:t>
      </w:r>
      <w:r>
        <w:t xml:space="preserve"> </w:t>
      </w:r>
      <w:r>
        <w:t xml:space="preserve">(Hanley and McNeil 1982)</w:t>
      </w:r>
      <w:r>
        <w:t xml:space="preserve"> </w:t>
      </w:r>
      <w:r>
        <w:t xml:space="preserve">confirma que este efeito está 44–74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abaixo do MDE (0,132–0,221 para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entre 60 e 177).</w:t>
      </w:r>
    </w:p>
    <w:bookmarkEnd w:id="57"/>
    <w:bookmarkStart w:id="62" w:name="validação-do-tcn-stage-5b"/>
    <w:p>
      <w:pPr>
        <w:pStyle w:val="Heading2"/>
      </w:pPr>
      <w:r>
        <w:t xml:space="preserve">Validação do TCN Stage 5b</w:t>
      </w:r>
    </w:p>
    <w:p>
      <w:pPr>
        <w:pStyle w:val="FirstParagraph"/>
      </w:pPr>
      <w:r>
        <w:t xml:space="preserve">O TCN [32,32]</w:t>
      </w:r>
      <w:r>
        <w:t xml:space="preserve"> </w:t>
      </w:r>
      <w:r>
        <w:t xml:space="preserve">(Bai et al. 2018)</w:t>
      </w:r>
      <w:r>
        <w:t xml:space="preserve"> </w:t>
      </w:r>
      <w:r>
        <w:t xml:space="preserve">— melhor resultado prático (AUC = 0,643 sob janela única) — atinge 0,513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0,102 sob 20 sementes e 0,556 sob CV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, inferior ao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(0,700). A Figura </w:t>
      </w:r>
      <w:hyperlink w:anchor="fig:tcn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sumariza a validação.</w:t>
      </w:r>
    </w:p>
    <w:bookmarkStart w:id="61" w:name="fig:tcn"/>
    <w:p>
      <w:pPr>
        <w:pStyle w:val="CaptionedFigure"/>
      </w:pPr>
      <w:r>
        <w:drawing>
          <wp:inline>
            <wp:extent cx="5067300" cy="193989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tcn_validation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3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Validação do TCN [32,32]. Esquerda: distribuição multi-seed (20 sementes) — 60% das sementes ficam abaixo de 0,50. Direita: distribuição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 </w:t>
      </w:r>
      <w:r>
        <w:t xml:space="preserve">CV — AUC médio de 0,556, inferior ao</w:t>
      </w:r>
      <w:r>
        <w:t xml:space="preserve"> </w:t>
      </w:r>
      <w:r>
        <w:rPr>
          <w:i/>
          <w:iCs/>
        </w:rPr>
        <w:t xml:space="preserve">baseline</w:t>
      </w:r>
      <w:r>
        <w:t xml:space="preserve">.</w:t>
      </w:r>
    </w:p>
    <w:bookmarkEnd w:id="61"/>
    <w:bookmarkEnd w:id="62"/>
    <w:bookmarkStart w:id="63" w:name="síntese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Sob avaliação metodologicamente correta (multi-fold, multi-sementes, com intervalos de confiança e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features</w:t>
      </w:r>
      <w:r>
        <w:t xml:space="preserve">),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sentimento FinBERT-PT-BR não adicionam sinal preditivo mensurável a um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autoregressivo de cinco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preço, em nenhum dos três ativos testados. O resultado original de AUC = 0,709 é um artefato da avaliação por janela única.</w:t>
      </w:r>
    </w:p>
    <w:bookmarkEnd w:id="63"/>
    <w:bookmarkEnd w:id="64"/>
    <w:bookmarkStart w:id="69" w:name="cap:conclusao"/>
    <w:p>
      <w:pPr>
        <w:pStyle w:val="Heading1"/>
      </w:pPr>
      <w:r>
        <w:t xml:space="preserve">Conclusão</w:t>
      </w:r>
    </w:p>
    <w:bookmarkStart w:id="65" w:name="contribuições"/>
    <w:p>
      <w:pPr>
        <w:pStyle w:val="Heading2"/>
      </w:pPr>
      <w:r>
        <w:t xml:space="preserve">Contribuições</w:t>
      </w:r>
    </w:p>
    <w:p>
      <w:pPr>
        <w:pStyle w:val="FirstParagraph"/>
      </w:pPr>
      <w:r>
        <w:t xml:space="preserve">Este trabalho oferece três contribuições: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Pipeline técnico replicável.</w:t>
      </w:r>
      <w:r>
        <w:t xml:space="preserve"> </w:t>
      </w:r>
      <w:r>
        <w:t xml:space="preserve">O sistema de coleta de notícias (InfoMoney), extração de sentimento (FinBERT-PT-BR) e integração com dados de mercado (Yahoo Finance) está integralmente versionado e pode ser reproduzido por outros pesquisadores.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Demonstração empírica do viés de janela única.</w:t>
      </w:r>
      <w:r>
        <w:t xml:space="preserve"> </w:t>
      </w:r>
      <w:r>
        <w:t xml:space="preserve">A inversão de AUC 0,709 (janela única) para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0,51 (multi-fold) é documentada com mais de 1.500 execuções e suporte estatístico formal. Esta é, no conhecimento do autor, a demonstração mais detalhada deste fenômeno em dados brasileiros.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Proposição de protocolos mínimos.</w:t>
      </w:r>
      <w:r>
        <w:t xml:space="preserve"> </w:t>
      </w:r>
      <w:r>
        <w:t xml:space="preserve">O trabalho propõe seis práticas para pesquisa em ML financeiro: (1) reportar IC</w:t>
      </w:r>
      <w:r>
        <w:t xml:space="preserve"> </w:t>
      </w:r>
      <w:r>
        <w:rPr>
          <w:i/>
          <w:iCs/>
        </w:rPr>
        <w:t xml:space="preserve">bootstrap</w:t>
      </w:r>
      <w:r>
        <w:t xml:space="preserve">; (2) treinar com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10 sementes; (3) usar CV</w:t>
      </w:r>
      <w:r>
        <w:t xml:space="preserve"> </w:t>
      </w:r>
      <w:r>
        <w:rPr>
          <w:i/>
          <w:iCs/>
        </w:rPr>
        <w:t xml:space="preserve">expanding-window</w:t>
      </w:r>
      <w:r>
        <w:t xml:space="preserve">; (4) comparar contra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autoregressivo; (5) monitorar distribuição de predições; (6) auditar correlação validação-teste.</w:t>
      </w:r>
    </w:p>
    <w:bookmarkEnd w:id="65"/>
    <w:bookmarkStart w:id="66" w:name="Xaf3c0b088213e0349eeda1db0753b188548730c"/>
    <w:p>
      <w:pPr>
        <w:pStyle w:val="Heading2"/>
      </w:pPr>
      <w:r>
        <w:t xml:space="preserve">Reflexão sobre o processo de autocorreção</w:t>
      </w:r>
    </w:p>
    <w:p>
      <w:pPr>
        <w:pStyle w:val="FirstParagraph"/>
      </w:pPr>
      <w:r>
        <w:t xml:space="preserve">A experiência de construir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completo, obter um resultado aparentemente forte (AUC = 0,709) e depois desmontá-lo sistematicamente foi a lição mais valiosa deste trabalho. O viés de confirmação — a tendência natural de aceitar resultados que concordam com a hipótese — operou de forma invisível nas primeiras etapas: a ausência de intervalos de confiança, a fixação de uma única semente e o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único não pareciam problemáticos porque o resultado</w:t>
      </w:r>
      <w:r>
        <w:t xml:space="preserve"> </w:t>
      </w:r>
      <w:r>
        <w:t xml:space="preserve">“fazia sentido”</w:t>
      </w:r>
      <w:r>
        <w:t xml:space="preserve">. A contribuição do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não é a descoberta de que o sentimento não funciona — é a demonstração de quão fácil é produzir evidência aparente de que ele funciona, usando protocolos que a própria comunidade considera aceitáveis.</w:t>
      </w:r>
    </w:p>
    <w:p>
      <w:pPr>
        <w:pStyle w:val="BodyText"/>
      </w:pPr>
      <w:r>
        <w:t xml:space="preserve">Os seis protocolos propostos na Seção anterior não são originais: o uso de múltiplas sementes, CV temporal e</w:t>
      </w:r>
      <w:r>
        <w:t xml:space="preserve"> </w:t>
      </w:r>
      <w:r>
        <w:rPr>
          <w:i/>
          <w:iCs/>
        </w:rPr>
        <w:t xml:space="preserve">baselines</w:t>
      </w:r>
      <w:r>
        <w:t xml:space="preserve"> </w:t>
      </w:r>
      <w:r>
        <w:t xml:space="preserve">autoregressivos são recomendações explícitas de . A contribuição deste trabalho é mostrar, em um caso concreto com dados brasileiros, a magnitude do dano causado por ignorá-los: uma inversão de 0,709 para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0,51, que transforma uma conclusão positiva em negativa.</w:t>
      </w:r>
    </w:p>
    <w:bookmarkEnd w:id="66"/>
    <w:bookmarkStart w:id="67" w:name="limitações"/>
    <w:p>
      <w:pPr>
        <w:pStyle w:val="Heading2"/>
      </w:pPr>
      <w:r>
        <w:t xml:space="preserve">Limitações</w:t>
      </w:r>
    </w:p>
    <w:p>
      <w:pPr>
        <w:pStyle w:val="FirstParagraph"/>
      </w:pPr>
      <w:r>
        <w:t xml:space="preserve">As principais limitações incluem: (1) fonte única de notícias (InfoMoney), com viés editorial voltado ao investidor de varejo e cobertura heterogênea entre ativos (2.572 artigos para ITUB4 vs 1.525 para VALE3); (2) apenas 3 ações de grande capitalização da B3, limitando a validade externa; (3) horizonte de previsão restrito a 5 e 21 dias úteis; (4) a conclusão sobre o sentimento se aplica à representação específica adotada (5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agregadas diariamente do FinBERT-PT-BR), não a toda forma possível de codificar informação textual; (5) a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(Seção 5.5) foi conduzida com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21</m:t>
        </m:r>
      </m:oMath>
      <w:r>
        <w:t xml:space="preserve">, enquanto o TCN Stage 5b utiliza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— uma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com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fortaleceria a comparação.</w:t>
      </w:r>
    </w:p>
    <w:bookmarkEnd w:id="67"/>
    <w:bookmarkStart w:id="68" w:name="trabalhos-futuros"/>
    <w:p>
      <w:pPr>
        <w:pStyle w:val="Heading2"/>
      </w:pPr>
      <w:r>
        <w:t xml:space="preserve">Trabalhos futuros</w:t>
      </w:r>
    </w:p>
    <w:p>
      <w:pPr>
        <w:pStyle w:val="FirstParagraph"/>
      </w:pPr>
      <w:r>
        <w:t xml:space="preserve">Cinco direções são sugeridas: (1) diversificação de fontes textuais (comunicados CVM,</w:t>
      </w:r>
      <w:r>
        <w:t xml:space="preserve"> </w:t>
      </w:r>
      <w:r>
        <w:rPr>
          <w:i/>
          <w:iCs/>
        </w:rPr>
        <w:t xml:space="preserve">analyst reports</w:t>
      </w:r>
      <w:r>
        <w:t xml:space="preserve">, redes sociais); (2) teste de arquiteturas menos propensas a colapso bimodal; (3) generalização para outros mercados; (4) estudo formal da anticorrelação validação-teste; (5) investigação de métricas ajustadas por desbalanceamento de classe (</w:t>
      </w:r>
      <w:r>
        <w:rPr>
          <w:i/>
          <w:iCs/>
        </w:rPr>
        <w:t xml:space="preserve">balanced accuracy</w:t>
      </w:r>
      <w:r>
        <w:t xml:space="preserve">, coeficiente de Matthews) como alternativa à AUC em conjuntos com</w:t>
      </w:r>
      <w:r>
        <w:t xml:space="preserve"> </w:t>
      </w:r>
      <w:r>
        <w:rPr>
          <w:i/>
          <w:iCs/>
        </w:rPr>
        <w:t xml:space="preserve">class imbalance</w:t>
      </w:r>
      <w:r>
        <w:t xml:space="preserve"> </w:t>
      </w:r>
      <w:r>
        <w:t xml:space="preserve">severo.</w:t>
      </w:r>
    </w:p>
    <w:bookmarkEnd w:id="68"/>
    <w:bookmarkEnd w:id="69"/>
    <w:bookmarkStart w:id="72" w:name="ap:evalutils"/>
    <w:p>
      <w:pPr>
        <w:pStyle w:val="Heading1"/>
      </w:pPr>
      <w:r>
        <w:t xml:space="preserve">Funções utilitárias de avaliação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eval_utils.py</w:t>
      </w:r>
      <w:r>
        <w:t xml:space="preserve"> </w:t>
      </w:r>
      <w:r>
        <w:t xml:space="preserve">concentra as funções reutilizadas por todos os experimentos do Capítulo </w:t>
      </w:r>
      <w:hyperlink w:anchor="cap:investigacao">
        <w:r>
          <w:rPr>
            <w:rStyle w:val="Hyperlink"/>
          </w:rPr>
          <w:t xml:space="preserve">5</w:t>
        </w:r>
      </w:hyperlink>
      <w:r>
        <w:t xml:space="preserve">. As funções principais são reproduzidas abaixo.</w:t>
      </w:r>
    </w:p>
    <w:bookmarkStart w:id="70" w:name="lst:bootstrap"/>
    <w:p>
      <w:pPr>
        <w:pStyle w:val="SourceCode"/>
      </w:pPr>
      <w:r>
        <w:rPr>
          <w:rStyle w:val="VerbatimChar"/>
        </w:rPr>
        <w:t xml:space="preserve">def bootstrap_auc_ci(y_true, y_score, n_boot=1000,</w:t>
      </w:r>
      <w:r>
        <w:br/>
      </w:r>
      <w:r>
        <w:rPr>
          <w:rStyle w:val="VerbatimChar"/>
        </w:rPr>
        <w:t xml:space="preserve">                     alpha=0.05, seed=42):</w:t>
      </w:r>
      <w:r>
        <w:br/>
      </w:r>
      <w:r>
        <w:rPr>
          <w:rStyle w:val="VerbatimChar"/>
        </w:rPr>
        <w:t xml:space="preserve">    rng = np.random.default_rng(seed)</w:t>
      </w:r>
      <w:r>
        <w:br/>
      </w:r>
      <w:r>
        <w:rPr>
          <w:rStyle w:val="VerbatimChar"/>
        </w:rPr>
        <w:t xml:space="preserve">    n = len(y_true)</w:t>
      </w:r>
      <w:r>
        <w:br/>
      </w:r>
      <w:r>
        <w:rPr>
          <w:rStyle w:val="VerbatimChar"/>
        </w:rPr>
        <w:t xml:space="preserve">    aucs = np.empty(n_boot)</w:t>
      </w:r>
      <w:r>
        <w:br/>
      </w:r>
      <w:r>
        <w:rPr>
          <w:rStyle w:val="VerbatimChar"/>
        </w:rPr>
        <w:t xml:space="preserve">    for i in range(n_boot):</w:t>
      </w:r>
      <w:r>
        <w:br/>
      </w:r>
      <w:r>
        <w:rPr>
          <w:rStyle w:val="VerbatimChar"/>
        </w:rPr>
        <w:t xml:space="preserve">        idx = rng.integers(0, n, size=n)</w:t>
      </w:r>
      <w:r>
        <w:br/>
      </w:r>
      <w:r>
        <w:rPr>
          <w:rStyle w:val="VerbatimChar"/>
        </w:rPr>
        <w:t xml:space="preserve">        if len(np.unique(y_true[idx])) &lt; 2:</w:t>
      </w:r>
      <w:r>
        <w:br/>
      </w:r>
      <w:r>
        <w:rPr>
          <w:rStyle w:val="VerbatimChar"/>
        </w:rPr>
        <w:t xml:space="preserve">            aucs[i] = np.nan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aucs[i] = roc_auc_score(y_true[idx], y_score[idx])</w:t>
      </w:r>
      <w:r>
        <w:br/>
      </w:r>
      <w:r>
        <w:rPr>
          <w:rStyle w:val="VerbatimChar"/>
        </w:rPr>
        <w:t xml:space="preserve">    aucs = aucs[~np.isnan(aucs)]</w:t>
      </w:r>
      <w:r>
        <w:br/>
      </w:r>
      <w:r>
        <w:rPr>
          <w:rStyle w:val="VerbatimChar"/>
        </w:rPr>
        <w:t xml:space="preserve">    auc_point = roc_auc_score(y_true, y_score)</w:t>
      </w:r>
      <w:r>
        <w:br/>
      </w:r>
      <w:r>
        <w:rPr>
          <w:rStyle w:val="VerbatimChar"/>
        </w:rPr>
        <w:t xml:space="preserve">    lower = float(np.quantile(aucs, alpha / 2))</w:t>
      </w:r>
      <w:r>
        <w:br/>
      </w:r>
      <w:r>
        <w:rPr>
          <w:rStyle w:val="VerbatimChar"/>
        </w:rPr>
        <w:t xml:space="preserve">    upper = float(np.quantile(aucs, 1 - alpha / 2))</w:t>
      </w:r>
      <w:r>
        <w:br/>
      </w:r>
      <w:r>
        <w:rPr>
          <w:rStyle w:val="VerbatimChar"/>
        </w:rPr>
        <w:t xml:space="preserve">    return float(auc_point), lower, upper</w:t>
      </w:r>
    </w:p>
    <w:bookmarkEnd w:id="70"/>
    <w:bookmarkStart w:id="71" w:name="lst:walkforward"/>
    <w:p>
      <w:pPr>
        <w:pStyle w:val="SourceCode"/>
      </w:pPr>
      <w:r>
        <w:rPr>
          <w:rStyle w:val="VerbatimChar"/>
        </w:rPr>
        <w:t xml:space="preserve">def walk_forward_split(df, train_frac=0.70,</w:t>
      </w:r>
      <w:r>
        <w:br/>
      </w:r>
      <w:r>
        <w:rPr>
          <w:rStyle w:val="VerbatimChar"/>
        </w:rPr>
        <w:t xml:space="preserve">                       val_frac=0.15):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n_train = int(n * train_frac)</w:t>
      </w:r>
      <w:r>
        <w:br/>
      </w:r>
      <w:r>
        <w:rPr>
          <w:rStyle w:val="VerbatimChar"/>
        </w:rPr>
        <w:t xml:space="preserve">    n_val = int(n * val_frac)</w:t>
      </w:r>
      <w:r>
        <w:br/>
      </w:r>
      <w:r>
        <w:rPr>
          <w:rStyle w:val="VerbatimChar"/>
        </w:rPr>
        <w:t xml:space="preserve">    train = df.iloc[:n_train]</w:t>
      </w:r>
      <w:r>
        <w:br/>
      </w:r>
      <w:r>
        <w:rPr>
          <w:rStyle w:val="VerbatimChar"/>
        </w:rPr>
        <w:t xml:space="preserve">    val = df.iloc[n_train:n_train + n_val]</w:t>
      </w:r>
      <w:r>
        <w:br/>
      </w:r>
      <w:r>
        <w:rPr>
          <w:rStyle w:val="VerbatimChar"/>
        </w:rPr>
        <w:t xml:space="preserve">    test = df.iloc[n_train + n_val:]</w:t>
      </w:r>
      <w:r>
        <w:br/>
      </w:r>
      <w:r>
        <w:rPr>
          <w:rStyle w:val="VerbatimChar"/>
        </w:rPr>
        <w:t xml:space="preserve">    return train, val, test</w:t>
      </w:r>
    </w:p>
    <w:bookmarkEnd w:id="71"/>
    <w:bookmarkEnd w:id="72"/>
    <w:bookmarkStart w:id="74" w:name="ap:tcn"/>
    <w:p>
      <w:pPr>
        <w:pStyle w:val="Heading1"/>
      </w:pPr>
      <w:r>
        <w:t xml:space="preserve">Arquitetura TCN</w:t>
      </w:r>
    </w:p>
    <w:p>
      <w:pPr>
        <w:pStyle w:val="FirstParagraph"/>
      </w:pPr>
      <w:r>
        <w:t xml:space="preserve">A TCN (</w:t>
      </w:r>
      <w:r>
        <w:rPr>
          <w:i/>
          <w:iCs/>
        </w:rPr>
        <w:t xml:space="preserve">Temporal Convolutional Network</w:t>
      </w:r>
      <w:r>
        <w:t xml:space="preserve">) utiliza blocos de convolução causal dilatada com conexões residuais. A configuração TCN [32,32] contém duas camadas com 32 filtros cada,</w:t>
      </w:r>
      <w:r>
        <w:t xml:space="preserve"> </w:t>
      </w:r>
      <w:r>
        <w:rPr>
          <w:i/>
          <w:iCs/>
        </w:rPr>
        <w:t xml:space="preserve">kernel size</w:t>
      </w:r>
      <w:r>
        <w:t xml:space="preserve"> </w:t>
      </w:r>
      <w:r>
        <w:t xml:space="preserve">3 e dilatações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Start w:id="73" w:name="lst:tcn"/>
    <w:p>
      <w:pPr>
        <w:pStyle w:val="SourceCode"/>
      </w:pPr>
      <w:r>
        <w:rPr>
          <w:rStyle w:val="VerbatimChar"/>
        </w:rPr>
        <w:t xml:space="preserve">class CausalConv1dBlock(nn.Module):</w:t>
      </w:r>
      <w:r>
        <w:br/>
      </w:r>
      <w:r>
        <w:rPr>
          <w:rStyle w:val="VerbatimChar"/>
        </w:rPr>
        <w:t xml:space="preserve">    def __init__(self, in_ch, out_ch, kernel_size,</w:t>
      </w:r>
      <w:r>
        <w:br/>
      </w:r>
      <w:r>
        <w:rPr>
          <w:rStyle w:val="VerbatimChar"/>
        </w:rPr>
        <w:t xml:space="preserve">                 dilation, dropout=0.2):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padding = (kernel_size - 1) * dilation</w:t>
      </w:r>
      <w:r>
        <w:br/>
      </w:r>
      <w:r>
        <w:rPr>
          <w:rStyle w:val="VerbatimChar"/>
        </w:rPr>
        <w:t xml:space="preserve">        self.conv1 = nn.Conv1d(in_ch, out_ch,</w:t>
      </w:r>
      <w:r>
        <w:br/>
      </w:r>
      <w:r>
        <w:rPr>
          <w:rStyle w:val="VerbatimChar"/>
        </w:rPr>
        <w:t xml:space="preserve">            kernel_size, padding=padding,</w:t>
      </w:r>
      <w:r>
        <w:br/>
      </w:r>
      <w:r>
        <w:rPr>
          <w:rStyle w:val="VerbatimChar"/>
        </w:rPr>
        <w:t xml:space="preserve">            dilation=dilation)</w:t>
      </w:r>
      <w:r>
        <w:br/>
      </w:r>
      <w:r>
        <w:rPr>
          <w:rStyle w:val="VerbatimChar"/>
        </w:rPr>
        <w:t xml:space="preserve">        self.conv2 = nn.Conv1d(out_ch, out_ch,</w:t>
      </w:r>
      <w:r>
        <w:br/>
      </w:r>
      <w:r>
        <w:rPr>
          <w:rStyle w:val="VerbatimChar"/>
        </w:rPr>
        <w:t xml:space="preserve">            kernel_size, padding=padding,</w:t>
      </w:r>
      <w:r>
        <w:br/>
      </w:r>
      <w:r>
        <w:rPr>
          <w:rStyle w:val="VerbatimChar"/>
        </w:rPr>
        <w:t xml:space="preserve">            dilation=dilation)</w:t>
      </w:r>
      <w:r>
        <w:br/>
      </w:r>
      <w:r>
        <w:rPr>
          <w:rStyle w:val="VerbatimChar"/>
        </w:rPr>
        <w:t xml:space="preserve">        self.chomp = padding</w:t>
      </w:r>
      <w:r>
        <w:br/>
      </w:r>
      <w:r>
        <w:rPr>
          <w:rStyle w:val="VerbatimChar"/>
        </w:rPr>
        <w:t xml:space="preserve">        self.relu = nn.ReLU()</w:t>
      </w:r>
      <w:r>
        <w:br/>
      </w:r>
      <w:r>
        <w:rPr>
          <w:rStyle w:val="VerbatimChar"/>
        </w:rPr>
        <w:t xml:space="preserve">        self.dropout = nn.Dropout(dropout)</w:t>
      </w:r>
      <w:r>
        <w:br/>
      </w:r>
      <w:r>
        <w:rPr>
          <w:rStyle w:val="VerbatimChar"/>
        </w:rPr>
        <w:t xml:space="preserve">        self.downsample = (nn.Conv1d(in_ch, out_ch, 1)</w:t>
      </w:r>
      <w:r>
        <w:br/>
      </w:r>
      <w:r>
        <w:rPr>
          <w:rStyle w:val="VerbatimChar"/>
        </w:rPr>
        <w:t xml:space="preserve">                          if in_ch != out_ch else None)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out = self.dropout(self.relu(</w:t>
      </w:r>
      <w:r>
        <w:br/>
      </w:r>
      <w:r>
        <w:rPr>
          <w:rStyle w:val="VerbatimChar"/>
        </w:rPr>
        <w:t xml:space="preserve">            self.conv1(x)[:, :, :-self.chomp]))</w:t>
      </w:r>
      <w:r>
        <w:br/>
      </w:r>
      <w:r>
        <w:rPr>
          <w:rStyle w:val="VerbatimChar"/>
        </w:rPr>
        <w:t xml:space="preserve">        out = self.dropout(self.relu(</w:t>
      </w:r>
      <w:r>
        <w:br/>
      </w:r>
      <w:r>
        <w:rPr>
          <w:rStyle w:val="VerbatimChar"/>
        </w:rPr>
        <w:t xml:space="preserve">            self.conv2(out)[:, :, :-self.chomp]))</w:t>
      </w:r>
      <w:r>
        <w:br/>
      </w:r>
      <w:r>
        <w:rPr>
          <w:rStyle w:val="VerbatimChar"/>
        </w:rPr>
        <w:t xml:space="preserve">        res = (self.downsample(x)</w:t>
      </w:r>
      <w:r>
        <w:br/>
      </w:r>
      <w:r>
        <w:rPr>
          <w:rStyle w:val="VerbatimChar"/>
        </w:rPr>
        <w:t xml:space="preserve">               if self.downsample else x)</w:t>
      </w:r>
      <w:r>
        <w:br/>
      </w:r>
      <w:r>
        <w:rPr>
          <w:rStyle w:val="VerbatimChar"/>
        </w:rPr>
        <w:t xml:space="preserve">        return self.relu(out + res)</w:t>
      </w:r>
    </w:p>
    <w:bookmarkEnd w:id="73"/>
    <w:bookmarkEnd w:id="74"/>
    <w:bookmarkStart w:id="90" w:name="refs"/>
    <w:bookmarkStart w:id="75" w:name="ref-araci2019"/>
    <w:p>
      <w:pPr>
        <w:pStyle w:val="Bibliography"/>
      </w:pPr>
      <w:r>
        <w:t xml:space="preserve">Araci, Dogu. 2019.</w:t>
      </w:r>
      <w:r>
        <w:t xml:space="preserve"> </w:t>
      </w:r>
      <w:r>
        <w:t xml:space="preserve">“</w:t>
      </w:r>
      <w:r>
        <w:t xml:space="preserve">FinBERT</w:t>
      </w:r>
      <w:r>
        <w:t xml:space="preserve">: Financial Sentiment Analysis with Pre-Trained Language Models.”</w:t>
      </w:r>
      <w:r>
        <w:t xml:space="preserve"> </w:t>
      </w:r>
      <w:r>
        <w:rPr>
          <w:i/>
          <w:iCs/>
        </w:rPr>
        <w:t xml:space="preserve">arXiv Preprint arXiv:1908.10063</w:t>
      </w:r>
      <w:r>
        <w:t xml:space="preserve">.</w:t>
      </w:r>
    </w:p>
    <w:bookmarkEnd w:id="75"/>
    <w:bookmarkStart w:id="76" w:name="ref-bai2018"/>
    <w:p>
      <w:pPr>
        <w:pStyle w:val="Bibliography"/>
      </w:pPr>
      <w:r>
        <w:t xml:space="preserve">Bai, Shaojie, J. Zico Kolter, and Vladlen Koltun. 2018.</w:t>
      </w:r>
      <w:r>
        <w:t xml:space="preserve"> </w:t>
      </w:r>
      <w:r>
        <w:t xml:space="preserve">“An Empirical Evaluation of Generic Convolutional and Recurrent Networks for Sequence Modeling.”</w:t>
      </w:r>
      <w:r>
        <w:t xml:space="preserve"> </w:t>
      </w:r>
      <w:r>
        <w:rPr>
          <w:i/>
          <w:iCs/>
        </w:rPr>
        <w:t xml:space="preserve">arXiv Preprint arXiv:1803.01271</w:t>
      </w:r>
      <w:r>
        <w:t xml:space="preserve">.</w:t>
      </w:r>
    </w:p>
    <w:bookmarkEnd w:id="76"/>
    <w:bookmarkStart w:id="77" w:name="ref-bailey2014"/>
    <w:p>
      <w:pPr>
        <w:pStyle w:val="Bibliography"/>
      </w:pPr>
      <w:r>
        <w:t xml:space="preserve">Bailey, David H., Jonathan Borwein, Marcos López de Prado, and Qiji Jim Zhu. 2014.</w:t>
      </w:r>
      <w:r>
        <w:t xml:space="preserve"> </w:t>
      </w:r>
      <w:r>
        <w:t xml:space="preserve">“Pseudo-Mathematics and Financial Charlatanism: The Effects of Backtest Overfitting on Out-of-Sample Performance.”</w:t>
      </w:r>
      <w:r>
        <w:t xml:space="preserve"> </w:t>
      </w:r>
      <w:r>
        <w:rPr>
          <w:i/>
          <w:iCs/>
        </w:rPr>
        <w:t xml:space="preserve">Notices of the American Mathematical Society</w:t>
      </w:r>
      <w:r>
        <w:t xml:space="preserve"> </w:t>
      </w:r>
      <w:r>
        <w:t xml:space="preserve">61 (5): 458–71.</w:t>
      </w:r>
    </w:p>
    <w:bookmarkEnd w:id="77"/>
    <w:bookmarkStart w:id="78" w:name="ref-chen2016"/>
    <w:p>
      <w:pPr>
        <w:pStyle w:val="Bibliography"/>
      </w:pPr>
      <w:r>
        <w:t xml:space="preserve">Chen, Tianqi, and Carlos Guestrin. 2016.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System.”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785–94.</w:t>
      </w:r>
    </w:p>
    <w:bookmarkEnd w:id="78"/>
    <w:bookmarkStart w:id="79" w:name="ref-devlin2019"/>
    <w:p>
      <w:pPr>
        <w:pStyle w:val="Bibliography"/>
      </w:pPr>
      <w:r>
        <w:t xml:space="preserve">Devlin, Jacob, Ming-Wei Chang, Kenton Lee, and Kristina Toutanova. 2019.</w:t>
      </w:r>
      <w:r>
        <w:t xml:space="preserve"> </w:t>
      </w:r>
      <w:r>
        <w:t xml:space="preserve">“</w:t>
      </w:r>
      <w:r>
        <w:t xml:space="preserve">BERT</w:t>
      </w:r>
      <w:r>
        <w:t xml:space="preserve">: Pre-Training of Deep Bidirectional Transformers for Language Understanding.”</w:t>
      </w:r>
      <w:r>
        <w:t xml:space="preserve"> </w:t>
      </w:r>
      <w:r>
        <w:rPr>
          <w:i/>
          <w:iCs/>
        </w:rPr>
        <w:t xml:space="preserve">Proceedings of the Conference of the North American Chapter of the Association for Computational Linguistics (NAACL)</w:t>
      </w:r>
      <w:r>
        <w:t xml:space="preserve">, 4171–86.</w:t>
      </w:r>
    </w:p>
    <w:bookmarkEnd w:id="79"/>
    <w:bookmarkStart w:id="80" w:name="ref-fama1970"/>
    <w:p>
      <w:pPr>
        <w:pStyle w:val="Bibliography"/>
      </w:pPr>
      <w:r>
        <w:t xml:space="preserve">Fama, Eugene F. 1970.</w:t>
      </w:r>
      <w:r>
        <w:t xml:space="preserve"> </w:t>
      </w:r>
      <w:r>
        <w:t xml:space="preserve">“Efficient Capital Markets: A Review of Theory and Empirical Work.”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25 (2): 383–417.</w:t>
      </w:r>
    </w:p>
    <w:bookmarkEnd w:id="80"/>
    <w:bookmarkStart w:id="81" w:name="ref-hanley1982"/>
    <w:p>
      <w:pPr>
        <w:pStyle w:val="Bibliography"/>
      </w:pPr>
      <w:r>
        <w:t xml:space="preserve">Hanley, James A., and Barbara J. McNeil. 1982.</w:t>
      </w:r>
      <w:r>
        <w:t xml:space="preserve"> </w:t>
      </w:r>
      <w:r>
        <w:t xml:space="preserve">“The Meaning and Use of the Area Under a Receiver Operating Characteristic (</w:t>
      </w:r>
      <w:r>
        <w:t xml:space="preserve">ROC</w:t>
      </w:r>
      <w:r>
        <w:t xml:space="preserve">) Curve.”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t xml:space="preserve">143 (1): 29–36.</w:t>
      </w:r>
    </w:p>
    <w:bookmarkEnd w:id="81"/>
    <w:bookmarkStart w:id="82" w:name="ref-hochreiter1997"/>
    <w:p>
      <w:pPr>
        <w:pStyle w:val="Bibliography"/>
      </w:pPr>
      <w:r>
        <w:t xml:space="preserve">Hochreiter, Sepp, and Jürgen Schmidhuber. 1997.</w:t>
      </w:r>
      <w:r>
        <w:t xml:space="preserve"> </w:t>
      </w:r>
      <w:r>
        <w:t xml:space="preserve">“Long Short-Term Memory.”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 </w:t>
      </w:r>
      <w:r>
        <w:t xml:space="preserve">9 (8): 1735–80.</w:t>
      </w:r>
    </w:p>
    <w:bookmarkEnd w:id="82"/>
    <w:bookmarkStart w:id="83" w:name="ref-lo2004"/>
    <w:p>
      <w:pPr>
        <w:pStyle w:val="Bibliography"/>
      </w:pPr>
      <w:r>
        <w:t xml:space="preserve">Lo, Andrew W. 2004.</w:t>
      </w:r>
      <w:r>
        <w:t xml:space="preserve"> </w:t>
      </w:r>
      <w:r>
        <w:t xml:space="preserve">“The Adaptive Markets Hypothesis.”</w:t>
      </w:r>
      <w:r>
        <w:t xml:space="preserve"> </w:t>
      </w:r>
      <w:r>
        <w:rPr>
          <w:i/>
          <w:iCs/>
        </w:rPr>
        <w:t xml:space="preserve">Journal of Portfolio Management</w:t>
      </w:r>
      <w:r>
        <w:t xml:space="preserve"> </w:t>
      </w:r>
      <w:r>
        <w:t xml:space="preserve">30 (5): 15–29.</w:t>
      </w:r>
    </w:p>
    <w:bookmarkEnd w:id="83"/>
    <w:bookmarkStart w:id="84" w:name="ref-lopezdeprado2018"/>
    <w:p>
      <w:pPr>
        <w:pStyle w:val="Bibliography"/>
      </w:pPr>
      <w:r>
        <w:t xml:space="preserve">López de Prado, Marcos. 2018.</w:t>
      </w:r>
      <w:r>
        <w:t xml:space="preserve"> </w:t>
      </w:r>
      <w:r>
        <w:rPr>
          <w:i/>
          <w:iCs/>
        </w:rPr>
        <w:t xml:space="preserve">Advances in Financial Machine Learning</w:t>
      </w:r>
      <w:r>
        <w:t xml:space="preserve">. Wiley.</w:t>
      </w:r>
    </w:p>
    <w:bookmarkEnd w:id="84"/>
    <w:bookmarkStart w:id="85" w:name="ref-loughran2011"/>
    <w:p>
      <w:pPr>
        <w:pStyle w:val="Bibliography"/>
      </w:pPr>
      <w:r>
        <w:t xml:space="preserve">Loughran, Tim, and Bill McDonald. 2011.</w:t>
      </w:r>
      <w:r>
        <w:t xml:space="preserve"> </w:t>
      </w:r>
      <w:r>
        <w:t xml:space="preserve">“When Is a Liability Not a Liability? Textual Analysis, Dictionaries, and 10-Ks.”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 </w:t>
      </w:r>
      <w:r>
        <w:t xml:space="preserve">66 (1): 35–65.</w:t>
      </w:r>
    </w:p>
    <w:bookmarkEnd w:id="85"/>
    <w:bookmarkStart w:id="86" w:name="ref-lundberg2017"/>
    <w:p>
      <w:pPr>
        <w:pStyle w:val="Bibliography"/>
      </w:pPr>
      <w:r>
        <w:t xml:space="preserve">Lundberg, Scott M., and Su-In Lee. 2017.</w:t>
      </w:r>
      <w:r>
        <w:t xml:space="preserve"> </w:t>
      </w:r>
      <w:r>
        <w:t xml:space="preserve">“A Unified Approach to Interpreting Model Predictions.”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t xml:space="preserve">30.</w:t>
      </w:r>
    </w:p>
    <w:bookmarkEnd w:id="86"/>
    <w:bookmarkStart w:id="87" w:name="ref-souza2023"/>
    <w:p>
      <w:pPr>
        <w:pStyle w:val="Bibliography"/>
      </w:pPr>
      <w:r>
        <w:t xml:space="preserve">Souza, Gustavo Correia Brito de, Renato Luiz Gomes Carvalho, and Anderson de Andrade Calado. 2023.</w:t>
      </w:r>
      <w:r>
        <w:t xml:space="preserve"> </w:t>
      </w:r>
      <w:r>
        <w:t xml:space="preserve">“</w:t>
      </w:r>
      <w:r>
        <w:t xml:space="preserve">FinBERT-PT-BR</w:t>
      </w:r>
      <w:r>
        <w:t xml:space="preserve">: Análise de Sentimento de Textos Em Português Do Mercado Financeiro.”</w:t>
      </w:r>
      <w:r>
        <w:t xml:space="preserve"> </w:t>
      </w:r>
      <w:r>
        <w:rPr>
          <w:i/>
          <w:iCs/>
        </w:rPr>
        <w:t xml:space="preserve">Anais Do Simpósio Brasileiro de Tecnologia Da Informação e Da Linguagem Humana (STIL)</w:t>
      </w:r>
      <w:r>
        <w:t xml:space="preserve">.</w:t>
      </w:r>
    </w:p>
    <w:bookmarkEnd w:id="87"/>
    <w:bookmarkStart w:id="88" w:name="ref-vaswani2017"/>
    <w:p>
      <w:pPr>
        <w:pStyle w:val="Bibliography"/>
      </w:pPr>
      <w:r>
        <w:t xml:space="preserve">Vaswani, Ashish, Noam Shazeer, Niki Parmar, et al. 2017.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t xml:space="preserve">30.</w:t>
      </w:r>
    </w:p>
    <w:bookmarkEnd w:id="88"/>
    <w:bookmarkStart w:id="89" w:name="ref-xu2018"/>
    <w:p>
      <w:pPr>
        <w:pStyle w:val="Bibliography"/>
      </w:pPr>
      <w:r>
        <w:t xml:space="preserve">Xu, Yumo, and Shay B. Cohen. 2018.</w:t>
      </w:r>
      <w:r>
        <w:t xml:space="preserve"> </w:t>
      </w:r>
      <w:r>
        <w:t xml:space="preserve">“Stock Movement Prediction from Tweets and Historical Prices.”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(ACL)</w:t>
      </w:r>
      <w:r>
        <w:t xml:space="preserve">, 1970–79.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58" Target="media/rId58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2026-04-10T07:55:02Z</dcterms:created>
  <dcterms:modified xsi:type="dcterms:W3CDTF">2026-04-10T07:55:02Z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</Properties>
</file>