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rFonts w:ascii="Times New Roman" w:hAnsi="Times New Roman" w:cs="Times New Roman" w:eastAsia="Times New Roman"/>
          <w:b/>
          <w:i w:val="0"/>
          <w:color w:val="1F3A5F"/>
          <w:sz w:val="34"/>
        </w:rPr>
        <w:t>ALPHABET INC. (NASDAQ: GOOGL)</w:t>
      </w:r>
    </w:p>
    <w:p>
      <w:pPr>
        <w:spacing w:after="80" w:before="0" w:line="240" w:lineRule="auto"/>
      </w:pPr>
      <w:r>
        <w:rPr>
          <w:rFonts w:ascii="Times New Roman" w:hAnsi="Times New Roman" w:cs="Times New Roman" w:eastAsia="Times New Roman"/>
          <w:b/>
          <w:i w:val="0"/>
          <w:color w:val="52514E"/>
          <w:sz w:val="21"/>
        </w:rPr>
        <w:t>Q3 2026 EARNINGS UPDATE  |  October 29, 2026  |  Internet / Cloud Infrastructure</w:t>
      </w:r>
    </w:p>
    <w:p>
      <w:pPr>
        <w:spacing w:after="80" w:before="0" w:line="240" w:lineRule="auto"/>
      </w:pPr>
      <w:r>
        <w:rPr>
          <w:rFonts w:ascii="Times New Roman" w:hAnsi="Times New Roman" w:cs="Times New Roman" w:eastAsia="Times New Roman"/>
          <w:b/>
          <w:i w:val="0"/>
          <w:sz w:val="29"/>
        </w:rPr>
        <w:t>Cloud Doubles, SpaceX Mark Sinks EPS; Capex Is the Debate - Maintain BUY, PT $360</w:t>
      </w:r>
    </w:p>
    <w:p>
      <w:pPr>
        <w:spacing w:after="120" w:before="0" w:line="240" w:lineRule="auto"/>
      </w:pPr>
      <w:r>
        <w:rPr>
          <w:rFonts w:ascii="Times New Roman" w:hAnsi="Times New Roman" w:cs="Times New Roman" w:eastAsia="Times New Roman"/>
          <w:b/>
          <w:sz w:val="19"/>
        </w:rPr>
        <w:t>Rating: MAINTAIN BUY   |   12-month price target: $360</w:t>
      </w:r>
      <w:r>
        <w:rPr>
          <w:rFonts w:ascii="Times New Roman" w:hAnsi="Times New Roman" w:cs="Times New Roman" w:eastAsia="Times New Roman"/>
          <w:sz w:val="19"/>
        </w:rPr>
        <w:t xml:space="preserve"> (set in this note; 50% P/E, 50% sum-of-the-parts)   |   </w:t>
      </w:r>
      <w:r>
        <w:rPr>
          <w:rFonts w:ascii="Times New Roman" w:hAnsi="Times New Roman" w:cs="Times New Roman" w:eastAsia="Times New Roman"/>
          <w:b/>
          <w:sz w:val="19"/>
        </w:rPr>
        <w:t xml:space="preserve">Price: $291.08 pre-market 10/29 </w:t>
      </w:r>
      <w:r>
        <w:rPr>
          <w:rFonts w:ascii="Times New Roman" w:hAnsi="Times New Roman" w:cs="Times New Roman" w:eastAsia="Times New Roman"/>
          <w:sz w:val="19"/>
        </w:rPr>
        <w:t xml:space="preserve">(close 10/28: $324.89)   |   </w:t>
      </w:r>
      <w:r>
        <w:rPr>
          <w:rFonts w:ascii="Times New Roman" w:hAnsi="Times New Roman" w:cs="Times New Roman" w:eastAsia="Times New Roman"/>
          <w:b/>
          <w:sz w:val="19"/>
        </w:rPr>
        <w:t>Implied upside: +24%</w:t>
      </w:r>
      <w:r>
        <w:rPr>
          <w:rFonts w:ascii="Times New Roman" w:hAnsi="Times New Roman" w:cs="Times New Roman" w:eastAsia="Times New Roman"/>
          <w:sz w:val="19"/>
        </w:rPr>
        <w:t xml:space="preserve">   |   52-week range: $266.50-$408.61   |   Market cap: ~$3.6T at pre-market price</w:t>
      </w:r>
    </w:p>
    <w:p>
      <w:pPr>
        <w:keepNext/>
        <w:spacing w:after="40" w:before="80" w:line="240" w:lineRule="auto"/>
      </w:pPr>
      <w:r>
        <w:rPr>
          <w:rFonts w:ascii="Times New Roman" w:hAnsi="Times New Roman" w:cs="Times New Roman" w:eastAsia="Times New Roman"/>
          <w:b/>
          <w:i w:val="0"/>
          <w:sz w:val="19"/>
        </w:rPr>
        <w:t>Table 1 - Q3 2026 Earnings Summary: Revenue In Line, EPS Miss (Non-Operating)</w:t>
      </w:r>
    </w:p>
    <w:tbl>
      <w:tblPr>
        <w:tblStyle w:val="TableGrid"/>
        <w:tblW w:type="auto" w:w="0"/>
        <w:jc w:val="center"/>
        <w:tblLayout w:type="fixed"/>
        <w:tblLook w:firstColumn="1" w:firstRow="1" w:lastColumn="0" w:lastRow="0" w:noHBand="0" w:noVBand="1" w:val="04A0"/>
      </w:tblPr>
      <w:tblGrid>
        <w:gridCol w:w="2880"/>
        <w:gridCol w:w="1224"/>
        <w:gridCol w:w="1224"/>
        <w:gridCol w:w="1656"/>
        <w:gridCol w:w="1224"/>
        <w:gridCol w:w="1152"/>
      </w:tblGrid>
      <w:tr>
        <w:tc>
          <w:tcPr>
            <w:tcW w:type="dxa" w:w="2880"/>
            <w:shd w:val="clear" w:color="auto" w:fill="1F3A5F"/>
          </w:tcPr>
          <w:p>
            <w:pPr>
              <w:keepNext/>
              <w:jc w:val="left"/>
            </w:pPr>
            <w:r/>
            <w:r>
              <w:rPr>
                <w:rFonts w:ascii="Times New Roman" w:hAnsi="Times New Roman" w:cs="Times New Roman" w:eastAsia="Times New Roman"/>
                <w:b/>
                <w:color w:val="FFFFFF"/>
                <w:sz w:val="17"/>
              </w:rPr>
              <w:t>$M except EPS</w:t>
            </w:r>
          </w:p>
        </w:tc>
        <w:tc>
          <w:tcPr>
            <w:tcW w:type="dxa" w:w="1224"/>
            <w:shd w:val="clear" w:color="auto" w:fill="1F3A5F"/>
          </w:tcPr>
          <w:p>
            <w:pPr>
              <w:keepNext/>
              <w:jc w:val="center"/>
            </w:pPr>
            <w:r/>
            <w:r>
              <w:rPr>
                <w:rFonts w:ascii="Times New Roman" w:hAnsi="Times New Roman" w:cs="Times New Roman" w:eastAsia="Times New Roman"/>
                <w:b/>
                <w:color w:val="FFFFFF"/>
                <w:sz w:val="17"/>
              </w:rPr>
              <w:t>Q3'26A</w:t>
            </w:r>
          </w:p>
        </w:tc>
        <w:tc>
          <w:tcPr>
            <w:tcW w:type="dxa" w:w="1224"/>
            <w:shd w:val="clear" w:color="auto" w:fill="1F3A5F"/>
          </w:tcPr>
          <w:p>
            <w:pPr>
              <w:keepNext/>
              <w:jc w:val="center"/>
            </w:pPr>
            <w:r/>
            <w:r>
              <w:rPr>
                <w:rFonts w:ascii="Times New Roman" w:hAnsi="Times New Roman" w:cs="Times New Roman" w:eastAsia="Times New Roman"/>
                <w:b/>
                <w:color w:val="FFFFFF"/>
                <w:sz w:val="17"/>
              </w:rPr>
              <w:t>Consensus</w:t>
            </w:r>
          </w:p>
        </w:tc>
        <w:tc>
          <w:tcPr>
            <w:tcW w:type="dxa" w:w="1656"/>
            <w:shd w:val="clear" w:color="auto" w:fill="1F3A5F"/>
          </w:tcPr>
          <w:p>
            <w:pPr>
              <w:keepNext/>
              <w:jc w:val="center"/>
            </w:pPr>
            <w:r/>
            <w:r>
              <w:rPr>
                <w:rFonts w:ascii="Times New Roman" w:hAnsi="Times New Roman" w:cs="Times New Roman" w:eastAsia="Times New Roman"/>
                <w:b/>
                <w:color w:val="FFFFFF"/>
                <w:sz w:val="17"/>
              </w:rPr>
              <w:t>Variance</w:t>
            </w:r>
          </w:p>
        </w:tc>
        <w:tc>
          <w:tcPr>
            <w:tcW w:type="dxa" w:w="1224"/>
            <w:shd w:val="clear" w:color="auto" w:fill="1F3A5F"/>
          </w:tcPr>
          <w:p>
            <w:pPr>
              <w:keepNext/>
              <w:jc w:val="center"/>
            </w:pPr>
            <w:r/>
            <w:r>
              <w:rPr>
                <w:rFonts w:ascii="Times New Roman" w:hAnsi="Times New Roman" w:cs="Times New Roman" w:eastAsia="Times New Roman"/>
                <w:b/>
                <w:color w:val="FFFFFF"/>
                <w:sz w:val="17"/>
              </w:rPr>
              <w:t>Q3'25A</w:t>
            </w:r>
          </w:p>
        </w:tc>
        <w:tc>
          <w:tcPr>
            <w:tcW w:type="dxa" w:w="1152"/>
            <w:shd w:val="clear" w:color="auto" w:fill="1F3A5F"/>
          </w:tcPr>
          <w:p>
            <w:pPr>
              <w:keepNext/>
              <w:jc w:val="center"/>
            </w:pPr>
            <w:r/>
            <w:r>
              <w:rPr>
                <w:rFonts w:ascii="Times New Roman" w:hAnsi="Times New Roman" w:cs="Times New Roman" w:eastAsia="Times New Roman"/>
                <w:b/>
                <w:color w:val="FFFFFF"/>
                <w:sz w:val="17"/>
              </w:rPr>
              <w:t>YoY</w:t>
            </w:r>
          </w:p>
        </w:tc>
      </w:tr>
      <w:tr>
        <w:tc>
          <w:tcPr>
            <w:tcW w:type="dxa" w:w="2880"/>
          </w:tcPr>
          <w:p>
            <w:pPr>
              <w:keepNext/>
              <w:spacing w:after="0"/>
              <w:jc w:val="left"/>
            </w:pPr>
            <w:r/>
            <w:r>
              <w:rPr>
                <w:rFonts w:ascii="Times New Roman" w:hAnsi="Times New Roman" w:cs="Times New Roman" w:eastAsia="Times New Roman"/>
                <w:b/>
                <w:sz w:val="17"/>
              </w:rPr>
              <w:t>Revenue</w:t>
            </w:r>
          </w:p>
        </w:tc>
        <w:tc>
          <w:tcPr>
            <w:tcW w:type="dxa" w:w="1224"/>
          </w:tcPr>
          <w:p>
            <w:pPr>
              <w:keepNext/>
              <w:spacing w:after="0"/>
              <w:jc w:val="right"/>
            </w:pPr>
            <w:r/>
            <w:r>
              <w:rPr>
                <w:rFonts w:ascii="Times New Roman" w:hAnsi="Times New Roman" w:cs="Times New Roman" w:eastAsia="Times New Roman"/>
                <w:b/>
                <w:sz w:val="17"/>
              </w:rPr>
              <w:t>127,577</w:t>
            </w:r>
          </w:p>
        </w:tc>
        <w:tc>
          <w:tcPr>
            <w:tcW w:type="dxa" w:w="1224"/>
          </w:tcPr>
          <w:p>
            <w:pPr>
              <w:keepNext/>
              <w:spacing w:after="0"/>
              <w:jc w:val="right"/>
            </w:pPr>
            <w:r/>
            <w:r>
              <w:rPr>
                <w:rFonts w:ascii="Times New Roman" w:hAnsi="Times New Roman" w:cs="Times New Roman" w:eastAsia="Times New Roman"/>
                <w:b/>
                <w:sz w:val="17"/>
              </w:rPr>
              <w:t>127,970</w:t>
            </w:r>
          </w:p>
        </w:tc>
        <w:tc>
          <w:tcPr>
            <w:tcW w:type="dxa" w:w="1656"/>
          </w:tcPr>
          <w:p>
            <w:pPr>
              <w:keepNext/>
              <w:spacing w:after="0"/>
              <w:jc w:val="right"/>
            </w:pPr>
            <w:r/>
            <w:r>
              <w:rPr>
                <w:rFonts w:ascii="Times New Roman" w:hAnsi="Times New Roman" w:cs="Times New Roman" w:eastAsia="Times New Roman"/>
                <w:b/>
                <w:sz w:val="17"/>
              </w:rPr>
              <w:t>-393 (-0.3%)</w:t>
            </w:r>
          </w:p>
        </w:tc>
        <w:tc>
          <w:tcPr>
            <w:tcW w:type="dxa" w:w="1224"/>
          </w:tcPr>
          <w:p>
            <w:pPr>
              <w:keepNext/>
              <w:spacing w:after="0"/>
              <w:jc w:val="right"/>
            </w:pPr>
            <w:r/>
            <w:r>
              <w:rPr>
                <w:rFonts w:ascii="Times New Roman" w:hAnsi="Times New Roman" w:cs="Times New Roman" w:eastAsia="Times New Roman"/>
                <w:b/>
                <w:sz w:val="17"/>
              </w:rPr>
              <w:t>102,346</w:t>
            </w:r>
          </w:p>
        </w:tc>
        <w:tc>
          <w:tcPr>
            <w:tcW w:type="dxa" w:w="1152"/>
          </w:tcPr>
          <w:p>
            <w:pPr>
              <w:keepNext/>
              <w:spacing w:after="0"/>
              <w:jc w:val="right"/>
            </w:pPr>
            <w:r/>
            <w:r>
              <w:rPr>
                <w:rFonts w:ascii="Times New Roman" w:hAnsi="Times New Roman" w:cs="Times New Roman" w:eastAsia="Times New Roman"/>
                <w:b/>
                <w:sz w:val="17"/>
              </w:rPr>
              <w:t>+24.7%</w:t>
            </w:r>
          </w:p>
        </w:tc>
      </w:tr>
      <w:tr>
        <w:tc>
          <w:tcPr>
            <w:tcW w:type="dxa" w:w="2880"/>
            <w:shd w:val="clear" w:color="auto" w:fill="EEF2F7"/>
          </w:tcPr>
          <w:p>
            <w:pPr>
              <w:keepNext/>
              <w:spacing w:after="0"/>
              <w:jc w:val="left"/>
            </w:pPr>
            <w:r/>
            <w:r>
              <w:rPr>
                <w:rFonts w:ascii="Times New Roman" w:hAnsi="Times New Roman" w:cs="Times New Roman" w:eastAsia="Times New Roman"/>
                <w:b w:val="0"/>
                <w:sz w:val="17"/>
              </w:rPr>
              <w:t>Google Cloud revenue</w:t>
            </w:r>
          </w:p>
        </w:tc>
        <w:tc>
          <w:tcPr>
            <w:tcW w:type="dxa" w:w="1224"/>
            <w:shd w:val="clear" w:color="auto" w:fill="EEF2F7"/>
          </w:tcPr>
          <w:p>
            <w:pPr>
              <w:keepNext/>
              <w:spacing w:after="0"/>
              <w:jc w:val="right"/>
            </w:pPr>
            <w:r/>
            <w:r>
              <w:rPr>
                <w:rFonts w:ascii="Times New Roman" w:hAnsi="Times New Roman" w:cs="Times New Roman" w:eastAsia="Times New Roman"/>
                <w:b w:val="0"/>
                <w:sz w:val="17"/>
              </w:rPr>
              <w:t>30,709</w:t>
            </w:r>
          </w:p>
        </w:tc>
        <w:tc>
          <w:tcPr>
            <w:tcW w:type="dxa" w:w="1224"/>
            <w:shd w:val="clear" w:color="auto" w:fill="EEF2F7"/>
          </w:tcPr>
          <w:p>
            <w:pPr>
              <w:keepNext/>
              <w:spacing w:after="0"/>
              <w:jc w:val="right"/>
            </w:pPr>
            <w:r/>
            <w:r>
              <w:rPr>
                <w:rFonts w:ascii="Times New Roman" w:hAnsi="Times New Roman" w:cs="Times New Roman" w:eastAsia="Times New Roman"/>
                <w:b w:val="0"/>
                <w:sz w:val="17"/>
              </w:rPr>
              <w:t>n/a</w:t>
            </w:r>
          </w:p>
        </w:tc>
        <w:tc>
          <w:tcPr>
            <w:tcW w:type="dxa" w:w="1656"/>
            <w:shd w:val="clear" w:color="auto" w:fill="EEF2F7"/>
          </w:tcPr>
          <w:p>
            <w:pPr>
              <w:keepNext/>
              <w:spacing w:after="0"/>
              <w:jc w:val="right"/>
            </w:pPr>
            <w:r/>
            <w:r>
              <w:rPr>
                <w:rFonts w:ascii="Times New Roman" w:hAnsi="Times New Roman" w:cs="Times New Roman" w:eastAsia="Times New Roman"/>
                <w:b w:val="0"/>
                <w:sz w:val="17"/>
              </w:rPr>
              <w:t>n/a</w:t>
            </w:r>
          </w:p>
        </w:tc>
        <w:tc>
          <w:tcPr>
            <w:tcW w:type="dxa" w:w="1224"/>
            <w:shd w:val="clear" w:color="auto" w:fill="EEF2F7"/>
          </w:tcPr>
          <w:p>
            <w:pPr>
              <w:keepNext/>
              <w:spacing w:after="0"/>
              <w:jc w:val="right"/>
            </w:pPr>
            <w:r/>
            <w:r>
              <w:rPr>
                <w:rFonts w:ascii="Times New Roman" w:hAnsi="Times New Roman" w:cs="Times New Roman" w:eastAsia="Times New Roman"/>
                <w:b w:val="0"/>
                <w:sz w:val="17"/>
              </w:rPr>
              <w:t>15,157</w:t>
            </w:r>
          </w:p>
        </w:tc>
        <w:tc>
          <w:tcPr>
            <w:tcW w:type="dxa" w:w="1152"/>
            <w:shd w:val="clear" w:color="auto" w:fill="EEF2F7"/>
          </w:tcPr>
          <w:p>
            <w:pPr>
              <w:keepNext/>
              <w:spacing w:after="0"/>
              <w:jc w:val="right"/>
            </w:pPr>
            <w:r/>
            <w:r>
              <w:rPr>
                <w:rFonts w:ascii="Times New Roman" w:hAnsi="Times New Roman" w:cs="Times New Roman" w:eastAsia="Times New Roman"/>
                <w:b w:val="0"/>
                <w:sz w:val="17"/>
              </w:rPr>
              <w:t>+102.6%</w:t>
            </w:r>
          </w:p>
        </w:tc>
      </w:tr>
      <w:tr>
        <w:tc>
          <w:tcPr>
            <w:tcW w:type="dxa" w:w="2880"/>
          </w:tcPr>
          <w:p>
            <w:pPr>
              <w:keepNext/>
              <w:spacing w:after="0"/>
              <w:jc w:val="left"/>
            </w:pPr>
            <w:r/>
            <w:r>
              <w:rPr>
                <w:rFonts w:ascii="Times New Roman" w:hAnsi="Times New Roman" w:cs="Times New Roman" w:eastAsia="Times New Roman"/>
                <w:b w:val="0"/>
                <w:sz w:val="17"/>
              </w:rPr>
              <w:t>Operating income</w:t>
            </w:r>
          </w:p>
        </w:tc>
        <w:tc>
          <w:tcPr>
            <w:tcW w:type="dxa" w:w="1224"/>
          </w:tcPr>
          <w:p>
            <w:pPr>
              <w:keepNext/>
              <w:spacing w:after="0"/>
              <w:jc w:val="right"/>
            </w:pPr>
            <w:r/>
            <w:r>
              <w:rPr>
                <w:rFonts w:ascii="Times New Roman" w:hAnsi="Times New Roman" w:cs="Times New Roman" w:eastAsia="Times New Roman"/>
                <w:b w:val="0"/>
                <w:sz w:val="17"/>
              </w:rPr>
              <w:t>40,576</w:t>
            </w:r>
          </w:p>
        </w:tc>
        <w:tc>
          <w:tcPr>
            <w:tcW w:type="dxa" w:w="1224"/>
          </w:tcPr>
          <w:p>
            <w:pPr>
              <w:keepNext/>
              <w:spacing w:after="0"/>
              <w:jc w:val="right"/>
            </w:pPr>
            <w:r/>
            <w:r>
              <w:rPr>
                <w:rFonts w:ascii="Times New Roman" w:hAnsi="Times New Roman" w:cs="Times New Roman" w:eastAsia="Times New Roman"/>
                <w:b w:val="0"/>
                <w:sz w:val="17"/>
              </w:rPr>
              <w:t>n/a</w:t>
            </w:r>
          </w:p>
        </w:tc>
        <w:tc>
          <w:tcPr>
            <w:tcW w:type="dxa" w:w="1656"/>
          </w:tcPr>
          <w:p>
            <w:pPr>
              <w:keepNext/>
              <w:spacing w:after="0"/>
              <w:jc w:val="right"/>
            </w:pPr>
            <w:r/>
            <w:r>
              <w:rPr>
                <w:rFonts w:ascii="Times New Roman" w:hAnsi="Times New Roman" w:cs="Times New Roman" w:eastAsia="Times New Roman"/>
                <w:b w:val="0"/>
                <w:sz w:val="17"/>
              </w:rPr>
              <w:t>n/a</w:t>
            </w:r>
          </w:p>
        </w:tc>
        <w:tc>
          <w:tcPr>
            <w:tcW w:type="dxa" w:w="1224"/>
          </w:tcPr>
          <w:p>
            <w:pPr>
              <w:keepNext/>
              <w:spacing w:after="0"/>
              <w:jc w:val="right"/>
            </w:pPr>
            <w:r/>
            <w:r>
              <w:rPr>
                <w:rFonts w:ascii="Times New Roman" w:hAnsi="Times New Roman" w:cs="Times New Roman" w:eastAsia="Times New Roman"/>
                <w:b w:val="0"/>
                <w:sz w:val="17"/>
              </w:rPr>
              <w:t>31,228</w:t>
            </w:r>
          </w:p>
        </w:tc>
        <w:tc>
          <w:tcPr>
            <w:tcW w:type="dxa" w:w="1152"/>
          </w:tcPr>
          <w:p>
            <w:pPr>
              <w:keepNext/>
              <w:spacing w:after="0"/>
              <w:jc w:val="right"/>
            </w:pPr>
            <w:r/>
            <w:r>
              <w:rPr>
                <w:rFonts w:ascii="Times New Roman" w:hAnsi="Times New Roman" w:cs="Times New Roman" w:eastAsia="Times New Roman"/>
                <w:b w:val="0"/>
                <w:sz w:val="17"/>
              </w:rPr>
              <w:t>+29.9%</w:t>
            </w:r>
          </w:p>
        </w:tc>
      </w:tr>
      <w:tr>
        <w:tc>
          <w:tcPr>
            <w:tcW w:type="dxa" w:w="2880"/>
            <w:shd w:val="clear" w:color="auto" w:fill="EEF2F7"/>
          </w:tcPr>
          <w:p>
            <w:pPr>
              <w:keepNext/>
              <w:spacing w:after="0"/>
              <w:jc w:val="left"/>
            </w:pPr>
            <w:r/>
            <w:r>
              <w:rPr>
                <w:rFonts w:ascii="Times New Roman" w:hAnsi="Times New Roman" w:cs="Times New Roman" w:eastAsia="Times New Roman"/>
                <w:b w:val="0"/>
                <w:sz w:val="17"/>
              </w:rPr>
              <w:t>Operating margin</w:t>
            </w:r>
          </w:p>
        </w:tc>
        <w:tc>
          <w:tcPr>
            <w:tcW w:type="dxa" w:w="1224"/>
            <w:shd w:val="clear" w:color="auto" w:fill="EEF2F7"/>
          </w:tcPr>
          <w:p>
            <w:pPr>
              <w:keepNext/>
              <w:spacing w:after="0"/>
              <w:jc w:val="right"/>
            </w:pPr>
            <w:r/>
            <w:r>
              <w:rPr>
                <w:rFonts w:ascii="Times New Roman" w:hAnsi="Times New Roman" w:cs="Times New Roman" w:eastAsia="Times New Roman"/>
                <w:b w:val="0"/>
                <w:sz w:val="17"/>
              </w:rPr>
              <w:t>31.8%</w:t>
            </w:r>
          </w:p>
        </w:tc>
        <w:tc>
          <w:tcPr>
            <w:tcW w:type="dxa" w:w="1224"/>
            <w:shd w:val="clear" w:color="auto" w:fill="EEF2F7"/>
          </w:tcPr>
          <w:p>
            <w:pPr>
              <w:keepNext/>
              <w:spacing w:after="0"/>
              <w:jc w:val="right"/>
            </w:pPr>
            <w:r/>
            <w:r>
              <w:rPr>
                <w:rFonts w:ascii="Times New Roman" w:hAnsi="Times New Roman" w:cs="Times New Roman" w:eastAsia="Times New Roman"/>
                <w:b w:val="0"/>
                <w:sz w:val="17"/>
              </w:rPr>
              <w:t>n/a</w:t>
            </w:r>
          </w:p>
        </w:tc>
        <w:tc>
          <w:tcPr>
            <w:tcW w:type="dxa" w:w="1656"/>
            <w:shd w:val="clear" w:color="auto" w:fill="EEF2F7"/>
          </w:tcPr>
          <w:p>
            <w:pPr>
              <w:keepNext/>
              <w:spacing w:after="0"/>
              <w:jc w:val="right"/>
            </w:pPr>
            <w:r/>
            <w:r>
              <w:rPr>
                <w:rFonts w:ascii="Times New Roman" w:hAnsi="Times New Roman" w:cs="Times New Roman" w:eastAsia="Times New Roman"/>
                <w:b w:val="0"/>
                <w:sz w:val="17"/>
              </w:rPr>
              <w:t>n/a</w:t>
            </w:r>
          </w:p>
        </w:tc>
        <w:tc>
          <w:tcPr>
            <w:tcW w:type="dxa" w:w="1224"/>
            <w:shd w:val="clear" w:color="auto" w:fill="EEF2F7"/>
          </w:tcPr>
          <w:p>
            <w:pPr>
              <w:keepNext/>
              <w:spacing w:after="0"/>
              <w:jc w:val="right"/>
            </w:pPr>
            <w:r/>
            <w:r>
              <w:rPr>
                <w:rFonts w:ascii="Times New Roman" w:hAnsi="Times New Roman" w:cs="Times New Roman" w:eastAsia="Times New Roman"/>
                <w:b w:val="0"/>
                <w:sz w:val="17"/>
              </w:rPr>
              <w:t>30.5%</w:t>
            </w:r>
          </w:p>
        </w:tc>
        <w:tc>
          <w:tcPr>
            <w:tcW w:type="dxa" w:w="1152"/>
            <w:shd w:val="clear" w:color="auto" w:fill="EEF2F7"/>
          </w:tcPr>
          <w:p>
            <w:pPr>
              <w:keepNext/>
              <w:spacing w:after="0"/>
              <w:jc w:val="right"/>
            </w:pPr>
            <w:r/>
            <w:r>
              <w:rPr>
                <w:rFonts w:ascii="Times New Roman" w:hAnsi="Times New Roman" w:cs="Times New Roman" w:eastAsia="Times New Roman"/>
                <w:b w:val="0"/>
                <w:sz w:val="17"/>
              </w:rPr>
              <w:t>+130bps</w:t>
            </w:r>
          </w:p>
        </w:tc>
      </w:tr>
      <w:tr>
        <w:tc>
          <w:tcPr>
            <w:tcW w:type="dxa" w:w="2880"/>
          </w:tcPr>
          <w:p>
            <w:pPr>
              <w:keepNext/>
              <w:spacing w:after="0"/>
              <w:jc w:val="left"/>
            </w:pPr>
            <w:r/>
            <w:r>
              <w:rPr>
                <w:rFonts w:ascii="Times New Roman" w:hAnsi="Times New Roman" w:cs="Times New Roman" w:eastAsia="Times New Roman"/>
                <w:b/>
                <w:sz w:val="17"/>
              </w:rPr>
              <w:t>Diluted EPS (GAAP)</w:t>
            </w:r>
          </w:p>
        </w:tc>
        <w:tc>
          <w:tcPr>
            <w:tcW w:type="dxa" w:w="1224"/>
          </w:tcPr>
          <w:p>
            <w:pPr>
              <w:keepNext/>
              <w:spacing w:after="0"/>
              <w:jc w:val="right"/>
            </w:pPr>
            <w:r/>
            <w:r>
              <w:rPr>
                <w:rFonts w:ascii="Times New Roman" w:hAnsi="Times New Roman" w:cs="Times New Roman" w:eastAsia="Times New Roman"/>
                <w:b/>
                <w:sz w:val="17"/>
              </w:rPr>
              <w:t>$2.12</w:t>
            </w:r>
          </w:p>
        </w:tc>
        <w:tc>
          <w:tcPr>
            <w:tcW w:type="dxa" w:w="1224"/>
          </w:tcPr>
          <w:p>
            <w:pPr>
              <w:keepNext/>
              <w:spacing w:after="0"/>
              <w:jc w:val="right"/>
            </w:pPr>
            <w:r/>
            <w:r>
              <w:rPr>
                <w:rFonts w:ascii="Times New Roman" w:hAnsi="Times New Roman" w:cs="Times New Roman" w:eastAsia="Times New Roman"/>
                <w:b/>
                <w:sz w:val="17"/>
              </w:rPr>
              <w:t>$3.01</w:t>
            </w:r>
          </w:p>
        </w:tc>
        <w:tc>
          <w:tcPr>
            <w:tcW w:type="dxa" w:w="1656"/>
          </w:tcPr>
          <w:p>
            <w:pPr>
              <w:keepNext/>
              <w:spacing w:after="0"/>
              <w:jc w:val="right"/>
            </w:pPr>
            <w:r/>
            <w:r>
              <w:rPr>
                <w:rFonts w:ascii="Times New Roman" w:hAnsi="Times New Roman" w:cs="Times New Roman" w:eastAsia="Times New Roman"/>
                <w:b/>
                <w:sz w:val="17"/>
              </w:rPr>
              <w:t>-$0.89 (-29.6%)</w:t>
            </w:r>
          </w:p>
        </w:tc>
        <w:tc>
          <w:tcPr>
            <w:tcW w:type="dxa" w:w="1224"/>
          </w:tcPr>
          <w:p>
            <w:pPr>
              <w:keepNext/>
              <w:spacing w:after="0"/>
              <w:jc w:val="right"/>
            </w:pPr>
            <w:r/>
            <w:r>
              <w:rPr>
                <w:rFonts w:ascii="Times New Roman" w:hAnsi="Times New Roman" w:cs="Times New Roman" w:eastAsia="Times New Roman"/>
                <w:b/>
                <w:sz w:val="17"/>
              </w:rPr>
              <w:t>$2.87</w:t>
            </w:r>
          </w:p>
        </w:tc>
        <w:tc>
          <w:tcPr>
            <w:tcW w:type="dxa" w:w="1152"/>
          </w:tcPr>
          <w:p>
            <w:pPr>
              <w:keepNext/>
              <w:spacing w:after="0"/>
              <w:jc w:val="right"/>
            </w:pPr>
            <w:r/>
            <w:r>
              <w:rPr>
                <w:rFonts w:ascii="Times New Roman" w:hAnsi="Times New Roman" w:cs="Times New Roman" w:eastAsia="Times New Roman"/>
                <w:b/>
                <w:sz w:val="17"/>
              </w:rPr>
              <w:t>-26.1%</w:t>
            </w:r>
          </w:p>
        </w:tc>
      </w:tr>
      <w:tr>
        <w:tc>
          <w:tcPr>
            <w:tcW w:type="dxa" w:w="2880"/>
            <w:shd w:val="clear" w:color="auto" w:fill="EEF2F7"/>
          </w:tcPr>
          <w:p>
            <w:pPr>
              <w:keepNext/>
              <w:spacing w:after="0"/>
              <w:jc w:val="left"/>
            </w:pPr>
            <w:r/>
            <w:r>
              <w:rPr>
                <w:rFonts w:ascii="Times New Roman" w:hAnsi="Times New Roman" w:cs="Times New Roman" w:eastAsia="Times New Roman"/>
                <w:b w:val="0"/>
                <w:sz w:val="17"/>
              </w:rPr>
              <w:t>EPS ex-equity securities marks*</w:t>
            </w:r>
          </w:p>
        </w:tc>
        <w:tc>
          <w:tcPr>
            <w:tcW w:type="dxa" w:w="1224"/>
            <w:shd w:val="clear" w:color="auto" w:fill="EEF2F7"/>
          </w:tcPr>
          <w:p>
            <w:pPr>
              <w:keepNext/>
              <w:spacing w:after="0"/>
              <w:jc w:val="right"/>
            </w:pPr>
            <w:r/>
            <w:r>
              <w:rPr>
                <w:rFonts w:ascii="Times New Roman" w:hAnsi="Times New Roman" w:cs="Times New Roman" w:eastAsia="Times New Roman"/>
                <w:b w:val="0"/>
                <w:sz w:val="17"/>
              </w:rPr>
              <w:t>$2.67</w:t>
            </w:r>
          </w:p>
        </w:tc>
        <w:tc>
          <w:tcPr>
            <w:tcW w:type="dxa" w:w="1224"/>
            <w:shd w:val="clear" w:color="auto" w:fill="EEF2F7"/>
          </w:tcPr>
          <w:p>
            <w:pPr>
              <w:keepNext/>
              <w:spacing w:after="0"/>
              <w:jc w:val="right"/>
            </w:pPr>
            <w:r/>
            <w:r>
              <w:rPr>
                <w:rFonts w:ascii="Times New Roman" w:hAnsi="Times New Roman" w:cs="Times New Roman" w:eastAsia="Times New Roman"/>
                <w:b w:val="0"/>
                <w:sz w:val="17"/>
              </w:rPr>
              <w:t>$3.01</w:t>
            </w:r>
          </w:p>
        </w:tc>
        <w:tc>
          <w:tcPr>
            <w:tcW w:type="dxa" w:w="1656"/>
            <w:shd w:val="clear" w:color="auto" w:fill="EEF2F7"/>
          </w:tcPr>
          <w:p>
            <w:pPr>
              <w:keepNext/>
              <w:spacing w:after="0"/>
              <w:jc w:val="right"/>
            </w:pPr>
            <w:r/>
            <w:r>
              <w:rPr>
                <w:rFonts w:ascii="Times New Roman" w:hAnsi="Times New Roman" w:cs="Times New Roman" w:eastAsia="Times New Roman"/>
                <w:b w:val="0"/>
                <w:sz w:val="17"/>
              </w:rPr>
              <w:t>-$0.34 (-11.3%)</w:t>
            </w:r>
          </w:p>
        </w:tc>
        <w:tc>
          <w:tcPr>
            <w:tcW w:type="dxa" w:w="1224"/>
            <w:shd w:val="clear" w:color="auto" w:fill="EEF2F7"/>
          </w:tcPr>
          <w:p>
            <w:pPr>
              <w:keepNext/>
              <w:spacing w:after="0"/>
              <w:jc w:val="right"/>
            </w:pPr>
            <w:r/>
            <w:r>
              <w:rPr>
                <w:rFonts w:ascii="Times New Roman" w:hAnsi="Times New Roman" w:cs="Times New Roman" w:eastAsia="Times New Roman"/>
                <w:b w:val="0"/>
                <w:sz w:val="17"/>
              </w:rPr>
              <w:t>$2.17</w:t>
            </w:r>
          </w:p>
        </w:tc>
        <w:tc>
          <w:tcPr>
            <w:tcW w:type="dxa" w:w="1152"/>
            <w:shd w:val="clear" w:color="auto" w:fill="EEF2F7"/>
          </w:tcPr>
          <w:p>
            <w:pPr>
              <w:keepNext/>
              <w:spacing w:after="0"/>
              <w:jc w:val="right"/>
            </w:pPr>
            <w:r/>
            <w:r>
              <w:rPr>
                <w:rFonts w:ascii="Times New Roman" w:hAnsi="Times New Roman" w:cs="Times New Roman" w:eastAsia="Times New Roman"/>
                <w:b w:val="0"/>
                <w:sz w:val="17"/>
              </w:rPr>
              <w:t>+23.0%</w:t>
            </w:r>
          </w:p>
        </w:tc>
      </w:tr>
      <w:tr>
        <w:tc>
          <w:tcPr>
            <w:tcW w:type="dxa" w:w="2880"/>
          </w:tcPr>
          <w:p>
            <w:pPr>
              <w:keepNext/>
              <w:spacing w:after="0"/>
              <w:jc w:val="left"/>
            </w:pPr>
            <w:r/>
            <w:r>
              <w:rPr>
                <w:rFonts w:ascii="Times New Roman" w:hAnsi="Times New Roman" w:cs="Times New Roman" w:eastAsia="Times New Roman"/>
                <w:b w:val="0"/>
                <w:sz w:val="17"/>
              </w:rPr>
              <w:t>Capex</w:t>
            </w:r>
          </w:p>
        </w:tc>
        <w:tc>
          <w:tcPr>
            <w:tcW w:type="dxa" w:w="1224"/>
          </w:tcPr>
          <w:p>
            <w:pPr>
              <w:keepNext/>
              <w:spacing w:after="0"/>
              <w:jc w:val="right"/>
            </w:pPr>
            <w:r/>
            <w:r>
              <w:rPr>
                <w:rFonts w:ascii="Times New Roman" w:hAnsi="Times New Roman" w:cs="Times New Roman" w:eastAsia="Times New Roman"/>
                <w:b w:val="0"/>
                <w:sz w:val="17"/>
              </w:rPr>
              <w:t>51,355</w:t>
            </w:r>
          </w:p>
        </w:tc>
        <w:tc>
          <w:tcPr>
            <w:tcW w:type="dxa" w:w="1224"/>
          </w:tcPr>
          <w:p>
            <w:pPr>
              <w:keepNext/>
              <w:spacing w:after="0"/>
              <w:jc w:val="right"/>
            </w:pPr>
            <w:r/>
            <w:r>
              <w:rPr>
                <w:rFonts w:ascii="Times New Roman" w:hAnsi="Times New Roman" w:cs="Times New Roman" w:eastAsia="Times New Roman"/>
                <w:b w:val="0"/>
                <w:sz w:val="17"/>
              </w:rPr>
              <w:t>n/a</w:t>
            </w:r>
          </w:p>
        </w:tc>
        <w:tc>
          <w:tcPr>
            <w:tcW w:type="dxa" w:w="1656"/>
          </w:tcPr>
          <w:p>
            <w:pPr>
              <w:keepNext/>
              <w:spacing w:after="0"/>
              <w:jc w:val="right"/>
            </w:pPr>
            <w:r/>
            <w:r>
              <w:rPr>
                <w:rFonts w:ascii="Times New Roman" w:hAnsi="Times New Roman" w:cs="Times New Roman" w:eastAsia="Times New Roman"/>
                <w:b w:val="0"/>
                <w:sz w:val="17"/>
              </w:rPr>
              <w:t>n/a</w:t>
            </w:r>
          </w:p>
        </w:tc>
        <w:tc>
          <w:tcPr>
            <w:tcW w:type="dxa" w:w="1224"/>
          </w:tcPr>
          <w:p>
            <w:pPr>
              <w:keepNext/>
              <w:spacing w:after="0"/>
              <w:jc w:val="right"/>
            </w:pPr>
            <w:r/>
            <w:r>
              <w:rPr>
                <w:rFonts w:ascii="Times New Roman" w:hAnsi="Times New Roman" w:cs="Times New Roman" w:eastAsia="Times New Roman"/>
                <w:b w:val="0"/>
                <w:sz w:val="17"/>
              </w:rPr>
              <w:t>23,953</w:t>
            </w:r>
          </w:p>
        </w:tc>
        <w:tc>
          <w:tcPr>
            <w:tcW w:type="dxa" w:w="1152"/>
          </w:tcPr>
          <w:p>
            <w:pPr>
              <w:keepNext/>
              <w:spacing w:after="0"/>
              <w:jc w:val="right"/>
            </w:pPr>
            <w:r/>
            <w:r>
              <w:rPr>
                <w:rFonts w:ascii="Times New Roman" w:hAnsi="Times New Roman" w:cs="Times New Roman" w:eastAsia="Times New Roman"/>
                <w:b w:val="0"/>
                <w:sz w:val="17"/>
              </w:rPr>
              <w:t>+114.4%</w:t>
            </w:r>
          </w:p>
        </w:tc>
      </w:tr>
      <w:tr>
        <w:tc>
          <w:tcPr>
            <w:tcW w:type="dxa" w:w="2880"/>
            <w:shd w:val="clear" w:color="auto" w:fill="EEF2F7"/>
          </w:tcPr>
          <w:p>
            <w:pPr>
              <w:spacing w:after="0"/>
              <w:jc w:val="left"/>
            </w:pPr>
            <w:r/>
            <w:r>
              <w:rPr>
                <w:rFonts w:ascii="Times New Roman" w:hAnsi="Times New Roman" w:cs="Times New Roman" w:eastAsia="Times New Roman"/>
                <w:b w:val="0"/>
                <w:sz w:val="17"/>
              </w:rPr>
              <w:t>Free cash flow</w:t>
            </w:r>
          </w:p>
        </w:tc>
        <w:tc>
          <w:tcPr>
            <w:tcW w:type="dxa" w:w="1224"/>
            <w:shd w:val="clear" w:color="auto" w:fill="EEF2F7"/>
          </w:tcPr>
          <w:p>
            <w:pPr>
              <w:spacing w:after="0"/>
              <w:jc w:val="right"/>
            </w:pPr>
            <w:r/>
            <w:r>
              <w:rPr>
                <w:rFonts w:ascii="Times New Roman" w:hAnsi="Times New Roman" w:cs="Times New Roman" w:eastAsia="Times New Roman"/>
                <w:b w:val="0"/>
                <w:sz w:val="17"/>
              </w:rPr>
              <w:t>(9,065)</w:t>
            </w:r>
          </w:p>
        </w:tc>
        <w:tc>
          <w:tcPr>
            <w:tcW w:type="dxa" w:w="1224"/>
            <w:shd w:val="clear" w:color="auto" w:fill="EEF2F7"/>
          </w:tcPr>
          <w:p>
            <w:pPr>
              <w:spacing w:after="0"/>
              <w:jc w:val="right"/>
            </w:pPr>
            <w:r/>
            <w:r>
              <w:rPr>
                <w:rFonts w:ascii="Times New Roman" w:hAnsi="Times New Roman" w:cs="Times New Roman" w:eastAsia="Times New Roman"/>
                <w:b w:val="0"/>
                <w:sz w:val="17"/>
              </w:rPr>
              <w:t>n/a</w:t>
            </w:r>
          </w:p>
        </w:tc>
        <w:tc>
          <w:tcPr>
            <w:tcW w:type="dxa" w:w="1656"/>
            <w:shd w:val="clear" w:color="auto" w:fill="EEF2F7"/>
          </w:tcPr>
          <w:p>
            <w:pPr>
              <w:spacing w:after="0"/>
              <w:jc w:val="right"/>
            </w:pPr>
            <w:r/>
            <w:r>
              <w:rPr>
                <w:rFonts w:ascii="Times New Roman" w:hAnsi="Times New Roman" w:cs="Times New Roman" w:eastAsia="Times New Roman"/>
                <w:b w:val="0"/>
                <w:sz w:val="17"/>
              </w:rPr>
              <w:t>n/a</w:t>
            </w:r>
          </w:p>
        </w:tc>
        <w:tc>
          <w:tcPr>
            <w:tcW w:type="dxa" w:w="1224"/>
            <w:shd w:val="clear" w:color="auto" w:fill="EEF2F7"/>
          </w:tcPr>
          <w:p>
            <w:pPr>
              <w:spacing w:after="0"/>
              <w:jc w:val="right"/>
            </w:pPr>
            <w:r/>
            <w:r>
              <w:rPr>
                <w:rFonts w:ascii="Times New Roman" w:hAnsi="Times New Roman" w:cs="Times New Roman" w:eastAsia="Times New Roman"/>
                <w:b w:val="0"/>
                <w:sz w:val="17"/>
              </w:rPr>
              <w:t>24,461**</w:t>
            </w:r>
          </w:p>
        </w:tc>
        <w:tc>
          <w:tcPr>
            <w:tcW w:type="dxa" w:w="1152"/>
            <w:shd w:val="clear" w:color="auto" w:fill="EEF2F7"/>
          </w:tcPr>
          <w:p>
            <w:pPr>
              <w:spacing w:after="0"/>
              <w:jc w:val="right"/>
            </w:pPr>
            <w:r/>
            <w:r>
              <w:rPr>
                <w:rFonts w:ascii="Times New Roman" w:hAnsi="Times New Roman" w:cs="Times New Roman" w:eastAsia="Times New Roman"/>
                <w:b w:val="0"/>
                <w:sz w:val="17"/>
              </w:rPr>
              <w:t>n.m.</w:t>
            </w:r>
          </w:p>
        </w:tc>
      </w:tr>
    </w:tbl>
    <w:p>
      <w:pPr>
        <w:spacing w:after="140" w:before="0" w:line="240" w:lineRule="auto"/>
      </w:pPr>
      <w:r>
        <w:rPr>
          <w:rFonts w:ascii="Times New Roman" w:hAnsi="Times New Roman" w:cs="Times New Roman" w:eastAsia="Times New Roman"/>
          <w:i/>
          <w:sz w:val="17"/>
        </w:rPr>
        <w:t xml:space="preserve">Source: </w:t>
      </w:r>
      <w:hyperlink r:id="rId10">
        <w:r>
          <w:rPr>
            <w:rFonts w:ascii="Times New Roman" w:hAnsi="Times New Roman" w:cs="Times New Roman" w:eastAsia="Times New Roman"/>
            <w:i/>
            <w:color w:val="0563C1"/>
            <w:u w:val="single"/>
            <w:sz w:val="17"/>
          </w:rPr>
          <w:t xml:space="preserve">Q3'26 earnings release (8-K Ex. 99.1, Oct 28, 2026)</w:t>
        </w:r>
      </w:hyperlink>
      <w:r>
        <w:rPr>
          <w:rFonts w:ascii="Times New Roman" w:hAnsi="Times New Roman" w:cs="Times New Roman" w:eastAsia="Times New Roman"/>
          <w:i/>
          <w:sz w:val="17"/>
        </w:rPr>
        <w:t xml:space="preserve">; consensus from </w:t>
      </w:r>
      <w:hyperlink r:id="rId11">
        <w:r>
          <w:rPr>
            <w:rFonts w:ascii="Times New Roman" w:hAnsi="Times New Roman" w:cs="Times New Roman" w:eastAsia="Times New Roman"/>
            <w:i/>
            <w:color w:val="0563C1"/>
            <w:u w:val="single"/>
            <w:sz w:val="17"/>
          </w:rPr>
          <w:t xml:space="preserve">MarketBeat (pre-print, accessed Oct 29, 2026)</w:t>
        </w:r>
      </w:hyperlink>
      <w:r>
        <w:rPr>
          <w:rFonts w:ascii="Times New Roman" w:hAnsi="Times New Roman" w:cs="Times New Roman" w:eastAsia="Times New Roman"/>
          <w:i/>
          <w:sz w:val="17"/>
        </w:rPr>
        <w:t>; other outlets cited $3.02 EPS and $127.2-128.2B revenue. *Our calculation: removes the $8,664M equity securities loss (and prior-year gains) at an assumed 21% tax rate. **Q3'25 FCF derived as OCF less capex.</w:t>
      </w:r>
    </w:p>
    <w:p>
      <w:pPr>
        <w:keepNext/>
        <w:spacing w:after="40" w:before="0" w:line="240" w:lineRule="auto"/>
      </w:pPr>
      <w:r>
        <w:rPr>
          <w:rFonts w:ascii="Times New Roman" w:hAnsi="Times New Roman" w:cs="Times New Roman" w:eastAsia="Times New Roman"/>
          <w:b/>
          <w:i w:val="0"/>
          <w:color w:val="1F3A5F"/>
          <w:sz w:val="22"/>
        </w:rPr>
        <w:t>Key takeaways</w:t>
      </w:r>
    </w:p>
    <w:p>
      <w:pPr>
        <w:spacing w:after="100" w:before="0" w:line="240" w:lineRule="auto"/>
        <w:jc w:val="both"/>
      </w:pPr>
      <w:r>
        <w:rPr>
          <w:rFonts w:ascii="Times New Roman" w:hAnsi="Times New Roman" w:cs="Times New Roman" w:eastAsia="Times New Roman"/>
          <w:color w:val="1F3A5F"/>
          <w:sz w:val="21"/>
        </w:rPr>
        <w:t xml:space="preserve">■ </w:t>
      </w:r>
      <w:r>
        <w:rPr>
          <w:rFonts w:ascii="Times New Roman" w:hAnsi="Times New Roman" w:cs="Times New Roman" w:eastAsia="Times New Roman"/>
          <w:b/>
          <w:sz w:val="21"/>
        </w:rPr>
        <w:t xml:space="preserve">Operations beat; the headline miss is a SpaceX mark. </w:t>
      </w:r>
      <w:r>
        <w:rPr>
          <w:rFonts w:ascii="Times New Roman" w:hAnsi="Times New Roman" w:cs="Times New Roman" w:eastAsia="Times New Roman"/>
          <w:sz w:val="21"/>
        </w:rPr>
        <w:t>Operating income rose 30% to $40.6B (31.8% margin), but other income swung to a $8.2B loss, driven mainly by an unrealized loss on the SpaceX stake (an $8,664M equity securities loss). That item alone cost about $0.55 of EPS. Excluding marks, EPS was ~$2.67, up 23% YoY but still ~11% below the $3.01 consensus because of higher interest expense, preferred dividends and a larger share count.</w:t>
      </w:r>
    </w:p>
    <w:p>
      <w:pPr>
        <w:spacing w:after="100" w:before="0" w:line="240" w:lineRule="auto"/>
        <w:jc w:val="both"/>
      </w:pPr>
      <w:r>
        <w:rPr>
          <w:rFonts w:ascii="Times New Roman" w:hAnsi="Times New Roman" w:cs="Times New Roman" w:eastAsia="Times New Roman"/>
          <w:color w:val="1F3A5F"/>
          <w:sz w:val="21"/>
        </w:rPr>
        <w:t xml:space="preserve">■ </w:t>
      </w:r>
      <w:r>
        <w:rPr>
          <w:rFonts w:ascii="Times New Roman" w:hAnsi="Times New Roman" w:cs="Times New Roman" w:eastAsia="Times New Roman"/>
          <w:b/>
          <w:sz w:val="21"/>
        </w:rPr>
        <w:t xml:space="preserve">Google Cloud is now a second profit engine. </w:t>
      </w:r>
      <w:r>
        <w:rPr>
          <w:rFonts w:ascii="Times New Roman" w:hAnsi="Times New Roman" w:cs="Times New Roman" w:eastAsia="Times New Roman"/>
          <w:sz w:val="21"/>
        </w:rPr>
        <w:t>Cloud revenue doubled (+103%) to $30.7B, with operating income of $11.1B (36.2% margin vs. 23.7%). Backlog grew to $561B, and management expects just over 55% of it to become revenue within 24 months.</w:t>
      </w:r>
    </w:p>
    <w:p>
      <w:pPr>
        <w:spacing w:after="100" w:before="0" w:line="240" w:lineRule="auto"/>
        <w:jc w:val="both"/>
      </w:pPr>
      <w:r>
        <w:rPr>
          <w:rFonts w:ascii="Times New Roman" w:hAnsi="Times New Roman" w:cs="Times New Roman" w:eastAsia="Times New Roman"/>
          <w:color w:val="1F3A5F"/>
          <w:sz w:val="21"/>
        </w:rPr>
        <w:t xml:space="preserve">■ </w:t>
      </w:r>
      <w:r>
        <w:rPr>
          <w:rFonts w:ascii="Times New Roman" w:hAnsi="Times New Roman" w:cs="Times New Roman" w:eastAsia="Times New Roman"/>
          <w:b/>
          <w:sz w:val="21"/>
        </w:rPr>
        <w:t xml:space="preserve">Capex and negative FCF are the debate. </w:t>
      </w:r>
      <w:r>
        <w:rPr>
          <w:rFonts w:ascii="Times New Roman" w:hAnsi="Times New Roman" w:cs="Times New Roman" w:eastAsia="Times New Roman"/>
          <w:sz w:val="21"/>
        </w:rPr>
        <w:t>Capex of $51.4B (+114%) pushed FCF to -$9.1B. 2026 guidance stays at $195-205B, and 2027 capex is expected to "increase significantly." The shares fell ~10% pre-market.</w:t>
      </w:r>
    </w:p>
    <w:p>
      <w:pPr>
        <w:keepNext/>
        <w:spacing w:after="80" w:before="160" w:line="240" w:lineRule="auto"/>
        <w:pBdr>
          <w:bottom w:val="single" w:sz="6" w:space="1" w:color="1F3A5F"/>
        </w:pBdr>
      </w:pPr>
      <w:r>
        <w:rPr>
          <w:rFonts w:ascii="Times New Roman" w:hAnsi="Times New Roman" w:cs="Times New Roman" w:eastAsia="Times New Roman"/>
          <w:b/>
          <w:i w:val="0"/>
          <w:color w:val="1F3A5F"/>
          <w:sz w:val="26"/>
        </w:rPr>
        <w:t>Investment Impact</w:t>
      </w:r>
    </w:p>
    <w:p>
      <w:pPr>
        <w:spacing w:after="100" w:before="0" w:line="240" w:lineRule="auto"/>
        <w:jc w:val="both"/>
      </w:pPr>
      <w:r>
        <w:rPr>
          <w:rFonts w:ascii="Times New Roman" w:hAnsi="Times New Roman" w:cs="Times New Roman" w:eastAsia="Times New Roman"/>
          <w:color w:val="1F3A5F"/>
          <w:sz w:val="21"/>
        </w:rPr>
        <w:t xml:space="preserve">■ </w:t>
      </w:r>
      <w:r>
        <w:rPr>
          <w:rFonts w:ascii="Times New Roman" w:hAnsi="Times New Roman" w:cs="Times New Roman" w:eastAsia="Times New Roman"/>
          <w:b/>
          <w:sz w:val="21"/>
        </w:rPr>
        <w:t xml:space="preserve">Revenue was in line; mix moved further toward Cloud. </w:t>
      </w:r>
      <w:r>
        <w:rPr>
          <w:rFonts w:ascii="Times New Roman" w:hAnsi="Times New Roman" w:cs="Times New Roman" w:eastAsia="Times New Roman"/>
          <w:sz w:val="21"/>
        </w:rPr>
        <w:t>Revenue of $127.6B (+25% YoY, +25% constant currency) was $0.4B (0.3%) below the MarketBeat consensus of $128.0B and about 0.3% above the $127.2B figure cited by Investing.com. Either way, it was in line. Mix was the story. Cloud added $15.6B of YoY revenue, more than Google Services (+$9.3B, +11%). Search &amp; other grew 12% to $63.4B, slowing from +17% in Q2. Management attributed most of the slowdown to FX, EU de minimis rule changes hitting APAC retail advertisers, and lapping World Cup media spend. Cloud is now 24% of revenue vs. 15% a year ago. Its incremental margin was 48% ($7.5B of added operating income on $15.6B of added revenue), which drove the +130bps consolidated margin expansion.</w:t>
      </w:r>
    </w:p>
    <w:p>
      <w:pPr>
        <w:spacing w:after="100" w:before="0" w:line="240" w:lineRule="auto"/>
        <w:jc w:val="both"/>
      </w:pPr>
      <w:r>
        <w:rPr>
          <w:rFonts w:ascii="Times New Roman" w:hAnsi="Times New Roman" w:cs="Times New Roman" w:eastAsia="Times New Roman"/>
          <w:color w:val="1F3A5F"/>
          <w:sz w:val="21"/>
        </w:rPr>
        <w:t xml:space="preserve">■ </w:t>
      </w:r>
      <w:r>
        <w:rPr>
          <w:rFonts w:ascii="Times New Roman" w:hAnsi="Times New Roman" w:cs="Times New Roman" w:eastAsia="Times New Roman"/>
          <w:b/>
          <w:sz w:val="21"/>
        </w:rPr>
        <w:t xml:space="preserve">The EPS miss is mostly non-operating, but not entirely. </w:t>
      </w:r>
      <w:r>
        <w:rPr>
          <w:rFonts w:ascii="Times New Roman" w:hAnsi="Times New Roman" w:cs="Times New Roman" w:eastAsia="Times New Roman"/>
          <w:sz w:val="21"/>
        </w:rPr>
        <w:t>GAAP diluted EPS of $2.12 missed the $3.01 consensus by $0.89. The $8,664M equity securities loss explains about $0.55. The other ~$0.34 came from items we expect to persist. Interest expense rose to $967M (vs. $143M) after long-term debt grew to $125.1B. Preferred dividends of $298M began on the June mandatory convertible issue. Diluted shares rose 1.4% YoY to 12,368M after at-the-market (ATM) issuance. The "Alphabet-level activities" loss also widened to $7.7B from $4.5B. In our view, the market is right to treat the mark as noise and wrong to ignore the financing costs. Both are now in our model.</w:t>
      </w:r>
    </w:p>
    <w:p>
      <w:pPr>
        <w:spacing w:after="100" w:before="0" w:line="240" w:lineRule="auto"/>
        <w:jc w:val="both"/>
      </w:pPr>
      <w:r>
        <w:rPr>
          <w:rFonts w:ascii="Times New Roman" w:hAnsi="Times New Roman" w:cs="Times New Roman" w:eastAsia="Times New Roman"/>
          <w:color w:val="1F3A5F"/>
          <w:sz w:val="21"/>
        </w:rPr>
        <w:t xml:space="preserve">■ </w:t>
      </w:r>
      <w:r>
        <w:rPr>
          <w:rFonts w:ascii="Times New Roman" w:hAnsi="Times New Roman" w:cs="Times New Roman" w:eastAsia="Times New Roman"/>
          <w:b/>
          <w:sz w:val="21"/>
        </w:rPr>
        <w:t xml:space="preserve">Capex guidance was held, but 2027 is a step up and FCF turned negative again. </w:t>
      </w:r>
      <w:r>
        <w:rPr>
          <w:rFonts w:ascii="Times New Roman" w:hAnsi="Times New Roman" w:cs="Times New Roman" w:eastAsia="Times New Roman"/>
          <w:sz w:val="21"/>
        </w:rPr>
        <w:t>Q3 capex of $51.4B took year-to-date spend to $132.0B. That leaves $63-73B for Q4 within the unchanged $195-205B range. CFO Anat Ashkenazi repeated that "we continue to expect our CapEx to increase significantly in 2027." Operating cash flow fell 13% YoY to $42.3B. Management cited inventory built for TPU system sales and a $5.2B cash payment of the 2018 European Commission fine. Trailing-12-month FCF is down to $19.7B. Alphabet has bought back no stock in 2026, and the balance sheet is funding the build.</w:t>
      </w:r>
    </w:p>
    <w:p>
      <w:pPr>
        <w:spacing w:after="100" w:before="0" w:line="240" w:lineRule="auto"/>
        <w:jc w:val="both"/>
      </w:pPr>
      <w:r>
        <w:rPr>
          <w:rFonts w:ascii="Times New Roman" w:hAnsi="Times New Roman" w:cs="Times New Roman" w:eastAsia="Times New Roman"/>
          <w:color w:val="1F3A5F"/>
          <w:sz w:val="21"/>
        </w:rPr>
        <w:t xml:space="preserve">■ </w:t>
      </w:r>
      <w:r>
        <w:rPr>
          <w:rFonts w:ascii="Times New Roman" w:hAnsi="Times New Roman" w:cs="Times New Roman" w:eastAsia="Times New Roman"/>
          <w:b/>
          <w:sz w:val="21"/>
        </w:rPr>
        <w:t xml:space="preserve">Maintain BUY with a $360 PT; the sell-off over-discounts a non-cash mark. </w:t>
      </w:r>
      <w:r>
        <w:rPr>
          <w:rFonts w:ascii="Times New Roman" w:hAnsi="Times New Roman" w:cs="Times New Roman" w:eastAsia="Times New Roman"/>
          <w:sz w:val="21"/>
        </w:rPr>
        <w:t>At $291, GOOGL trades at 22.9x our 2027E EPS ex-marks of $12.72, or 26.5x 2026E. That is a modest multiple for a company growing revenue 25% with a Cloud business that has doubled and a $561B backlog. Our $360 target blends 28x 2027E EPS ($356) with a sum-of-the-parts ($358) and implies +24% upside. The main risk is that capex keeps rising faster than Cloud revenue, leaving FCF negative into 2027. That risk is real, but the Q3 Cloud margin of 36% shows the spend is earning a return today.</w:t>
      </w:r>
    </w:p>
    <w:p>
      <w:pPr>
        <w:keepNext/>
        <w:spacing w:after="40" w:before="80" w:line="240" w:lineRule="auto"/>
      </w:pPr>
      <w:r>
        <w:rPr>
          <w:rFonts w:ascii="Times New Roman" w:hAnsi="Times New Roman" w:cs="Times New Roman" w:eastAsia="Times New Roman"/>
          <w:b/>
          <w:i w:val="0"/>
          <w:sz w:val="19"/>
        </w:rPr>
        <w:t>Table 2 - Updated Financial Estimates: Prior vs. New (our estimates)</w:t>
      </w:r>
    </w:p>
    <w:tbl>
      <w:tblPr>
        <w:tblStyle w:val="TableGrid"/>
        <w:tblW w:type="auto" w:w="0"/>
        <w:jc w:val="center"/>
        <w:tblLayout w:type="fixed"/>
        <w:tblLook w:firstColumn="1" w:firstRow="1" w:lastColumn="0" w:lastRow="0" w:noHBand="0" w:noVBand="1" w:val="04A0"/>
      </w:tblPr>
      <w:tblGrid>
        <w:gridCol w:w="2664"/>
        <w:gridCol w:w="1152"/>
        <w:gridCol w:w="1152"/>
        <w:gridCol w:w="1008"/>
        <w:gridCol w:w="1152"/>
        <w:gridCol w:w="1152"/>
        <w:gridCol w:w="1080"/>
      </w:tblGrid>
      <w:tr>
        <w:tc>
          <w:tcPr>
            <w:tcW w:type="dxa" w:w="2664"/>
            <w:shd w:val="clear" w:color="auto" w:fill="1F3A5F"/>
          </w:tcPr>
          <w:p>
            <w:pPr>
              <w:keepNext/>
              <w:jc w:val="left"/>
            </w:pPr>
            <w:r/>
            <w:r>
              <w:rPr>
                <w:rFonts w:ascii="Times New Roman" w:hAnsi="Times New Roman" w:cs="Times New Roman" w:eastAsia="Times New Roman"/>
                <w:b/>
                <w:color w:val="FFFFFF"/>
                <w:sz w:val="17"/>
              </w:rPr>
              <w:t>$B except EPS</w:t>
            </w:r>
          </w:p>
        </w:tc>
        <w:tc>
          <w:tcPr>
            <w:tcW w:type="dxa" w:w="1152"/>
            <w:shd w:val="clear" w:color="auto" w:fill="1F3A5F"/>
          </w:tcPr>
          <w:p>
            <w:pPr>
              <w:keepNext/>
              <w:jc w:val="center"/>
            </w:pPr>
            <w:r/>
            <w:r>
              <w:rPr>
                <w:rFonts w:ascii="Times New Roman" w:hAnsi="Times New Roman" w:cs="Times New Roman" w:eastAsia="Times New Roman"/>
                <w:b/>
                <w:color w:val="FFFFFF"/>
                <w:sz w:val="17"/>
              </w:rPr>
              <w:t>FY26E Prior</w:t>
            </w:r>
          </w:p>
        </w:tc>
        <w:tc>
          <w:tcPr>
            <w:tcW w:type="dxa" w:w="1152"/>
            <w:shd w:val="clear" w:color="auto" w:fill="1F3A5F"/>
          </w:tcPr>
          <w:p>
            <w:pPr>
              <w:keepNext/>
              <w:jc w:val="center"/>
            </w:pPr>
            <w:r/>
            <w:r>
              <w:rPr>
                <w:rFonts w:ascii="Times New Roman" w:hAnsi="Times New Roman" w:cs="Times New Roman" w:eastAsia="Times New Roman"/>
                <w:b/>
                <w:color w:val="FFFFFF"/>
                <w:sz w:val="17"/>
              </w:rPr>
              <w:t>FY26E New</w:t>
            </w:r>
          </w:p>
        </w:tc>
        <w:tc>
          <w:tcPr>
            <w:tcW w:type="dxa" w:w="1008"/>
            <w:shd w:val="clear" w:color="auto" w:fill="1F3A5F"/>
          </w:tcPr>
          <w:p>
            <w:pPr>
              <w:keepNext/>
              <w:jc w:val="center"/>
            </w:pPr>
            <w:r/>
            <w:r>
              <w:rPr>
                <w:rFonts w:ascii="Times New Roman" w:hAnsi="Times New Roman" w:cs="Times New Roman" w:eastAsia="Times New Roman"/>
                <w:b/>
                <w:color w:val="FFFFFF"/>
                <w:sz w:val="17"/>
              </w:rPr>
              <w:t>Chg</w:t>
            </w:r>
          </w:p>
        </w:tc>
        <w:tc>
          <w:tcPr>
            <w:tcW w:type="dxa" w:w="1152"/>
            <w:shd w:val="clear" w:color="auto" w:fill="1F3A5F"/>
          </w:tcPr>
          <w:p>
            <w:pPr>
              <w:keepNext/>
              <w:jc w:val="center"/>
            </w:pPr>
            <w:r/>
            <w:r>
              <w:rPr>
                <w:rFonts w:ascii="Times New Roman" w:hAnsi="Times New Roman" w:cs="Times New Roman" w:eastAsia="Times New Roman"/>
                <w:b/>
                <w:color w:val="FFFFFF"/>
                <w:sz w:val="17"/>
              </w:rPr>
              <w:t>FY27E Prior</w:t>
            </w:r>
          </w:p>
        </w:tc>
        <w:tc>
          <w:tcPr>
            <w:tcW w:type="dxa" w:w="1152"/>
            <w:shd w:val="clear" w:color="auto" w:fill="1F3A5F"/>
          </w:tcPr>
          <w:p>
            <w:pPr>
              <w:keepNext/>
              <w:jc w:val="center"/>
            </w:pPr>
            <w:r/>
            <w:r>
              <w:rPr>
                <w:rFonts w:ascii="Times New Roman" w:hAnsi="Times New Roman" w:cs="Times New Roman" w:eastAsia="Times New Roman"/>
                <w:b/>
                <w:color w:val="FFFFFF"/>
                <w:sz w:val="17"/>
              </w:rPr>
              <w:t>FY27E New</w:t>
            </w:r>
          </w:p>
        </w:tc>
        <w:tc>
          <w:tcPr>
            <w:tcW w:type="dxa" w:w="1080"/>
            <w:shd w:val="clear" w:color="auto" w:fill="1F3A5F"/>
          </w:tcPr>
          <w:p>
            <w:pPr>
              <w:keepNext/>
              <w:jc w:val="center"/>
            </w:pPr>
            <w:r/>
            <w:r>
              <w:rPr>
                <w:rFonts w:ascii="Times New Roman" w:hAnsi="Times New Roman" w:cs="Times New Roman" w:eastAsia="Times New Roman"/>
                <w:b/>
                <w:color w:val="FFFFFF"/>
                <w:sz w:val="17"/>
              </w:rPr>
              <w:t>Chg</w:t>
            </w:r>
          </w:p>
        </w:tc>
      </w:tr>
      <w:tr>
        <w:tc>
          <w:tcPr>
            <w:tcW w:type="dxa" w:w="2664"/>
          </w:tcPr>
          <w:p>
            <w:pPr>
              <w:keepNext/>
              <w:spacing w:after="0"/>
              <w:jc w:val="left"/>
            </w:pPr>
            <w:r/>
            <w:r>
              <w:rPr>
                <w:rFonts w:ascii="Times New Roman" w:hAnsi="Times New Roman" w:cs="Times New Roman" w:eastAsia="Times New Roman"/>
                <w:b/>
                <w:sz w:val="17"/>
              </w:rPr>
              <w:t>Revenue</w:t>
            </w:r>
          </w:p>
        </w:tc>
        <w:tc>
          <w:tcPr>
            <w:tcW w:type="dxa" w:w="1152"/>
          </w:tcPr>
          <w:p>
            <w:pPr>
              <w:keepNext/>
              <w:spacing w:after="0"/>
              <w:jc w:val="right"/>
            </w:pPr>
            <w:r/>
            <w:r>
              <w:rPr>
                <w:rFonts w:ascii="Times New Roman" w:hAnsi="Times New Roman" w:cs="Times New Roman" w:eastAsia="Times New Roman"/>
                <w:b/>
                <w:sz w:val="17"/>
              </w:rPr>
              <w:t>496.6</w:t>
            </w:r>
          </w:p>
        </w:tc>
        <w:tc>
          <w:tcPr>
            <w:tcW w:type="dxa" w:w="1152"/>
          </w:tcPr>
          <w:p>
            <w:pPr>
              <w:keepNext/>
              <w:spacing w:after="0"/>
              <w:jc w:val="right"/>
            </w:pPr>
            <w:r/>
            <w:r>
              <w:rPr>
                <w:rFonts w:ascii="Times New Roman" w:hAnsi="Times New Roman" w:cs="Times New Roman" w:eastAsia="Times New Roman"/>
                <w:b/>
                <w:sz w:val="17"/>
              </w:rPr>
              <w:t>495.7</w:t>
            </w:r>
          </w:p>
        </w:tc>
        <w:tc>
          <w:tcPr>
            <w:tcW w:type="dxa" w:w="1008"/>
          </w:tcPr>
          <w:p>
            <w:pPr>
              <w:keepNext/>
              <w:spacing w:after="0"/>
              <w:jc w:val="right"/>
            </w:pPr>
            <w:r/>
            <w:r>
              <w:rPr>
                <w:rFonts w:ascii="Times New Roman" w:hAnsi="Times New Roman" w:cs="Times New Roman" w:eastAsia="Times New Roman"/>
                <w:b/>
                <w:sz w:val="17"/>
              </w:rPr>
              <w:t>-0.2%</w:t>
            </w:r>
          </w:p>
        </w:tc>
        <w:tc>
          <w:tcPr>
            <w:tcW w:type="dxa" w:w="1152"/>
          </w:tcPr>
          <w:p>
            <w:pPr>
              <w:keepNext/>
              <w:spacing w:after="0"/>
              <w:jc w:val="right"/>
            </w:pPr>
            <w:r/>
            <w:r>
              <w:rPr>
                <w:rFonts w:ascii="Times New Roman" w:hAnsi="Times New Roman" w:cs="Times New Roman" w:eastAsia="Times New Roman"/>
                <w:b/>
                <w:sz w:val="17"/>
              </w:rPr>
              <w:t>612.6</w:t>
            </w:r>
          </w:p>
        </w:tc>
        <w:tc>
          <w:tcPr>
            <w:tcW w:type="dxa" w:w="1152"/>
          </w:tcPr>
          <w:p>
            <w:pPr>
              <w:keepNext/>
              <w:spacing w:after="0"/>
              <w:jc w:val="right"/>
            </w:pPr>
            <w:r/>
            <w:r>
              <w:rPr>
                <w:rFonts w:ascii="Times New Roman" w:hAnsi="Times New Roman" w:cs="Times New Roman" w:eastAsia="Times New Roman"/>
                <w:b/>
                <w:sz w:val="17"/>
              </w:rPr>
              <w:t>616.2</w:t>
            </w:r>
          </w:p>
        </w:tc>
        <w:tc>
          <w:tcPr>
            <w:tcW w:type="dxa" w:w="1080"/>
          </w:tcPr>
          <w:p>
            <w:pPr>
              <w:keepNext/>
              <w:spacing w:after="0"/>
              <w:jc w:val="right"/>
            </w:pPr>
            <w:r/>
            <w:r>
              <w:rPr>
                <w:rFonts w:ascii="Times New Roman" w:hAnsi="Times New Roman" w:cs="Times New Roman" w:eastAsia="Times New Roman"/>
                <w:b/>
                <w:sz w:val="17"/>
              </w:rPr>
              <w:t>+0.6%</w:t>
            </w:r>
          </w:p>
        </w:tc>
      </w:tr>
      <w:tr>
        <w:tc>
          <w:tcPr>
            <w:tcW w:type="dxa" w:w="2664"/>
            <w:shd w:val="clear" w:color="auto" w:fill="EEF2F7"/>
          </w:tcPr>
          <w:p>
            <w:pPr>
              <w:keepNext/>
              <w:spacing w:after="0"/>
              <w:jc w:val="left"/>
            </w:pPr>
            <w:r/>
            <w:r>
              <w:rPr>
                <w:rFonts w:ascii="Times New Roman" w:hAnsi="Times New Roman" w:cs="Times New Roman" w:eastAsia="Times New Roman"/>
                <w:b w:val="0"/>
                <w:sz w:val="17"/>
              </w:rPr>
              <w:t xml:space="preserve">  Google Services</w:t>
            </w:r>
          </w:p>
        </w:tc>
        <w:tc>
          <w:tcPr>
            <w:tcW w:type="dxa" w:w="1152"/>
            <w:shd w:val="clear" w:color="auto" w:fill="EEF2F7"/>
          </w:tcPr>
          <w:p>
            <w:pPr>
              <w:keepNext/>
              <w:spacing w:after="0"/>
              <w:jc w:val="right"/>
            </w:pPr>
            <w:r/>
            <w:r>
              <w:rPr>
                <w:rFonts w:ascii="Times New Roman" w:hAnsi="Times New Roman" w:cs="Times New Roman" w:eastAsia="Times New Roman"/>
                <w:b w:val="0"/>
                <w:sz w:val="17"/>
              </w:rPr>
              <w:t>388.8</w:t>
            </w:r>
          </w:p>
        </w:tc>
        <w:tc>
          <w:tcPr>
            <w:tcW w:type="dxa" w:w="1152"/>
            <w:shd w:val="clear" w:color="auto" w:fill="EEF2F7"/>
          </w:tcPr>
          <w:p>
            <w:pPr>
              <w:keepNext/>
              <w:spacing w:after="0"/>
              <w:jc w:val="right"/>
            </w:pPr>
            <w:r/>
            <w:r>
              <w:rPr>
                <w:rFonts w:ascii="Times New Roman" w:hAnsi="Times New Roman" w:cs="Times New Roman" w:eastAsia="Times New Roman"/>
                <w:b w:val="0"/>
                <w:sz w:val="17"/>
              </w:rPr>
              <w:t>384.5</w:t>
            </w:r>
          </w:p>
        </w:tc>
        <w:tc>
          <w:tcPr>
            <w:tcW w:type="dxa" w:w="1008"/>
            <w:shd w:val="clear" w:color="auto" w:fill="EEF2F7"/>
          </w:tcPr>
          <w:p>
            <w:pPr>
              <w:keepNext/>
              <w:spacing w:after="0"/>
              <w:jc w:val="right"/>
            </w:pPr>
            <w:r/>
            <w:r>
              <w:rPr>
                <w:rFonts w:ascii="Times New Roman" w:hAnsi="Times New Roman" w:cs="Times New Roman" w:eastAsia="Times New Roman"/>
                <w:b w:val="0"/>
                <w:sz w:val="17"/>
              </w:rPr>
              <w:t>-1.1%</w:t>
            </w:r>
          </w:p>
        </w:tc>
        <w:tc>
          <w:tcPr>
            <w:tcW w:type="dxa" w:w="1152"/>
            <w:shd w:val="clear" w:color="auto" w:fill="EEF2F7"/>
          </w:tcPr>
          <w:p>
            <w:pPr>
              <w:keepNext/>
              <w:spacing w:after="0"/>
              <w:jc w:val="right"/>
            </w:pPr>
            <w:r/>
            <w:r>
              <w:rPr>
                <w:rFonts w:ascii="Times New Roman" w:hAnsi="Times New Roman" w:cs="Times New Roman" w:eastAsia="Times New Roman"/>
                <w:b w:val="0"/>
                <w:sz w:val="17"/>
              </w:rPr>
              <w:t>431.0</w:t>
            </w:r>
          </w:p>
        </w:tc>
        <w:tc>
          <w:tcPr>
            <w:tcW w:type="dxa" w:w="1152"/>
            <w:shd w:val="clear" w:color="auto" w:fill="EEF2F7"/>
          </w:tcPr>
          <w:p>
            <w:pPr>
              <w:keepNext/>
              <w:spacing w:after="0"/>
              <w:jc w:val="right"/>
            </w:pPr>
            <w:r/>
            <w:r>
              <w:rPr>
                <w:rFonts w:ascii="Times New Roman" w:hAnsi="Times New Roman" w:cs="Times New Roman" w:eastAsia="Times New Roman"/>
                <w:b w:val="0"/>
                <w:sz w:val="17"/>
              </w:rPr>
              <w:t>422.9</w:t>
            </w:r>
          </w:p>
        </w:tc>
        <w:tc>
          <w:tcPr>
            <w:tcW w:type="dxa" w:w="1080"/>
            <w:shd w:val="clear" w:color="auto" w:fill="EEF2F7"/>
          </w:tcPr>
          <w:p>
            <w:pPr>
              <w:keepNext/>
              <w:spacing w:after="0"/>
              <w:jc w:val="right"/>
            </w:pPr>
            <w:r/>
            <w:r>
              <w:rPr>
                <w:rFonts w:ascii="Times New Roman" w:hAnsi="Times New Roman" w:cs="Times New Roman" w:eastAsia="Times New Roman"/>
                <w:b w:val="0"/>
                <w:sz w:val="17"/>
              </w:rPr>
              <w:t>-1.9%</w:t>
            </w:r>
          </w:p>
        </w:tc>
      </w:tr>
      <w:tr>
        <w:tc>
          <w:tcPr>
            <w:tcW w:type="dxa" w:w="2664"/>
          </w:tcPr>
          <w:p>
            <w:pPr>
              <w:keepNext/>
              <w:spacing w:after="0"/>
              <w:jc w:val="left"/>
            </w:pPr>
            <w:r/>
            <w:r>
              <w:rPr>
                <w:rFonts w:ascii="Times New Roman" w:hAnsi="Times New Roman" w:cs="Times New Roman" w:eastAsia="Times New Roman"/>
                <w:b w:val="0"/>
                <w:sz w:val="17"/>
              </w:rPr>
              <w:t xml:space="preserve">  Google Cloud</w:t>
            </w:r>
          </w:p>
        </w:tc>
        <w:tc>
          <w:tcPr>
            <w:tcW w:type="dxa" w:w="1152"/>
          </w:tcPr>
          <w:p>
            <w:pPr>
              <w:keepNext/>
              <w:spacing w:after="0"/>
              <w:jc w:val="right"/>
            </w:pPr>
            <w:r/>
            <w:r>
              <w:rPr>
                <w:rFonts w:ascii="Times New Roman" w:hAnsi="Times New Roman" w:cs="Times New Roman" w:eastAsia="Times New Roman"/>
                <w:b w:val="0"/>
                <w:sz w:val="17"/>
              </w:rPr>
              <w:t>106.3</w:t>
            </w:r>
          </w:p>
        </w:tc>
        <w:tc>
          <w:tcPr>
            <w:tcW w:type="dxa" w:w="1152"/>
          </w:tcPr>
          <w:p>
            <w:pPr>
              <w:keepNext/>
              <w:spacing w:after="0"/>
              <w:jc w:val="right"/>
            </w:pPr>
            <w:r/>
            <w:r>
              <w:rPr>
                <w:rFonts w:ascii="Times New Roman" w:hAnsi="Times New Roman" w:cs="Times New Roman" w:eastAsia="Times New Roman"/>
                <w:b w:val="0"/>
                <w:sz w:val="17"/>
              </w:rPr>
              <w:t>109.5</w:t>
            </w:r>
          </w:p>
        </w:tc>
        <w:tc>
          <w:tcPr>
            <w:tcW w:type="dxa" w:w="1008"/>
          </w:tcPr>
          <w:p>
            <w:pPr>
              <w:keepNext/>
              <w:spacing w:after="0"/>
              <w:jc w:val="right"/>
            </w:pPr>
            <w:r/>
            <w:r>
              <w:rPr>
                <w:rFonts w:ascii="Times New Roman" w:hAnsi="Times New Roman" w:cs="Times New Roman" w:eastAsia="Times New Roman"/>
                <w:b w:val="0"/>
                <w:sz w:val="17"/>
              </w:rPr>
              <w:t>+3.0%</w:t>
            </w:r>
          </w:p>
        </w:tc>
        <w:tc>
          <w:tcPr>
            <w:tcW w:type="dxa" w:w="1152"/>
          </w:tcPr>
          <w:p>
            <w:pPr>
              <w:keepNext/>
              <w:spacing w:after="0"/>
              <w:jc w:val="right"/>
            </w:pPr>
            <w:r/>
            <w:r>
              <w:rPr>
                <w:rFonts w:ascii="Times New Roman" w:hAnsi="Times New Roman" w:cs="Times New Roman" w:eastAsia="Times New Roman"/>
                <w:b w:val="0"/>
                <w:sz w:val="17"/>
              </w:rPr>
              <w:t>180.0</w:t>
            </w:r>
          </w:p>
        </w:tc>
        <w:tc>
          <w:tcPr>
            <w:tcW w:type="dxa" w:w="1152"/>
          </w:tcPr>
          <w:p>
            <w:pPr>
              <w:keepNext/>
              <w:spacing w:after="0"/>
              <w:jc w:val="right"/>
            </w:pPr>
            <w:r/>
            <w:r>
              <w:rPr>
                <w:rFonts w:ascii="Times New Roman" w:hAnsi="Times New Roman" w:cs="Times New Roman" w:eastAsia="Times New Roman"/>
                <w:b w:val="0"/>
                <w:sz w:val="17"/>
              </w:rPr>
              <w:t>191.6</w:t>
            </w:r>
          </w:p>
        </w:tc>
        <w:tc>
          <w:tcPr>
            <w:tcW w:type="dxa" w:w="1080"/>
          </w:tcPr>
          <w:p>
            <w:pPr>
              <w:keepNext/>
              <w:spacing w:after="0"/>
              <w:jc w:val="right"/>
            </w:pPr>
            <w:r/>
            <w:r>
              <w:rPr>
                <w:rFonts w:ascii="Times New Roman" w:hAnsi="Times New Roman" w:cs="Times New Roman" w:eastAsia="Times New Roman"/>
                <w:b w:val="0"/>
                <w:sz w:val="17"/>
              </w:rPr>
              <w:t>+6.4%</w:t>
            </w:r>
          </w:p>
        </w:tc>
      </w:tr>
      <w:tr>
        <w:tc>
          <w:tcPr>
            <w:tcW w:type="dxa" w:w="2664"/>
            <w:shd w:val="clear" w:color="auto" w:fill="EEF2F7"/>
          </w:tcPr>
          <w:p>
            <w:pPr>
              <w:keepNext/>
              <w:spacing w:after="0"/>
              <w:jc w:val="left"/>
            </w:pPr>
            <w:r/>
            <w:r>
              <w:rPr>
                <w:rFonts w:ascii="Times New Roman" w:hAnsi="Times New Roman" w:cs="Times New Roman" w:eastAsia="Times New Roman"/>
                <w:b w:val="0"/>
                <w:sz w:val="17"/>
              </w:rPr>
              <w:t>Operating income</w:t>
            </w:r>
          </w:p>
        </w:tc>
        <w:tc>
          <w:tcPr>
            <w:tcW w:type="dxa" w:w="1152"/>
            <w:shd w:val="clear" w:color="auto" w:fill="EEF2F7"/>
          </w:tcPr>
          <w:p>
            <w:pPr>
              <w:keepNext/>
              <w:spacing w:after="0"/>
              <w:jc w:val="right"/>
            </w:pPr>
            <w:r/>
            <w:r>
              <w:rPr>
                <w:rFonts w:ascii="Times New Roman" w:hAnsi="Times New Roman" w:cs="Times New Roman" w:eastAsia="Times New Roman"/>
                <w:b w:val="0"/>
                <w:sz w:val="17"/>
              </w:rPr>
              <w:t>167.0</w:t>
            </w:r>
          </w:p>
        </w:tc>
        <w:tc>
          <w:tcPr>
            <w:tcW w:type="dxa" w:w="1152"/>
            <w:shd w:val="clear" w:color="auto" w:fill="EEF2F7"/>
          </w:tcPr>
          <w:p>
            <w:pPr>
              <w:keepNext/>
              <w:spacing w:after="0"/>
              <w:jc w:val="right"/>
            </w:pPr>
            <w:r/>
            <w:r>
              <w:rPr>
                <w:rFonts w:ascii="Times New Roman" w:hAnsi="Times New Roman" w:cs="Times New Roman" w:eastAsia="Times New Roman"/>
                <w:b w:val="0"/>
                <w:sz w:val="17"/>
              </w:rPr>
              <w:t>163.9</w:t>
            </w:r>
          </w:p>
        </w:tc>
        <w:tc>
          <w:tcPr>
            <w:tcW w:type="dxa" w:w="1008"/>
            <w:shd w:val="clear" w:color="auto" w:fill="EEF2F7"/>
          </w:tcPr>
          <w:p>
            <w:pPr>
              <w:keepNext/>
              <w:spacing w:after="0"/>
              <w:jc w:val="right"/>
            </w:pPr>
            <w:r/>
            <w:r>
              <w:rPr>
                <w:rFonts w:ascii="Times New Roman" w:hAnsi="Times New Roman" w:cs="Times New Roman" w:eastAsia="Times New Roman"/>
                <w:b w:val="0"/>
                <w:sz w:val="17"/>
              </w:rPr>
              <w:t>-1.9%</w:t>
            </w:r>
          </w:p>
        </w:tc>
        <w:tc>
          <w:tcPr>
            <w:tcW w:type="dxa" w:w="1152"/>
            <w:shd w:val="clear" w:color="auto" w:fill="EEF2F7"/>
          </w:tcPr>
          <w:p>
            <w:pPr>
              <w:keepNext/>
              <w:spacing w:after="0"/>
              <w:jc w:val="right"/>
            </w:pPr>
            <w:r/>
            <w:r>
              <w:rPr>
                <w:rFonts w:ascii="Times New Roman" w:hAnsi="Times New Roman" w:cs="Times New Roman" w:eastAsia="Times New Roman"/>
                <w:b w:val="0"/>
                <w:sz w:val="17"/>
              </w:rPr>
              <w:t>199.5</w:t>
            </w:r>
          </w:p>
        </w:tc>
        <w:tc>
          <w:tcPr>
            <w:tcW w:type="dxa" w:w="1152"/>
            <w:shd w:val="clear" w:color="auto" w:fill="EEF2F7"/>
          </w:tcPr>
          <w:p>
            <w:pPr>
              <w:keepNext/>
              <w:spacing w:after="0"/>
              <w:jc w:val="right"/>
            </w:pPr>
            <w:r/>
            <w:r>
              <w:rPr>
                <w:rFonts w:ascii="Times New Roman" w:hAnsi="Times New Roman" w:cs="Times New Roman" w:eastAsia="Times New Roman"/>
                <w:b w:val="0"/>
                <w:sz w:val="17"/>
              </w:rPr>
              <w:t>194.3</w:t>
            </w:r>
          </w:p>
        </w:tc>
        <w:tc>
          <w:tcPr>
            <w:tcW w:type="dxa" w:w="1080"/>
            <w:shd w:val="clear" w:color="auto" w:fill="EEF2F7"/>
          </w:tcPr>
          <w:p>
            <w:pPr>
              <w:keepNext/>
              <w:spacing w:after="0"/>
              <w:jc w:val="right"/>
            </w:pPr>
            <w:r/>
            <w:r>
              <w:rPr>
                <w:rFonts w:ascii="Times New Roman" w:hAnsi="Times New Roman" w:cs="Times New Roman" w:eastAsia="Times New Roman"/>
                <w:b w:val="0"/>
                <w:sz w:val="17"/>
              </w:rPr>
              <w:t>-2.6%</w:t>
            </w:r>
          </w:p>
        </w:tc>
      </w:tr>
      <w:tr>
        <w:tc>
          <w:tcPr>
            <w:tcW w:type="dxa" w:w="2664"/>
          </w:tcPr>
          <w:p>
            <w:pPr>
              <w:keepNext/>
              <w:spacing w:after="0"/>
              <w:jc w:val="left"/>
            </w:pPr>
            <w:r/>
            <w:r>
              <w:rPr>
                <w:rFonts w:ascii="Times New Roman" w:hAnsi="Times New Roman" w:cs="Times New Roman" w:eastAsia="Times New Roman"/>
                <w:b w:val="0"/>
                <w:sz w:val="17"/>
              </w:rPr>
              <w:t>Operating margin</w:t>
            </w:r>
          </w:p>
        </w:tc>
        <w:tc>
          <w:tcPr>
            <w:tcW w:type="dxa" w:w="1152"/>
          </w:tcPr>
          <w:p>
            <w:pPr>
              <w:keepNext/>
              <w:spacing w:after="0"/>
              <w:jc w:val="right"/>
            </w:pPr>
            <w:r/>
            <w:r>
              <w:rPr>
                <w:rFonts w:ascii="Times New Roman" w:hAnsi="Times New Roman" w:cs="Times New Roman" w:eastAsia="Times New Roman"/>
                <w:b w:val="0"/>
                <w:sz w:val="17"/>
              </w:rPr>
              <w:t>33.6%</w:t>
            </w:r>
          </w:p>
        </w:tc>
        <w:tc>
          <w:tcPr>
            <w:tcW w:type="dxa" w:w="1152"/>
          </w:tcPr>
          <w:p>
            <w:pPr>
              <w:keepNext/>
              <w:spacing w:after="0"/>
              <w:jc w:val="right"/>
            </w:pPr>
            <w:r/>
            <w:r>
              <w:rPr>
                <w:rFonts w:ascii="Times New Roman" w:hAnsi="Times New Roman" w:cs="Times New Roman" w:eastAsia="Times New Roman"/>
                <w:b w:val="0"/>
                <w:sz w:val="17"/>
              </w:rPr>
              <w:t>33.1%</w:t>
            </w:r>
          </w:p>
        </w:tc>
        <w:tc>
          <w:tcPr>
            <w:tcW w:type="dxa" w:w="1008"/>
          </w:tcPr>
          <w:p>
            <w:pPr>
              <w:keepNext/>
              <w:spacing w:after="0"/>
              <w:jc w:val="right"/>
            </w:pPr>
            <w:r/>
            <w:r>
              <w:rPr>
                <w:rFonts w:ascii="Times New Roman" w:hAnsi="Times New Roman" w:cs="Times New Roman" w:eastAsia="Times New Roman"/>
                <w:b w:val="0"/>
                <w:sz w:val="17"/>
              </w:rPr>
              <w:t>-50bps</w:t>
            </w:r>
          </w:p>
        </w:tc>
        <w:tc>
          <w:tcPr>
            <w:tcW w:type="dxa" w:w="1152"/>
          </w:tcPr>
          <w:p>
            <w:pPr>
              <w:keepNext/>
              <w:spacing w:after="0"/>
              <w:jc w:val="right"/>
            </w:pPr>
            <w:r/>
            <w:r>
              <w:rPr>
                <w:rFonts w:ascii="Times New Roman" w:hAnsi="Times New Roman" w:cs="Times New Roman" w:eastAsia="Times New Roman"/>
                <w:b w:val="0"/>
                <w:sz w:val="17"/>
              </w:rPr>
              <w:t>32.6%</w:t>
            </w:r>
          </w:p>
        </w:tc>
        <w:tc>
          <w:tcPr>
            <w:tcW w:type="dxa" w:w="1152"/>
          </w:tcPr>
          <w:p>
            <w:pPr>
              <w:keepNext/>
              <w:spacing w:after="0"/>
              <w:jc w:val="right"/>
            </w:pPr>
            <w:r/>
            <w:r>
              <w:rPr>
                <w:rFonts w:ascii="Times New Roman" w:hAnsi="Times New Roman" w:cs="Times New Roman" w:eastAsia="Times New Roman"/>
                <w:b w:val="0"/>
                <w:sz w:val="17"/>
              </w:rPr>
              <w:t>31.5%</w:t>
            </w:r>
          </w:p>
        </w:tc>
        <w:tc>
          <w:tcPr>
            <w:tcW w:type="dxa" w:w="1080"/>
          </w:tcPr>
          <w:p>
            <w:pPr>
              <w:keepNext/>
              <w:spacing w:after="0"/>
              <w:jc w:val="right"/>
            </w:pPr>
            <w:r/>
            <w:r>
              <w:rPr>
                <w:rFonts w:ascii="Times New Roman" w:hAnsi="Times New Roman" w:cs="Times New Roman" w:eastAsia="Times New Roman"/>
                <w:b w:val="0"/>
                <w:sz w:val="17"/>
              </w:rPr>
              <w:t>-110bps</w:t>
            </w:r>
          </w:p>
        </w:tc>
      </w:tr>
      <w:tr>
        <w:tc>
          <w:tcPr>
            <w:tcW w:type="dxa" w:w="2664"/>
            <w:shd w:val="clear" w:color="auto" w:fill="EEF2F7"/>
          </w:tcPr>
          <w:p>
            <w:pPr>
              <w:keepNext/>
              <w:spacing w:after="0"/>
              <w:jc w:val="left"/>
            </w:pPr>
            <w:r/>
            <w:r>
              <w:rPr>
                <w:rFonts w:ascii="Times New Roman" w:hAnsi="Times New Roman" w:cs="Times New Roman" w:eastAsia="Times New Roman"/>
                <w:b/>
                <w:sz w:val="17"/>
              </w:rPr>
              <w:t>EPS ex-equity marks ($)</w:t>
            </w:r>
          </w:p>
        </w:tc>
        <w:tc>
          <w:tcPr>
            <w:tcW w:type="dxa" w:w="1152"/>
            <w:shd w:val="clear" w:color="auto" w:fill="EEF2F7"/>
          </w:tcPr>
          <w:p>
            <w:pPr>
              <w:keepNext/>
              <w:spacing w:after="0"/>
              <w:jc w:val="right"/>
            </w:pPr>
            <w:r/>
            <w:r>
              <w:rPr>
                <w:rFonts w:ascii="Times New Roman" w:hAnsi="Times New Roman" w:cs="Times New Roman" w:eastAsia="Times New Roman"/>
                <w:b/>
                <w:sz w:val="17"/>
              </w:rPr>
              <w:t>11.58</w:t>
            </w:r>
          </w:p>
        </w:tc>
        <w:tc>
          <w:tcPr>
            <w:tcW w:type="dxa" w:w="1152"/>
            <w:shd w:val="clear" w:color="auto" w:fill="EEF2F7"/>
          </w:tcPr>
          <w:p>
            <w:pPr>
              <w:keepNext/>
              <w:spacing w:after="0"/>
              <w:jc w:val="right"/>
            </w:pPr>
            <w:r/>
            <w:r>
              <w:rPr>
                <w:rFonts w:ascii="Times New Roman" w:hAnsi="Times New Roman" w:cs="Times New Roman" w:eastAsia="Times New Roman"/>
                <w:b/>
                <w:sz w:val="17"/>
              </w:rPr>
              <w:t>10.98</w:t>
            </w:r>
          </w:p>
        </w:tc>
        <w:tc>
          <w:tcPr>
            <w:tcW w:type="dxa" w:w="1008"/>
            <w:shd w:val="clear" w:color="auto" w:fill="EEF2F7"/>
          </w:tcPr>
          <w:p>
            <w:pPr>
              <w:keepNext/>
              <w:spacing w:after="0"/>
              <w:jc w:val="right"/>
            </w:pPr>
            <w:r/>
            <w:r>
              <w:rPr>
                <w:rFonts w:ascii="Times New Roman" w:hAnsi="Times New Roman" w:cs="Times New Roman" w:eastAsia="Times New Roman"/>
                <w:b/>
                <w:sz w:val="17"/>
              </w:rPr>
              <w:t>-5.2%</w:t>
            </w:r>
          </w:p>
        </w:tc>
        <w:tc>
          <w:tcPr>
            <w:tcW w:type="dxa" w:w="1152"/>
            <w:shd w:val="clear" w:color="auto" w:fill="EEF2F7"/>
          </w:tcPr>
          <w:p>
            <w:pPr>
              <w:keepNext/>
              <w:spacing w:after="0"/>
              <w:jc w:val="right"/>
            </w:pPr>
            <w:r/>
            <w:r>
              <w:rPr>
                <w:rFonts w:ascii="Times New Roman" w:hAnsi="Times New Roman" w:cs="Times New Roman" w:eastAsia="Times New Roman"/>
                <w:b/>
                <w:sz w:val="17"/>
              </w:rPr>
              <w:t>13.12</w:t>
            </w:r>
          </w:p>
        </w:tc>
        <w:tc>
          <w:tcPr>
            <w:tcW w:type="dxa" w:w="1152"/>
            <w:shd w:val="clear" w:color="auto" w:fill="EEF2F7"/>
          </w:tcPr>
          <w:p>
            <w:pPr>
              <w:keepNext/>
              <w:spacing w:after="0"/>
              <w:jc w:val="right"/>
            </w:pPr>
            <w:r/>
            <w:r>
              <w:rPr>
                <w:rFonts w:ascii="Times New Roman" w:hAnsi="Times New Roman" w:cs="Times New Roman" w:eastAsia="Times New Roman"/>
                <w:b/>
                <w:sz w:val="17"/>
              </w:rPr>
              <w:t>12.72</w:t>
            </w:r>
          </w:p>
        </w:tc>
        <w:tc>
          <w:tcPr>
            <w:tcW w:type="dxa" w:w="1080"/>
            <w:shd w:val="clear" w:color="auto" w:fill="EEF2F7"/>
          </w:tcPr>
          <w:p>
            <w:pPr>
              <w:keepNext/>
              <w:spacing w:after="0"/>
              <w:jc w:val="right"/>
            </w:pPr>
            <w:r/>
            <w:r>
              <w:rPr>
                <w:rFonts w:ascii="Times New Roman" w:hAnsi="Times New Roman" w:cs="Times New Roman" w:eastAsia="Times New Roman"/>
                <w:b/>
                <w:sz w:val="17"/>
              </w:rPr>
              <w:t>-3.0%</w:t>
            </w:r>
          </w:p>
        </w:tc>
      </w:tr>
      <w:tr>
        <w:tc>
          <w:tcPr>
            <w:tcW w:type="dxa" w:w="2664"/>
          </w:tcPr>
          <w:p>
            <w:pPr>
              <w:keepNext/>
              <w:spacing w:after="0"/>
              <w:jc w:val="left"/>
            </w:pPr>
            <w:r/>
            <w:r>
              <w:rPr>
                <w:rFonts w:ascii="Times New Roman" w:hAnsi="Times New Roman" w:cs="Times New Roman" w:eastAsia="Times New Roman"/>
                <w:b w:val="0"/>
                <w:sz w:val="17"/>
              </w:rPr>
              <w:t>GAAP EPS ($)*</w:t>
            </w:r>
          </w:p>
        </w:tc>
        <w:tc>
          <w:tcPr>
            <w:tcW w:type="dxa" w:w="1152"/>
          </w:tcPr>
          <w:p>
            <w:pPr>
              <w:keepNext/>
              <w:spacing w:after="0"/>
              <w:jc w:val="right"/>
            </w:pPr>
            <w:r/>
            <w:r>
              <w:rPr>
                <w:rFonts w:ascii="Times New Roman" w:hAnsi="Times New Roman" w:cs="Times New Roman" w:eastAsia="Times New Roman"/>
                <w:b w:val="0"/>
                <w:sz w:val="17"/>
              </w:rPr>
              <w:t>20.32</w:t>
            </w:r>
          </w:p>
        </w:tc>
        <w:tc>
          <w:tcPr>
            <w:tcW w:type="dxa" w:w="1152"/>
          </w:tcPr>
          <w:p>
            <w:pPr>
              <w:keepNext/>
              <w:spacing w:after="0"/>
              <w:jc w:val="right"/>
            </w:pPr>
            <w:r/>
            <w:r>
              <w:rPr>
                <w:rFonts w:ascii="Times New Roman" w:hAnsi="Times New Roman" w:cs="Times New Roman" w:eastAsia="Times New Roman"/>
                <w:b w:val="0"/>
                <w:sz w:val="17"/>
              </w:rPr>
              <w:t>19.16</w:t>
            </w:r>
          </w:p>
        </w:tc>
        <w:tc>
          <w:tcPr>
            <w:tcW w:type="dxa" w:w="1008"/>
          </w:tcPr>
          <w:p>
            <w:pPr>
              <w:keepNext/>
              <w:spacing w:after="0"/>
              <w:jc w:val="right"/>
            </w:pPr>
            <w:r/>
            <w:r>
              <w:rPr>
                <w:rFonts w:ascii="Times New Roman" w:hAnsi="Times New Roman" w:cs="Times New Roman" w:eastAsia="Times New Roman"/>
                <w:b w:val="0"/>
                <w:sz w:val="17"/>
              </w:rPr>
              <w:t>-5.7%</w:t>
            </w:r>
          </w:p>
        </w:tc>
        <w:tc>
          <w:tcPr>
            <w:tcW w:type="dxa" w:w="1152"/>
          </w:tcPr>
          <w:p>
            <w:pPr>
              <w:keepNext/>
              <w:spacing w:after="0"/>
              <w:jc w:val="right"/>
            </w:pPr>
            <w:r/>
            <w:r>
              <w:rPr>
                <w:rFonts w:ascii="Times New Roman" w:hAnsi="Times New Roman" w:cs="Times New Roman" w:eastAsia="Times New Roman"/>
                <w:b w:val="0"/>
                <w:sz w:val="17"/>
              </w:rPr>
              <w:t>13.12</w:t>
            </w:r>
          </w:p>
        </w:tc>
        <w:tc>
          <w:tcPr>
            <w:tcW w:type="dxa" w:w="1152"/>
          </w:tcPr>
          <w:p>
            <w:pPr>
              <w:keepNext/>
              <w:spacing w:after="0"/>
              <w:jc w:val="right"/>
            </w:pPr>
            <w:r/>
            <w:r>
              <w:rPr>
                <w:rFonts w:ascii="Times New Roman" w:hAnsi="Times New Roman" w:cs="Times New Roman" w:eastAsia="Times New Roman"/>
                <w:b w:val="0"/>
                <w:sz w:val="17"/>
              </w:rPr>
              <w:t>12.72</w:t>
            </w:r>
          </w:p>
        </w:tc>
        <w:tc>
          <w:tcPr>
            <w:tcW w:type="dxa" w:w="1080"/>
          </w:tcPr>
          <w:p>
            <w:pPr>
              <w:keepNext/>
              <w:spacing w:after="0"/>
              <w:jc w:val="right"/>
            </w:pPr>
            <w:r/>
            <w:r>
              <w:rPr>
                <w:rFonts w:ascii="Times New Roman" w:hAnsi="Times New Roman" w:cs="Times New Roman" w:eastAsia="Times New Roman"/>
                <w:b w:val="0"/>
                <w:sz w:val="17"/>
              </w:rPr>
              <w:t>-3.0%</w:t>
            </w:r>
          </w:p>
        </w:tc>
      </w:tr>
      <w:tr>
        <w:tc>
          <w:tcPr>
            <w:tcW w:type="dxa" w:w="2664"/>
            <w:shd w:val="clear" w:color="auto" w:fill="EEF2F7"/>
          </w:tcPr>
          <w:p>
            <w:pPr>
              <w:keepNext/>
              <w:spacing w:after="0"/>
              <w:jc w:val="left"/>
            </w:pPr>
            <w:r/>
            <w:r>
              <w:rPr>
                <w:rFonts w:ascii="Times New Roman" w:hAnsi="Times New Roman" w:cs="Times New Roman" w:eastAsia="Times New Roman"/>
                <w:b w:val="0"/>
                <w:sz w:val="17"/>
              </w:rPr>
              <w:t>Capex</w:t>
            </w:r>
          </w:p>
        </w:tc>
        <w:tc>
          <w:tcPr>
            <w:tcW w:type="dxa" w:w="1152"/>
            <w:shd w:val="clear" w:color="auto" w:fill="EEF2F7"/>
          </w:tcPr>
          <w:p>
            <w:pPr>
              <w:keepNext/>
              <w:spacing w:after="0"/>
              <w:jc w:val="right"/>
            </w:pPr>
            <w:r/>
            <w:r>
              <w:rPr>
                <w:rFonts w:ascii="Times New Roman" w:hAnsi="Times New Roman" w:cs="Times New Roman" w:eastAsia="Times New Roman"/>
                <w:b w:val="0"/>
                <w:sz w:val="17"/>
              </w:rPr>
              <w:t>200.0</w:t>
            </w:r>
          </w:p>
        </w:tc>
        <w:tc>
          <w:tcPr>
            <w:tcW w:type="dxa" w:w="1152"/>
            <w:shd w:val="clear" w:color="auto" w:fill="EEF2F7"/>
          </w:tcPr>
          <w:p>
            <w:pPr>
              <w:keepNext/>
              <w:spacing w:after="0"/>
              <w:jc w:val="right"/>
            </w:pPr>
            <w:r/>
            <w:r>
              <w:rPr>
                <w:rFonts w:ascii="Times New Roman" w:hAnsi="Times New Roman" w:cs="Times New Roman" w:eastAsia="Times New Roman"/>
                <w:b w:val="0"/>
                <w:sz w:val="17"/>
              </w:rPr>
              <w:t>200.0</w:t>
            </w:r>
          </w:p>
        </w:tc>
        <w:tc>
          <w:tcPr>
            <w:tcW w:type="dxa" w:w="1008"/>
            <w:shd w:val="clear" w:color="auto" w:fill="EEF2F7"/>
          </w:tcPr>
          <w:p>
            <w:pPr>
              <w:keepNext/>
              <w:spacing w:after="0"/>
              <w:jc w:val="right"/>
            </w:pPr>
            <w:r/>
            <w:r>
              <w:rPr>
                <w:rFonts w:ascii="Times New Roman" w:hAnsi="Times New Roman" w:cs="Times New Roman" w:eastAsia="Times New Roman"/>
                <w:b w:val="0"/>
                <w:sz w:val="17"/>
              </w:rPr>
              <w:t>0.0%</w:t>
            </w:r>
          </w:p>
        </w:tc>
        <w:tc>
          <w:tcPr>
            <w:tcW w:type="dxa" w:w="1152"/>
            <w:shd w:val="clear" w:color="auto" w:fill="EEF2F7"/>
          </w:tcPr>
          <w:p>
            <w:pPr>
              <w:keepNext/>
              <w:spacing w:after="0"/>
              <w:jc w:val="right"/>
            </w:pPr>
            <w:r/>
            <w:r>
              <w:rPr>
                <w:rFonts w:ascii="Times New Roman" w:hAnsi="Times New Roman" w:cs="Times New Roman" w:eastAsia="Times New Roman"/>
                <w:b w:val="0"/>
                <w:sz w:val="17"/>
              </w:rPr>
              <w:t>250.0</w:t>
            </w:r>
          </w:p>
        </w:tc>
        <w:tc>
          <w:tcPr>
            <w:tcW w:type="dxa" w:w="1152"/>
            <w:shd w:val="clear" w:color="auto" w:fill="EEF2F7"/>
          </w:tcPr>
          <w:p>
            <w:pPr>
              <w:keepNext/>
              <w:spacing w:after="0"/>
              <w:jc w:val="right"/>
            </w:pPr>
            <w:r/>
            <w:r>
              <w:rPr>
                <w:rFonts w:ascii="Times New Roman" w:hAnsi="Times New Roman" w:cs="Times New Roman" w:eastAsia="Times New Roman"/>
                <w:b w:val="0"/>
                <w:sz w:val="17"/>
              </w:rPr>
              <w:t>270.0</w:t>
            </w:r>
          </w:p>
        </w:tc>
        <w:tc>
          <w:tcPr>
            <w:tcW w:type="dxa" w:w="1080"/>
            <w:shd w:val="clear" w:color="auto" w:fill="EEF2F7"/>
          </w:tcPr>
          <w:p>
            <w:pPr>
              <w:keepNext/>
              <w:spacing w:after="0"/>
              <w:jc w:val="right"/>
            </w:pPr>
            <w:r/>
            <w:r>
              <w:rPr>
                <w:rFonts w:ascii="Times New Roman" w:hAnsi="Times New Roman" w:cs="Times New Roman" w:eastAsia="Times New Roman"/>
                <w:b w:val="0"/>
                <w:sz w:val="17"/>
              </w:rPr>
              <w:t>+8.0%</w:t>
            </w:r>
          </w:p>
        </w:tc>
      </w:tr>
      <w:tr>
        <w:tc>
          <w:tcPr>
            <w:tcW w:type="dxa" w:w="2664"/>
          </w:tcPr>
          <w:p>
            <w:pPr>
              <w:keepNext/>
              <w:spacing w:after="0"/>
              <w:jc w:val="left"/>
            </w:pPr>
            <w:r/>
            <w:r>
              <w:rPr>
                <w:rFonts w:ascii="Times New Roman" w:hAnsi="Times New Roman" w:cs="Times New Roman" w:eastAsia="Times New Roman"/>
                <w:b w:val="0"/>
                <w:sz w:val="17"/>
              </w:rPr>
              <w:t>Free cash flow</w:t>
            </w:r>
          </w:p>
        </w:tc>
        <w:tc>
          <w:tcPr>
            <w:tcW w:type="dxa" w:w="1152"/>
          </w:tcPr>
          <w:p>
            <w:pPr>
              <w:keepNext/>
              <w:spacing w:after="0"/>
              <w:jc w:val="right"/>
            </w:pPr>
            <w:r/>
            <w:r>
              <w:rPr>
                <w:rFonts w:ascii="Times New Roman" w:hAnsi="Times New Roman" w:cs="Times New Roman" w:eastAsia="Times New Roman"/>
                <w:b w:val="0"/>
                <w:sz w:val="17"/>
              </w:rPr>
              <w:t>(15.0)</w:t>
            </w:r>
          </w:p>
        </w:tc>
        <w:tc>
          <w:tcPr>
            <w:tcW w:type="dxa" w:w="1152"/>
          </w:tcPr>
          <w:p>
            <w:pPr>
              <w:keepNext/>
              <w:spacing w:after="0"/>
              <w:jc w:val="right"/>
            </w:pPr>
            <w:r/>
            <w:r>
              <w:rPr>
                <w:rFonts w:ascii="Times New Roman" w:hAnsi="Times New Roman" w:cs="Times New Roman" w:eastAsia="Times New Roman"/>
                <w:b w:val="0"/>
                <w:sz w:val="17"/>
              </w:rPr>
              <w:t>(22.9)</w:t>
            </w:r>
          </w:p>
        </w:tc>
        <w:tc>
          <w:tcPr>
            <w:tcW w:type="dxa" w:w="1008"/>
          </w:tcPr>
          <w:p>
            <w:pPr>
              <w:keepNext/>
              <w:spacing w:after="0"/>
              <w:jc w:val="right"/>
            </w:pPr>
            <w:r/>
            <w:r>
              <w:rPr>
                <w:rFonts w:ascii="Times New Roman" w:hAnsi="Times New Roman" w:cs="Times New Roman" w:eastAsia="Times New Roman"/>
                <w:b w:val="0"/>
                <w:sz w:val="17"/>
              </w:rPr>
              <w:t>n.m.</w:t>
            </w:r>
          </w:p>
        </w:tc>
        <w:tc>
          <w:tcPr>
            <w:tcW w:type="dxa" w:w="1152"/>
          </w:tcPr>
          <w:p>
            <w:pPr>
              <w:keepNext/>
              <w:spacing w:after="0"/>
              <w:jc w:val="right"/>
            </w:pPr>
            <w:r/>
            <w:r>
              <w:rPr>
                <w:rFonts w:ascii="Times New Roman" w:hAnsi="Times New Roman" w:cs="Times New Roman" w:eastAsia="Times New Roman"/>
                <w:b w:val="0"/>
                <w:sz w:val="17"/>
              </w:rPr>
              <w:t>(20.0)</w:t>
            </w:r>
          </w:p>
        </w:tc>
        <w:tc>
          <w:tcPr>
            <w:tcW w:type="dxa" w:w="1152"/>
          </w:tcPr>
          <w:p>
            <w:pPr>
              <w:keepNext/>
              <w:spacing w:after="0"/>
              <w:jc w:val="right"/>
            </w:pPr>
            <w:r/>
            <w:r>
              <w:rPr>
                <w:rFonts w:ascii="Times New Roman" w:hAnsi="Times New Roman" w:cs="Times New Roman" w:eastAsia="Times New Roman"/>
                <w:b w:val="0"/>
                <w:sz w:val="17"/>
              </w:rPr>
              <w:t>(40.0)</w:t>
            </w:r>
          </w:p>
        </w:tc>
        <w:tc>
          <w:tcPr>
            <w:tcW w:type="dxa" w:w="1080"/>
          </w:tcPr>
          <w:p>
            <w:pPr>
              <w:keepNext/>
              <w:spacing w:after="0"/>
              <w:jc w:val="right"/>
            </w:pPr>
            <w:r/>
            <w:r>
              <w:rPr>
                <w:rFonts w:ascii="Times New Roman" w:hAnsi="Times New Roman" w:cs="Times New Roman" w:eastAsia="Times New Roman"/>
                <w:b w:val="0"/>
                <w:sz w:val="17"/>
              </w:rPr>
              <w:t>n.m.</w:t>
            </w:r>
          </w:p>
        </w:tc>
      </w:tr>
      <w:tr>
        <w:tc>
          <w:tcPr>
            <w:tcW w:type="dxa" w:w="2664"/>
            <w:shd w:val="clear" w:color="auto" w:fill="EEF2F7"/>
          </w:tcPr>
          <w:p>
            <w:pPr>
              <w:spacing w:after="0"/>
              <w:jc w:val="left"/>
            </w:pPr>
            <w:r/>
            <w:r>
              <w:rPr>
                <w:rFonts w:ascii="Times New Roman" w:hAnsi="Times New Roman" w:cs="Times New Roman" w:eastAsia="Times New Roman"/>
                <w:b w:val="0"/>
                <w:sz w:val="17"/>
              </w:rPr>
              <w:t>P/E on EPS ex-marks @ $291</w:t>
            </w:r>
          </w:p>
        </w:tc>
        <w:tc>
          <w:tcPr>
            <w:tcW w:type="dxa" w:w="1152"/>
            <w:shd w:val="clear" w:color="auto" w:fill="EEF2F7"/>
          </w:tcPr>
          <w:p>
            <w:pPr>
              <w:spacing w:after="0"/>
              <w:jc w:val="right"/>
            </w:pPr>
            <w:r/>
            <w:r>
              <w:rPr>
                <w:rFonts w:ascii="Times New Roman" w:hAnsi="Times New Roman" w:cs="Times New Roman" w:eastAsia="Times New Roman"/>
                <w:b w:val="0"/>
                <w:sz w:val="17"/>
              </w:rPr>
              <w:t>25.1x</w:t>
            </w:r>
          </w:p>
        </w:tc>
        <w:tc>
          <w:tcPr>
            <w:tcW w:type="dxa" w:w="1152"/>
            <w:shd w:val="clear" w:color="auto" w:fill="EEF2F7"/>
          </w:tcPr>
          <w:p>
            <w:pPr>
              <w:spacing w:after="0"/>
              <w:jc w:val="right"/>
            </w:pPr>
            <w:r/>
            <w:r>
              <w:rPr>
                <w:rFonts w:ascii="Times New Roman" w:hAnsi="Times New Roman" w:cs="Times New Roman" w:eastAsia="Times New Roman"/>
                <w:b w:val="0"/>
                <w:sz w:val="17"/>
              </w:rPr>
              <w:t>26.5x</w:t>
            </w:r>
          </w:p>
        </w:tc>
        <w:tc>
          <w:tcPr>
            <w:tcW w:type="dxa" w:w="1008"/>
            <w:shd w:val="clear" w:color="auto" w:fill="EEF2F7"/>
          </w:tcPr>
          <w:p>
            <w:pPr>
              <w:spacing w:after="0"/>
              <w:jc w:val="right"/>
            </w:pPr>
            <w:r/>
            <w:r>
              <w:rPr>
                <w:rFonts w:ascii="Times New Roman" w:hAnsi="Times New Roman" w:cs="Times New Roman" w:eastAsia="Times New Roman"/>
                <w:b w:val="0"/>
                <w:sz w:val="17"/>
              </w:rPr>
            </w:r>
          </w:p>
        </w:tc>
        <w:tc>
          <w:tcPr>
            <w:tcW w:type="dxa" w:w="1152"/>
            <w:shd w:val="clear" w:color="auto" w:fill="EEF2F7"/>
          </w:tcPr>
          <w:p>
            <w:pPr>
              <w:spacing w:after="0"/>
              <w:jc w:val="right"/>
            </w:pPr>
            <w:r/>
            <w:r>
              <w:rPr>
                <w:rFonts w:ascii="Times New Roman" w:hAnsi="Times New Roman" w:cs="Times New Roman" w:eastAsia="Times New Roman"/>
                <w:b w:val="0"/>
                <w:sz w:val="17"/>
              </w:rPr>
              <w:t>22.2x</w:t>
            </w:r>
          </w:p>
        </w:tc>
        <w:tc>
          <w:tcPr>
            <w:tcW w:type="dxa" w:w="1152"/>
            <w:shd w:val="clear" w:color="auto" w:fill="EEF2F7"/>
          </w:tcPr>
          <w:p>
            <w:pPr>
              <w:spacing w:after="0"/>
              <w:jc w:val="right"/>
            </w:pPr>
            <w:r/>
            <w:r>
              <w:rPr>
                <w:rFonts w:ascii="Times New Roman" w:hAnsi="Times New Roman" w:cs="Times New Roman" w:eastAsia="Times New Roman"/>
                <w:b w:val="0"/>
                <w:sz w:val="17"/>
              </w:rPr>
              <w:t>22.9x</w:t>
            </w:r>
          </w:p>
        </w:tc>
        <w:tc>
          <w:tcPr>
            <w:tcW w:type="dxa" w:w="1080"/>
            <w:shd w:val="clear" w:color="auto" w:fill="EEF2F7"/>
          </w:tcPr>
          <w:p>
            <w:pPr>
              <w:spacing w:after="0"/>
              <w:jc w:val="right"/>
            </w:pPr>
            <w:r/>
            <w:r>
              <w:rPr>
                <w:rFonts w:ascii="Times New Roman" w:hAnsi="Times New Roman" w:cs="Times New Roman" w:eastAsia="Times New Roman"/>
                <w:b w:val="0"/>
                <w:sz w:val="17"/>
              </w:rPr>
            </w:r>
          </w:p>
        </w:tc>
      </w:tr>
    </w:tbl>
    <w:p>
      <w:pPr>
        <w:spacing w:after="140" w:before="0" w:line="240" w:lineRule="auto"/>
      </w:pPr>
      <w:r>
        <w:rPr>
          <w:rFonts w:ascii="Times New Roman" w:hAnsi="Times New Roman" w:cs="Times New Roman" w:eastAsia="Times New Roman"/>
          <w:i/>
          <w:sz w:val="17"/>
        </w:rPr>
        <w:t xml:space="preserve">Source: </w:t>
      </w:r>
      <w:r>
        <w:rPr>
          <w:rFonts w:ascii="Times New Roman" w:hAnsi="Times New Roman" w:cs="Times New Roman" w:eastAsia="Times New Roman"/>
          <w:i/>
          <w:sz w:val="17"/>
        </w:rPr>
        <w:t xml:space="preserve">Our estimates. "Prior" is our pre-print model, which was aligned with Street Q3 consensus ($128.0B revenue, $3.01 EPS). FY26 includes 9M'26 actuals from the </w:t>
      </w:r>
      <w:hyperlink r:id="rId10">
        <w:r>
          <w:rPr>
            <w:rFonts w:ascii="Times New Roman" w:hAnsi="Times New Roman" w:cs="Times New Roman" w:eastAsia="Times New Roman"/>
            <w:i/>
            <w:color w:val="0563C1"/>
            <w:u w:val="single"/>
            <w:sz w:val="17"/>
          </w:rPr>
          <w:t xml:space="preserve">Q3'26 release</w:t>
        </w:r>
      </w:hyperlink>
      <w:r>
        <w:rPr>
          <w:rFonts w:ascii="Times New Roman" w:hAnsi="Times New Roman" w:cs="Times New Roman" w:eastAsia="Times New Roman"/>
          <w:i/>
          <w:sz w:val="17"/>
        </w:rPr>
        <w:t>. *GAAP FY26E includes $127.3B of year-to-date equity securities gains. We forecast no future marks. Street FY26/FY27 EPS of $11.89/$15.19 (</w:t>
      </w:r>
      <w:hyperlink r:id="rId12">
        <w:r>
          <w:rPr>
            <w:rFonts w:ascii="Times New Roman" w:hAnsi="Times New Roman" w:cs="Times New Roman" w:eastAsia="Times New Roman"/>
            <w:i/>
            <w:color w:val="0563C1"/>
            <w:u w:val="single"/>
            <w:sz w:val="17"/>
          </w:rPr>
          <w:t xml:space="preserve">StockAnalysis, Oct 29, 2026</w:t>
        </w:r>
      </w:hyperlink>
      <w:r>
        <w:rPr>
          <w:rFonts w:ascii="Times New Roman" w:hAnsi="Times New Roman" w:cs="Times New Roman" w:eastAsia="Times New Roman"/>
          <w:i/>
          <w:sz w:val="17"/>
        </w:rPr>
        <w:t>) may not be on a comparable basis.</w:t>
      </w:r>
    </w:p>
    <w:p>
      <w:pPr>
        <w:keepNext/>
        <w:spacing w:after="80" w:before="160" w:line="240" w:lineRule="auto"/>
        <w:pBdr>
          <w:bottom w:val="single" w:sz="6" w:space="1" w:color="1F3A5F"/>
        </w:pBdr>
      </w:pPr>
      <w:r>
        <w:rPr>
          <w:rFonts w:ascii="Times New Roman" w:hAnsi="Times New Roman" w:cs="Times New Roman" w:eastAsia="Times New Roman"/>
          <w:b/>
          <w:i w:val="0"/>
          <w:color w:val="1F3A5F"/>
          <w:sz w:val="26"/>
        </w:rPr>
        <w:t>Detailed Results Analysis</w:t>
      </w:r>
    </w:p>
    <w:p>
      <w:pPr>
        <w:keepNext/>
        <w:spacing w:after="60" w:before="100" w:line="240" w:lineRule="auto"/>
      </w:pPr>
      <w:r>
        <w:rPr>
          <w:rFonts w:ascii="Times New Roman" w:hAnsi="Times New Roman" w:cs="Times New Roman" w:eastAsia="Times New Roman"/>
          <w:b/>
          <w:i w:val="0"/>
          <w:color w:val="1F3A5F"/>
          <w:sz w:val="22"/>
        </w:rPr>
        <w:t>Revenue: Cloud doubles while Services slows on FX and tough comps</w:t>
      </w:r>
    </w:p>
    <w:p>
      <w:pPr>
        <w:spacing w:after="100" w:before="0" w:line="240" w:lineRule="auto"/>
        <w:jc w:val="both"/>
      </w:pPr>
      <w:r>
        <w:rPr>
          <w:rFonts w:ascii="Times New Roman" w:hAnsi="Times New Roman" w:cs="Times New Roman" w:eastAsia="Times New Roman"/>
          <w:sz w:val="21"/>
        </w:rPr>
        <w:t>Total revenue grew 24.7% YoY to $127,577M, Alphabet's 13th straight quarter of double-digit growth. Sequential growth was 6.5% (7% constant currency). Google Services revenue grew 10.6% to $96,302M, the slowest of the last four quarters. Search &amp; other rose 12.0% to $63,350M (Q2: +16.8%; Q1: +19.1%). YouTube ads rose 9.2% to $11,207M (Q2: +12.9%). Subscriptions, platforms &amp; devices rose 11.0% to $14,290M, and Network rose 1.4% to $7,455M. Management said the Search slowdown came mostly from FX, EU de minimis changes and lapping World Cup spend. It said Search query growth was the highest in five years and that AI Mode queries are on average 3x longer than traditional searches. Q4 has a tougher comparison (Q4'25 Search +16.7%), and the CFO guided to "a slightly larger" FX headwind. We model Q4 Search at +9%.</w:t>
      </w:r>
    </w:p>
    <w:p>
      <w:pPr>
        <w:keepNext/>
        <w:spacing w:after="20" w:before="80" w:line="240" w:lineRule="auto"/>
      </w:pPr>
      <w:r>
        <w:rPr>
          <w:rFonts w:ascii="Times New Roman" w:hAnsi="Times New Roman" w:cs="Times New Roman" w:eastAsia="Times New Roman"/>
          <w:b/>
          <w:sz w:val="19"/>
        </w:rPr>
        <w:t>Figure 1 - Quarterly revenue by segment ($B), Q4'24-Q3'26</w:t>
      </w:r>
      <w:r>
        <w:br/>
        <w:drawing>
          <wp:inline xmlns:a="http://schemas.openxmlformats.org/drawingml/2006/main" xmlns:pic="http://schemas.openxmlformats.org/drawingml/2006/picture">
            <wp:extent cx="5760720" cy="2431088"/>
            <wp:docPr id="1" name="Picture 1"/>
            <wp:cNvGraphicFramePr>
              <a:graphicFrameLocks noChangeAspect="1"/>
            </wp:cNvGraphicFramePr>
            <a:graphic>
              <a:graphicData uri="http://schemas.openxmlformats.org/drawingml/2006/picture">
                <pic:pic>
                  <pic:nvPicPr>
                    <pic:cNvPr id="0" name="fig01_revenue_by_segment.png"/>
                    <pic:cNvPicPr/>
                  </pic:nvPicPr>
                  <pic:blipFill>
                    <a:blip r:embed="rId13"/>
                    <a:stretch>
                      <a:fillRect/>
                    </a:stretch>
                  </pic:blipFill>
                  <pic:spPr>
                    <a:xfrm>
                      <a:off x="0" y="0"/>
                      <a:ext cx="5760720" cy="2431088"/>
                    </a:xfrm>
                    <a:prstGeom prst="rect"/>
                  </pic:spPr>
                </pic:pic>
              </a:graphicData>
            </a:graphic>
          </wp:inline>
        </w:drawing>
      </w:r>
    </w:p>
    <w:p>
      <w:pPr>
        <w:spacing w:after="140" w:before="0" w:line="240" w:lineRule="auto"/>
      </w:pPr>
      <w:r>
        <w:rPr>
          <w:rFonts w:ascii="Times New Roman" w:hAnsi="Times New Roman" w:cs="Times New Roman" w:eastAsia="Times New Roman"/>
          <w:i/>
          <w:sz w:val="17"/>
        </w:rPr>
        <w:t xml:space="preserve">Source: </w:t>
      </w:r>
      <w:hyperlink r:id="rId10">
        <w:r>
          <w:rPr>
            <w:rFonts w:ascii="Times New Roman" w:hAnsi="Times New Roman" w:cs="Times New Roman" w:eastAsia="Times New Roman"/>
            <w:i/>
            <w:color w:val="0563C1"/>
            <w:u w:val="single"/>
            <w:sz w:val="17"/>
          </w:rPr>
          <w:t xml:space="preserve">Alphabet 8-K Ex. 99.1 releases</w:t>
        </w:r>
      </w:hyperlink>
      <w:r>
        <w:rPr>
          <w:rFonts w:ascii="Times New Roman" w:hAnsi="Times New Roman" w:cs="Times New Roman" w:eastAsia="Times New Roman"/>
          <w:i/>
          <w:sz w:val="17"/>
        </w:rPr>
        <w:t xml:space="preserve"> for </w:t>
      </w:r>
      <w:hyperlink r:id="rId14">
        <w:r>
          <w:rPr>
            <w:rFonts w:ascii="Times New Roman" w:hAnsi="Times New Roman" w:cs="Times New Roman" w:eastAsia="Times New Roman"/>
            <w:i/>
            <w:color w:val="0563C1"/>
            <w:u w:val="single"/>
            <w:sz w:val="17"/>
          </w:rPr>
          <w:t xml:space="preserve">Q4'25</w:t>
        </w:r>
      </w:hyperlink>
      <w:r>
        <w:rPr>
          <w:rFonts w:ascii="Times New Roman" w:hAnsi="Times New Roman" w:cs="Times New Roman" w:eastAsia="Times New Roman"/>
          <w:i/>
          <w:sz w:val="17"/>
        </w:rPr>
        <w:t xml:space="preserve">, </w:t>
      </w:r>
      <w:hyperlink r:id="rId15">
        <w:r>
          <w:rPr>
            <w:rFonts w:ascii="Times New Roman" w:hAnsi="Times New Roman" w:cs="Times New Roman" w:eastAsia="Times New Roman"/>
            <w:i/>
            <w:color w:val="0563C1"/>
            <w:u w:val="single"/>
            <w:sz w:val="17"/>
          </w:rPr>
          <w:t xml:space="preserve">Q1'26</w:t>
        </w:r>
      </w:hyperlink>
      <w:r>
        <w:rPr>
          <w:rFonts w:ascii="Times New Roman" w:hAnsi="Times New Roman" w:cs="Times New Roman" w:eastAsia="Times New Roman"/>
          <w:i/>
          <w:sz w:val="17"/>
        </w:rPr>
        <w:t xml:space="preserve">, </w:t>
      </w:r>
      <w:hyperlink r:id="rId16">
        <w:r>
          <w:rPr>
            <w:rFonts w:ascii="Times New Roman" w:hAnsi="Times New Roman" w:cs="Times New Roman" w:eastAsia="Times New Roman"/>
            <w:i/>
            <w:color w:val="0563C1"/>
            <w:u w:val="single"/>
            <w:sz w:val="17"/>
          </w:rPr>
          <w:t xml:space="preserve">Q2'26</w:t>
        </w:r>
      </w:hyperlink>
      <w:r>
        <w:rPr>
          <w:rFonts w:ascii="Times New Roman" w:hAnsi="Times New Roman" w:cs="Times New Roman" w:eastAsia="Times New Roman"/>
          <w:i/>
          <w:sz w:val="17"/>
        </w:rPr>
        <w:t xml:space="preserve"> and </w:t>
      </w:r>
      <w:hyperlink r:id="rId10">
        <w:r>
          <w:rPr>
            <w:rFonts w:ascii="Times New Roman" w:hAnsi="Times New Roman" w:cs="Times New Roman" w:eastAsia="Times New Roman"/>
            <w:i/>
            <w:color w:val="0563C1"/>
            <w:u w:val="single"/>
            <w:sz w:val="17"/>
          </w:rPr>
          <w:t xml:space="preserve">Q3'26</w:t>
        </w:r>
      </w:hyperlink>
      <w:r>
        <w:rPr>
          <w:rFonts w:ascii="Times New Roman" w:hAnsi="Times New Roman" w:cs="Times New Roman" w:eastAsia="Times New Roman"/>
          <w:i/>
          <w:sz w:val="17"/>
        </w:rPr>
        <w:t xml:space="preserve"> (prior-year quarters from the same releases).</w:t>
      </w:r>
    </w:p>
    <w:p>
      <w:pPr>
        <w:keepNext/>
        <w:spacing w:after="40" w:before="80" w:line="240" w:lineRule="auto"/>
      </w:pPr>
      <w:r>
        <w:rPr>
          <w:rFonts w:ascii="Times New Roman" w:hAnsi="Times New Roman" w:cs="Times New Roman" w:eastAsia="Times New Roman"/>
          <w:b/>
          <w:i w:val="0"/>
          <w:sz w:val="19"/>
        </w:rPr>
        <w:t>Table 3 - Quarterly Segment Progression ($M)</w:t>
      </w:r>
    </w:p>
    <w:tbl>
      <w:tblPr>
        <w:tblStyle w:val="TableGrid"/>
        <w:tblW w:type="auto" w:w="0"/>
        <w:jc w:val="center"/>
        <w:tblLayout w:type="fixed"/>
        <w:tblLook w:firstColumn="1" w:firstRow="1" w:lastColumn="0" w:lastRow="0" w:noHBand="0" w:noVBand="1" w:val="04A0"/>
      </w:tblPr>
      <w:tblGrid>
        <w:gridCol w:w="2520"/>
        <w:gridCol w:w="979"/>
        <w:gridCol w:w="979"/>
        <w:gridCol w:w="979"/>
        <w:gridCol w:w="979"/>
        <w:gridCol w:w="979"/>
        <w:gridCol w:w="1008"/>
        <w:gridCol w:w="936"/>
      </w:tblGrid>
      <w:tr>
        <w:tc>
          <w:tcPr>
            <w:tcW w:type="dxa" w:w="2520"/>
            <w:shd w:val="clear" w:color="auto" w:fill="1F3A5F"/>
          </w:tcPr>
          <w:p>
            <w:pPr>
              <w:keepNext/>
              <w:jc w:val="left"/>
            </w:pPr>
            <w:r/>
            <w:r>
              <w:rPr>
                <w:rFonts w:ascii="Times New Roman" w:hAnsi="Times New Roman" w:cs="Times New Roman" w:eastAsia="Times New Roman"/>
                <w:b/>
                <w:color w:val="FFFFFF"/>
                <w:sz w:val="17"/>
              </w:rPr>
              <w:t>$M</w:t>
            </w:r>
          </w:p>
        </w:tc>
        <w:tc>
          <w:tcPr>
            <w:tcW w:type="dxa" w:w="979"/>
            <w:shd w:val="clear" w:color="auto" w:fill="1F3A5F"/>
          </w:tcPr>
          <w:p>
            <w:pPr>
              <w:keepNext/>
              <w:jc w:val="center"/>
            </w:pPr>
            <w:r/>
            <w:r>
              <w:rPr>
                <w:rFonts w:ascii="Times New Roman" w:hAnsi="Times New Roman" w:cs="Times New Roman" w:eastAsia="Times New Roman"/>
                <w:b/>
                <w:color w:val="FFFFFF"/>
                <w:sz w:val="17"/>
              </w:rPr>
              <w:t>Q3'25</w:t>
            </w:r>
          </w:p>
        </w:tc>
        <w:tc>
          <w:tcPr>
            <w:tcW w:type="dxa" w:w="979"/>
            <w:shd w:val="clear" w:color="auto" w:fill="1F3A5F"/>
          </w:tcPr>
          <w:p>
            <w:pPr>
              <w:keepNext/>
              <w:jc w:val="center"/>
            </w:pPr>
            <w:r/>
            <w:r>
              <w:rPr>
                <w:rFonts w:ascii="Times New Roman" w:hAnsi="Times New Roman" w:cs="Times New Roman" w:eastAsia="Times New Roman"/>
                <w:b/>
                <w:color w:val="FFFFFF"/>
                <w:sz w:val="17"/>
              </w:rPr>
              <w:t>Q4'25</w:t>
            </w:r>
          </w:p>
        </w:tc>
        <w:tc>
          <w:tcPr>
            <w:tcW w:type="dxa" w:w="979"/>
            <w:shd w:val="clear" w:color="auto" w:fill="1F3A5F"/>
          </w:tcPr>
          <w:p>
            <w:pPr>
              <w:keepNext/>
              <w:jc w:val="center"/>
            </w:pPr>
            <w:r/>
            <w:r>
              <w:rPr>
                <w:rFonts w:ascii="Times New Roman" w:hAnsi="Times New Roman" w:cs="Times New Roman" w:eastAsia="Times New Roman"/>
                <w:b/>
                <w:color w:val="FFFFFF"/>
                <w:sz w:val="17"/>
              </w:rPr>
              <w:t>Q1'26</w:t>
            </w:r>
          </w:p>
        </w:tc>
        <w:tc>
          <w:tcPr>
            <w:tcW w:type="dxa" w:w="979"/>
            <w:shd w:val="clear" w:color="auto" w:fill="1F3A5F"/>
          </w:tcPr>
          <w:p>
            <w:pPr>
              <w:keepNext/>
              <w:jc w:val="center"/>
            </w:pPr>
            <w:r/>
            <w:r>
              <w:rPr>
                <w:rFonts w:ascii="Times New Roman" w:hAnsi="Times New Roman" w:cs="Times New Roman" w:eastAsia="Times New Roman"/>
                <w:b/>
                <w:color w:val="FFFFFF"/>
                <w:sz w:val="17"/>
              </w:rPr>
              <w:t>Q2'26</w:t>
            </w:r>
          </w:p>
        </w:tc>
        <w:tc>
          <w:tcPr>
            <w:tcW w:type="dxa" w:w="979"/>
            <w:shd w:val="clear" w:color="auto" w:fill="1F3A5F"/>
          </w:tcPr>
          <w:p>
            <w:pPr>
              <w:keepNext/>
              <w:jc w:val="center"/>
            </w:pPr>
            <w:r/>
            <w:r>
              <w:rPr>
                <w:rFonts w:ascii="Times New Roman" w:hAnsi="Times New Roman" w:cs="Times New Roman" w:eastAsia="Times New Roman"/>
                <w:b/>
                <w:color w:val="FFFFFF"/>
                <w:sz w:val="17"/>
              </w:rPr>
              <w:t>Q3'26</w:t>
            </w:r>
          </w:p>
        </w:tc>
        <w:tc>
          <w:tcPr>
            <w:tcW w:type="dxa" w:w="1008"/>
            <w:shd w:val="clear" w:color="auto" w:fill="1F3A5F"/>
          </w:tcPr>
          <w:p>
            <w:pPr>
              <w:keepNext/>
              <w:jc w:val="center"/>
            </w:pPr>
            <w:r/>
            <w:r>
              <w:rPr>
                <w:rFonts w:ascii="Times New Roman" w:hAnsi="Times New Roman" w:cs="Times New Roman" w:eastAsia="Times New Roman"/>
                <w:b/>
                <w:color w:val="FFFFFF"/>
                <w:sz w:val="17"/>
              </w:rPr>
              <w:t>YoY</w:t>
            </w:r>
          </w:p>
        </w:tc>
        <w:tc>
          <w:tcPr>
            <w:tcW w:type="dxa" w:w="936"/>
            <w:shd w:val="clear" w:color="auto" w:fill="1F3A5F"/>
          </w:tcPr>
          <w:p>
            <w:pPr>
              <w:keepNext/>
              <w:jc w:val="center"/>
            </w:pPr>
            <w:r/>
            <w:r>
              <w:rPr>
                <w:rFonts w:ascii="Times New Roman" w:hAnsi="Times New Roman" w:cs="Times New Roman" w:eastAsia="Times New Roman"/>
                <w:b/>
                <w:color w:val="FFFFFF"/>
                <w:sz w:val="17"/>
              </w:rPr>
              <w:t>QoQ</w:t>
            </w:r>
          </w:p>
        </w:tc>
      </w:tr>
      <w:tr>
        <w:tc>
          <w:tcPr>
            <w:tcW w:type="dxa" w:w="2520"/>
          </w:tcPr>
          <w:p>
            <w:pPr>
              <w:keepNext/>
              <w:spacing w:after="0"/>
              <w:jc w:val="left"/>
            </w:pPr>
            <w:r/>
            <w:r>
              <w:rPr>
                <w:rFonts w:ascii="Times New Roman" w:hAnsi="Times New Roman" w:cs="Times New Roman" w:eastAsia="Times New Roman"/>
                <w:b w:val="0"/>
                <w:sz w:val="17"/>
              </w:rPr>
              <w:t>Search &amp; other</w:t>
            </w:r>
          </w:p>
        </w:tc>
        <w:tc>
          <w:tcPr>
            <w:tcW w:type="dxa" w:w="979"/>
          </w:tcPr>
          <w:p>
            <w:pPr>
              <w:keepNext/>
              <w:spacing w:after="0"/>
              <w:jc w:val="right"/>
            </w:pPr>
            <w:r/>
            <w:r>
              <w:rPr>
                <w:rFonts w:ascii="Times New Roman" w:hAnsi="Times New Roman" w:cs="Times New Roman" w:eastAsia="Times New Roman"/>
                <w:b w:val="0"/>
                <w:sz w:val="17"/>
              </w:rPr>
              <w:t>56,567</w:t>
            </w:r>
          </w:p>
        </w:tc>
        <w:tc>
          <w:tcPr>
            <w:tcW w:type="dxa" w:w="979"/>
          </w:tcPr>
          <w:p>
            <w:pPr>
              <w:keepNext/>
              <w:spacing w:after="0"/>
              <w:jc w:val="right"/>
            </w:pPr>
            <w:r/>
            <w:r>
              <w:rPr>
                <w:rFonts w:ascii="Times New Roman" w:hAnsi="Times New Roman" w:cs="Times New Roman" w:eastAsia="Times New Roman"/>
                <w:b w:val="0"/>
                <w:sz w:val="17"/>
              </w:rPr>
              <w:t>63,073</w:t>
            </w:r>
          </w:p>
        </w:tc>
        <w:tc>
          <w:tcPr>
            <w:tcW w:type="dxa" w:w="979"/>
          </w:tcPr>
          <w:p>
            <w:pPr>
              <w:keepNext/>
              <w:spacing w:after="0"/>
              <w:jc w:val="right"/>
            </w:pPr>
            <w:r/>
            <w:r>
              <w:rPr>
                <w:rFonts w:ascii="Times New Roman" w:hAnsi="Times New Roman" w:cs="Times New Roman" w:eastAsia="Times New Roman"/>
                <w:b w:val="0"/>
                <w:sz w:val="17"/>
              </w:rPr>
              <w:t>60,399</w:t>
            </w:r>
          </w:p>
        </w:tc>
        <w:tc>
          <w:tcPr>
            <w:tcW w:type="dxa" w:w="979"/>
          </w:tcPr>
          <w:p>
            <w:pPr>
              <w:keepNext/>
              <w:spacing w:after="0"/>
              <w:jc w:val="right"/>
            </w:pPr>
            <w:r/>
            <w:r>
              <w:rPr>
                <w:rFonts w:ascii="Times New Roman" w:hAnsi="Times New Roman" w:cs="Times New Roman" w:eastAsia="Times New Roman"/>
                <w:b w:val="0"/>
                <w:sz w:val="17"/>
              </w:rPr>
              <w:t>63,271</w:t>
            </w:r>
          </w:p>
        </w:tc>
        <w:tc>
          <w:tcPr>
            <w:tcW w:type="dxa" w:w="979"/>
          </w:tcPr>
          <w:p>
            <w:pPr>
              <w:keepNext/>
              <w:spacing w:after="0"/>
              <w:jc w:val="right"/>
            </w:pPr>
            <w:r/>
            <w:r>
              <w:rPr>
                <w:rFonts w:ascii="Times New Roman" w:hAnsi="Times New Roman" w:cs="Times New Roman" w:eastAsia="Times New Roman"/>
                <w:b w:val="0"/>
                <w:sz w:val="17"/>
              </w:rPr>
              <w:t>63,350</w:t>
            </w:r>
          </w:p>
        </w:tc>
        <w:tc>
          <w:tcPr>
            <w:tcW w:type="dxa" w:w="1008"/>
          </w:tcPr>
          <w:p>
            <w:pPr>
              <w:keepNext/>
              <w:spacing w:after="0"/>
              <w:jc w:val="right"/>
            </w:pPr>
            <w:r/>
            <w:r>
              <w:rPr>
                <w:rFonts w:ascii="Times New Roman" w:hAnsi="Times New Roman" w:cs="Times New Roman" w:eastAsia="Times New Roman"/>
                <w:b w:val="0"/>
                <w:sz w:val="17"/>
              </w:rPr>
              <w:t>+12.0%</w:t>
            </w:r>
          </w:p>
        </w:tc>
        <w:tc>
          <w:tcPr>
            <w:tcW w:type="dxa" w:w="936"/>
          </w:tcPr>
          <w:p>
            <w:pPr>
              <w:keepNext/>
              <w:spacing w:after="0"/>
              <w:jc w:val="right"/>
            </w:pPr>
            <w:r/>
            <w:r>
              <w:rPr>
                <w:rFonts w:ascii="Times New Roman" w:hAnsi="Times New Roman" w:cs="Times New Roman" w:eastAsia="Times New Roman"/>
                <w:b w:val="0"/>
                <w:sz w:val="17"/>
              </w:rPr>
              <w:t>+0.1%</w:t>
            </w:r>
          </w:p>
        </w:tc>
      </w:tr>
      <w:tr>
        <w:tc>
          <w:tcPr>
            <w:tcW w:type="dxa" w:w="2520"/>
            <w:shd w:val="clear" w:color="auto" w:fill="EEF2F7"/>
          </w:tcPr>
          <w:p>
            <w:pPr>
              <w:keepNext/>
              <w:spacing w:after="0"/>
              <w:jc w:val="left"/>
            </w:pPr>
            <w:r/>
            <w:r>
              <w:rPr>
                <w:rFonts w:ascii="Times New Roman" w:hAnsi="Times New Roman" w:cs="Times New Roman" w:eastAsia="Times New Roman"/>
                <w:b w:val="0"/>
                <w:sz w:val="17"/>
              </w:rPr>
              <w:t>YouTube ads</w:t>
            </w:r>
          </w:p>
        </w:tc>
        <w:tc>
          <w:tcPr>
            <w:tcW w:type="dxa" w:w="979"/>
            <w:shd w:val="clear" w:color="auto" w:fill="EEF2F7"/>
          </w:tcPr>
          <w:p>
            <w:pPr>
              <w:keepNext/>
              <w:spacing w:after="0"/>
              <w:jc w:val="right"/>
            </w:pPr>
            <w:r/>
            <w:r>
              <w:rPr>
                <w:rFonts w:ascii="Times New Roman" w:hAnsi="Times New Roman" w:cs="Times New Roman" w:eastAsia="Times New Roman"/>
                <w:b w:val="0"/>
                <w:sz w:val="17"/>
              </w:rPr>
              <w:t>10,261</w:t>
            </w:r>
          </w:p>
        </w:tc>
        <w:tc>
          <w:tcPr>
            <w:tcW w:type="dxa" w:w="979"/>
            <w:shd w:val="clear" w:color="auto" w:fill="EEF2F7"/>
          </w:tcPr>
          <w:p>
            <w:pPr>
              <w:keepNext/>
              <w:spacing w:after="0"/>
              <w:jc w:val="right"/>
            </w:pPr>
            <w:r/>
            <w:r>
              <w:rPr>
                <w:rFonts w:ascii="Times New Roman" w:hAnsi="Times New Roman" w:cs="Times New Roman" w:eastAsia="Times New Roman"/>
                <w:b w:val="0"/>
                <w:sz w:val="17"/>
              </w:rPr>
              <w:t>11,383</w:t>
            </w:r>
          </w:p>
        </w:tc>
        <w:tc>
          <w:tcPr>
            <w:tcW w:type="dxa" w:w="979"/>
            <w:shd w:val="clear" w:color="auto" w:fill="EEF2F7"/>
          </w:tcPr>
          <w:p>
            <w:pPr>
              <w:keepNext/>
              <w:spacing w:after="0"/>
              <w:jc w:val="right"/>
            </w:pPr>
            <w:r/>
            <w:r>
              <w:rPr>
                <w:rFonts w:ascii="Times New Roman" w:hAnsi="Times New Roman" w:cs="Times New Roman" w:eastAsia="Times New Roman"/>
                <w:b w:val="0"/>
                <w:sz w:val="17"/>
              </w:rPr>
              <w:t>9,883</w:t>
            </w:r>
          </w:p>
        </w:tc>
        <w:tc>
          <w:tcPr>
            <w:tcW w:type="dxa" w:w="979"/>
            <w:shd w:val="clear" w:color="auto" w:fill="EEF2F7"/>
          </w:tcPr>
          <w:p>
            <w:pPr>
              <w:keepNext/>
              <w:spacing w:after="0"/>
              <w:jc w:val="right"/>
            </w:pPr>
            <w:r/>
            <w:r>
              <w:rPr>
                <w:rFonts w:ascii="Times New Roman" w:hAnsi="Times New Roman" w:cs="Times New Roman" w:eastAsia="Times New Roman"/>
                <w:b w:val="0"/>
                <w:sz w:val="17"/>
              </w:rPr>
              <w:t>11,055</w:t>
            </w:r>
          </w:p>
        </w:tc>
        <w:tc>
          <w:tcPr>
            <w:tcW w:type="dxa" w:w="979"/>
            <w:shd w:val="clear" w:color="auto" w:fill="EEF2F7"/>
          </w:tcPr>
          <w:p>
            <w:pPr>
              <w:keepNext/>
              <w:spacing w:after="0"/>
              <w:jc w:val="right"/>
            </w:pPr>
            <w:r/>
            <w:r>
              <w:rPr>
                <w:rFonts w:ascii="Times New Roman" w:hAnsi="Times New Roman" w:cs="Times New Roman" w:eastAsia="Times New Roman"/>
                <w:b w:val="0"/>
                <w:sz w:val="17"/>
              </w:rPr>
              <w:t>11,207</w:t>
            </w:r>
          </w:p>
        </w:tc>
        <w:tc>
          <w:tcPr>
            <w:tcW w:type="dxa" w:w="1008"/>
            <w:shd w:val="clear" w:color="auto" w:fill="EEF2F7"/>
          </w:tcPr>
          <w:p>
            <w:pPr>
              <w:keepNext/>
              <w:spacing w:after="0"/>
              <w:jc w:val="right"/>
            </w:pPr>
            <w:r/>
            <w:r>
              <w:rPr>
                <w:rFonts w:ascii="Times New Roman" w:hAnsi="Times New Roman" w:cs="Times New Roman" w:eastAsia="Times New Roman"/>
                <w:b w:val="0"/>
                <w:sz w:val="17"/>
              </w:rPr>
              <w:t>+9.2%</w:t>
            </w:r>
          </w:p>
        </w:tc>
        <w:tc>
          <w:tcPr>
            <w:tcW w:type="dxa" w:w="936"/>
            <w:shd w:val="clear" w:color="auto" w:fill="EEF2F7"/>
          </w:tcPr>
          <w:p>
            <w:pPr>
              <w:keepNext/>
              <w:spacing w:after="0"/>
              <w:jc w:val="right"/>
            </w:pPr>
            <w:r/>
            <w:r>
              <w:rPr>
                <w:rFonts w:ascii="Times New Roman" w:hAnsi="Times New Roman" w:cs="Times New Roman" w:eastAsia="Times New Roman"/>
                <w:b w:val="0"/>
                <w:sz w:val="17"/>
              </w:rPr>
              <w:t>+1.4%</w:t>
            </w:r>
          </w:p>
        </w:tc>
      </w:tr>
      <w:tr>
        <w:tc>
          <w:tcPr>
            <w:tcW w:type="dxa" w:w="2520"/>
          </w:tcPr>
          <w:p>
            <w:pPr>
              <w:keepNext/>
              <w:spacing w:after="0"/>
              <w:jc w:val="left"/>
            </w:pPr>
            <w:r/>
            <w:r>
              <w:rPr>
                <w:rFonts w:ascii="Times New Roman" w:hAnsi="Times New Roman" w:cs="Times New Roman" w:eastAsia="Times New Roman"/>
                <w:b w:val="0"/>
                <w:sz w:val="17"/>
              </w:rPr>
              <w:t>Google Network</w:t>
            </w:r>
          </w:p>
        </w:tc>
        <w:tc>
          <w:tcPr>
            <w:tcW w:type="dxa" w:w="979"/>
          </w:tcPr>
          <w:p>
            <w:pPr>
              <w:keepNext/>
              <w:spacing w:after="0"/>
              <w:jc w:val="right"/>
            </w:pPr>
            <w:r/>
            <w:r>
              <w:rPr>
                <w:rFonts w:ascii="Times New Roman" w:hAnsi="Times New Roman" w:cs="Times New Roman" w:eastAsia="Times New Roman"/>
                <w:b w:val="0"/>
                <w:sz w:val="17"/>
              </w:rPr>
              <w:t>7,354</w:t>
            </w:r>
          </w:p>
        </w:tc>
        <w:tc>
          <w:tcPr>
            <w:tcW w:type="dxa" w:w="979"/>
          </w:tcPr>
          <w:p>
            <w:pPr>
              <w:keepNext/>
              <w:spacing w:after="0"/>
              <w:jc w:val="right"/>
            </w:pPr>
            <w:r/>
            <w:r>
              <w:rPr>
                <w:rFonts w:ascii="Times New Roman" w:hAnsi="Times New Roman" w:cs="Times New Roman" w:eastAsia="Times New Roman"/>
                <w:b w:val="0"/>
                <w:sz w:val="17"/>
              </w:rPr>
              <w:t>7,828</w:t>
            </w:r>
          </w:p>
        </w:tc>
        <w:tc>
          <w:tcPr>
            <w:tcW w:type="dxa" w:w="979"/>
          </w:tcPr>
          <w:p>
            <w:pPr>
              <w:keepNext/>
              <w:spacing w:after="0"/>
              <w:jc w:val="right"/>
            </w:pPr>
            <w:r/>
            <w:r>
              <w:rPr>
                <w:rFonts w:ascii="Times New Roman" w:hAnsi="Times New Roman" w:cs="Times New Roman" w:eastAsia="Times New Roman"/>
                <w:b w:val="0"/>
                <w:sz w:val="17"/>
              </w:rPr>
              <w:t>6,971</w:t>
            </w:r>
          </w:p>
        </w:tc>
        <w:tc>
          <w:tcPr>
            <w:tcW w:type="dxa" w:w="979"/>
          </w:tcPr>
          <w:p>
            <w:pPr>
              <w:keepNext/>
              <w:spacing w:after="0"/>
              <w:jc w:val="right"/>
            </w:pPr>
            <w:r/>
            <w:r>
              <w:rPr>
                <w:rFonts w:ascii="Times New Roman" w:hAnsi="Times New Roman" w:cs="Times New Roman" w:eastAsia="Times New Roman"/>
                <w:b w:val="0"/>
                <w:sz w:val="17"/>
              </w:rPr>
              <w:t>7,303</w:t>
            </w:r>
          </w:p>
        </w:tc>
        <w:tc>
          <w:tcPr>
            <w:tcW w:type="dxa" w:w="979"/>
          </w:tcPr>
          <w:p>
            <w:pPr>
              <w:keepNext/>
              <w:spacing w:after="0"/>
              <w:jc w:val="right"/>
            </w:pPr>
            <w:r/>
            <w:r>
              <w:rPr>
                <w:rFonts w:ascii="Times New Roman" w:hAnsi="Times New Roman" w:cs="Times New Roman" w:eastAsia="Times New Roman"/>
                <w:b w:val="0"/>
                <w:sz w:val="17"/>
              </w:rPr>
              <w:t>7,455</w:t>
            </w:r>
          </w:p>
        </w:tc>
        <w:tc>
          <w:tcPr>
            <w:tcW w:type="dxa" w:w="1008"/>
          </w:tcPr>
          <w:p>
            <w:pPr>
              <w:keepNext/>
              <w:spacing w:after="0"/>
              <w:jc w:val="right"/>
            </w:pPr>
            <w:r/>
            <w:r>
              <w:rPr>
                <w:rFonts w:ascii="Times New Roman" w:hAnsi="Times New Roman" w:cs="Times New Roman" w:eastAsia="Times New Roman"/>
                <w:b w:val="0"/>
                <w:sz w:val="17"/>
              </w:rPr>
              <w:t>+1.4%</w:t>
            </w:r>
          </w:p>
        </w:tc>
        <w:tc>
          <w:tcPr>
            <w:tcW w:type="dxa" w:w="936"/>
          </w:tcPr>
          <w:p>
            <w:pPr>
              <w:keepNext/>
              <w:spacing w:after="0"/>
              <w:jc w:val="right"/>
            </w:pPr>
            <w:r/>
            <w:r>
              <w:rPr>
                <w:rFonts w:ascii="Times New Roman" w:hAnsi="Times New Roman" w:cs="Times New Roman" w:eastAsia="Times New Roman"/>
                <w:b w:val="0"/>
                <w:sz w:val="17"/>
              </w:rPr>
              <w:t>+2.1%</w:t>
            </w:r>
          </w:p>
        </w:tc>
      </w:tr>
      <w:tr>
        <w:tc>
          <w:tcPr>
            <w:tcW w:type="dxa" w:w="2520"/>
            <w:shd w:val="clear" w:color="auto" w:fill="EEF2F7"/>
          </w:tcPr>
          <w:p>
            <w:pPr>
              <w:keepNext/>
              <w:spacing w:after="0"/>
              <w:jc w:val="left"/>
            </w:pPr>
            <w:r/>
            <w:r>
              <w:rPr>
                <w:rFonts w:ascii="Times New Roman" w:hAnsi="Times New Roman" w:cs="Times New Roman" w:eastAsia="Times New Roman"/>
                <w:b w:val="0"/>
                <w:sz w:val="17"/>
              </w:rPr>
              <w:t>Subs, platforms &amp; devices</w:t>
            </w:r>
          </w:p>
        </w:tc>
        <w:tc>
          <w:tcPr>
            <w:tcW w:type="dxa" w:w="979"/>
            <w:shd w:val="clear" w:color="auto" w:fill="EEF2F7"/>
          </w:tcPr>
          <w:p>
            <w:pPr>
              <w:keepNext/>
              <w:spacing w:after="0"/>
              <w:jc w:val="right"/>
            </w:pPr>
            <w:r/>
            <w:r>
              <w:rPr>
                <w:rFonts w:ascii="Times New Roman" w:hAnsi="Times New Roman" w:cs="Times New Roman" w:eastAsia="Times New Roman"/>
                <w:b w:val="0"/>
                <w:sz w:val="17"/>
              </w:rPr>
              <w:t>12,870</w:t>
            </w:r>
          </w:p>
        </w:tc>
        <w:tc>
          <w:tcPr>
            <w:tcW w:type="dxa" w:w="979"/>
            <w:shd w:val="clear" w:color="auto" w:fill="EEF2F7"/>
          </w:tcPr>
          <w:p>
            <w:pPr>
              <w:keepNext/>
              <w:spacing w:after="0"/>
              <w:jc w:val="right"/>
            </w:pPr>
            <w:r/>
            <w:r>
              <w:rPr>
                <w:rFonts w:ascii="Times New Roman" w:hAnsi="Times New Roman" w:cs="Times New Roman" w:eastAsia="Times New Roman"/>
                <w:b w:val="0"/>
                <w:sz w:val="17"/>
              </w:rPr>
              <w:t>13,578</w:t>
            </w:r>
          </w:p>
        </w:tc>
        <w:tc>
          <w:tcPr>
            <w:tcW w:type="dxa" w:w="979"/>
            <w:shd w:val="clear" w:color="auto" w:fill="EEF2F7"/>
          </w:tcPr>
          <w:p>
            <w:pPr>
              <w:keepNext/>
              <w:spacing w:after="0"/>
              <w:jc w:val="right"/>
            </w:pPr>
            <w:r/>
            <w:r>
              <w:rPr>
                <w:rFonts w:ascii="Times New Roman" w:hAnsi="Times New Roman" w:cs="Times New Roman" w:eastAsia="Times New Roman"/>
                <w:b w:val="0"/>
                <w:sz w:val="17"/>
              </w:rPr>
              <w:t>12,384</w:t>
            </w:r>
          </w:p>
        </w:tc>
        <w:tc>
          <w:tcPr>
            <w:tcW w:type="dxa" w:w="979"/>
            <w:shd w:val="clear" w:color="auto" w:fill="EEF2F7"/>
          </w:tcPr>
          <w:p>
            <w:pPr>
              <w:keepNext/>
              <w:spacing w:after="0"/>
              <w:jc w:val="right"/>
            </w:pPr>
            <w:r/>
            <w:r>
              <w:rPr>
                <w:rFonts w:ascii="Times New Roman" w:hAnsi="Times New Roman" w:cs="Times New Roman" w:eastAsia="Times New Roman"/>
                <w:b w:val="0"/>
                <w:sz w:val="17"/>
              </w:rPr>
              <w:t>12,911</w:t>
            </w:r>
          </w:p>
        </w:tc>
        <w:tc>
          <w:tcPr>
            <w:tcW w:type="dxa" w:w="979"/>
            <w:shd w:val="clear" w:color="auto" w:fill="EEF2F7"/>
          </w:tcPr>
          <w:p>
            <w:pPr>
              <w:keepNext/>
              <w:spacing w:after="0"/>
              <w:jc w:val="right"/>
            </w:pPr>
            <w:r/>
            <w:r>
              <w:rPr>
                <w:rFonts w:ascii="Times New Roman" w:hAnsi="Times New Roman" w:cs="Times New Roman" w:eastAsia="Times New Roman"/>
                <w:b w:val="0"/>
                <w:sz w:val="17"/>
              </w:rPr>
              <w:t>14,290</w:t>
            </w:r>
          </w:p>
        </w:tc>
        <w:tc>
          <w:tcPr>
            <w:tcW w:type="dxa" w:w="1008"/>
            <w:shd w:val="clear" w:color="auto" w:fill="EEF2F7"/>
          </w:tcPr>
          <w:p>
            <w:pPr>
              <w:keepNext/>
              <w:spacing w:after="0"/>
              <w:jc w:val="right"/>
            </w:pPr>
            <w:r/>
            <w:r>
              <w:rPr>
                <w:rFonts w:ascii="Times New Roman" w:hAnsi="Times New Roman" w:cs="Times New Roman" w:eastAsia="Times New Roman"/>
                <w:b w:val="0"/>
                <w:sz w:val="17"/>
              </w:rPr>
              <w:t>+11.0%</w:t>
            </w:r>
          </w:p>
        </w:tc>
        <w:tc>
          <w:tcPr>
            <w:tcW w:type="dxa" w:w="936"/>
            <w:shd w:val="clear" w:color="auto" w:fill="EEF2F7"/>
          </w:tcPr>
          <w:p>
            <w:pPr>
              <w:keepNext/>
              <w:spacing w:after="0"/>
              <w:jc w:val="right"/>
            </w:pPr>
            <w:r/>
            <w:r>
              <w:rPr>
                <w:rFonts w:ascii="Times New Roman" w:hAnsi="Times New Roman" w:cs="Times New Roman" w:eastAsia="Times New Roman"/>
                <w:b w:val="0"/>
                <w:sz w:val="17"/>
              </w:rPr>
              <w:t>+10.7%</w:t>
            </w:r>
          </w:p>
        </w:tc>
      </w:tr>
      <w:tr>
        <w:tc>
          <w:tcPr>
            <w:tcW w:type="dxa" w:w="2520"/>
          </w:tcPr>
          <w:p>
            <w:pPr>
              <w:keepNext/>
              <w:spacing w:after="0"/>
              <w:jc w:val="left"/>
            </w:pPr>
            <w:r/>
            <w:r>
              <w:rPr>
                <w:rFonts w:ascii="Times New Roman" w:hAnsi="Times New Roman" w:cs="Times New Roman" w:eastAsia="Times New Roman"/>
                <w:b/>
                <w:sz w:val="17"/>
              </w:rPr>
              <w:t>Google Services</w:t>
            </w:r>
          </w:p>
        </w:tc>
        <w:tc>
          <w:tcPr>
            <w:tcW w:type="dxa" w:w="979"/>
          </w:tcPr>
          <w:p>
            <w:pPr>
              <w:keepNext/>
              <w:spacing w:after="0"/>
              <w:jc w:val="right"/>
            </w:pPr>
            <w:r/>
            <w:r>
              <w:rPr>
                <w:rFonts w:ascii="Times New Roman" w:hAnsi="Times New Roman" w:cs="Times New Roman" w:eastAsia="Times New Roman"/>
                <w:b/>
                <w:sz w:val="17"/>
              </w:rPr>
              <w:t>87,052</w:t>
            </w:r>
          </w:p>
        </w:tc>
        <w:tc>
          <w:tcPr>
            <w:tcW w:type="dxa" w:w="979"/>
          </w:tcPr>
          <w:p>
            <w:pPr>
              <w:keepNext/>
              <w:spacing w:after="0"/>
              <w:jc w:val="right"/>
            </w:pPr>
            <w:r/>
            <w:r>
              <w:rPr>
                <w:rFonts w:ascii="Times New Roman" w:hAnsi="Times New Roman" w:cs="Times New Roman" w:eastAsia="Times New Roman"/>
                <w:b/>
                <w:sz w:val="17"/>
              </w:rPr>
              <w:t>95,862</w:t>
            </w:r>
          </w:p>
        </w:tc>
        <w:tc>
          <w:tcPr>
            <w:tcW w:type="dxa" w:w="979"/>
          </w:tcPr>
          <w:p>
            <w:pPr>
              <w:keepNext/>
              <w:spacing w:after="0"/>
              <w:jc w:val="right"/>
            </w:pPr>
            <w:r/>
            <w:r>
              <w:rPr>
                <w:rFonts w:ascii="Times New Roman" w:hAnsi="Times New Roman" w:cs="Times New Roman" w:eastAsia="Times New Roman"/>
                <w:b/>
                <w:sz w:val="17"/>
              </w:rPr>
              <w:t>89,637</w:t>
            </w:r>
          </w:p>
        </w:tc>
        <w:tc>
          <w:tcPr>
            <w:tcW w:type="dxa" w:w="979"/>
          </w:tcPr>
          <w:p>
            <w:pPr>
              <w:keepNext/>
              <w:spacing w:after="0"/>
              <w:jc w:val="right"/>
            </w:pPr>
            <w:r/>
            <w:r>
              <w:rPr>
                <w:rFonts w:ascii="Times New Roman" w:hAnsi="Times New Roman" w:cs="Times New Roman" w:eastAsia="Times New Roman"/>
                <w:b/>
                <w:sz w:val="17"/>
              </w:rPr>
              <w:t>94,540</w:t>
            </w:r>
          </w:p>
        </w:tc>
        <w:tc>
          <w:tcPr>
            <w:tcW w:type="dxa" w:w="979"/>
          </w:tcPr>
          <w:p>
            <w:pPr>
              <w:keepNext/>
              <w:spacing w:after="0"/>
              <w:jc w:val="right"/>
            </w:pPr>
            <w:r/>
            <w:r>
              <w:rPr>
                <w:rFonts w:ascii="Times New Roman" w:hAnsi="Times New Roman" w:cs="Times New Roman" w:eastAsia="Times New Roman"/>
                <w:b/>
                <w:sz w:val="17"/>
              </w:rPr>
              <w:t>96,302</w:t>
            </w:r>
          </w:p>
        </w:tc>
        <w:tc>
          <w:tcPr>
            <w:tcW w:type="dxa" w:w="1008"/>
          </w:tcPr>
          <w:p>
            <w:pPr>
              <w:keepNext/>
              <w:spacing w:after="0"/>
              <w:jc w:val="right"/>
            </w:pPr>
            <w:r/>
            <w:r>
              <w:rPr>
                <w:rFonts w:ascii="Times New Roman" w:hAnsi="Times New Roman" w:cs="Times New Roman" w:eastAsia="Times New Roman"/>
                <w:b/>
                <w:sz w:val="17"/>
              </w:rPr>
              <w:t>+10.6%</w:t>
            </w:r>
          </w:p>
        </w:tc>
        <w:tc>
          <w:tcPr>
            <w:tcW w:type="dxa" w:w="936"/>
          </w:tcPr>
          <w:p>
            <w:pPr>
              <w:keepNext/>
              <w:spacing w:after="0"/>
              <w:jc w:val="right"/>
            </w:pPr>
            <w:r/>
            <w:r>
              <w:rPr>
                <w:rFonts w:ascii="Times New Roman" w:hAnsi="Times New Roman" w:cs="Times New Roman" w:eastAsia="Times New Roman"/>
                <w:b/>
                <w:sz w:val="17"/>
              </w:rPr>
              <w:t>+1.9%</w:t>
            </w:r>
          </w:p>
        </w:tc>
      </w:tr>
      <w:tr>
        <w:tc>
          <w:tcPr>
            <w:tcW w:type="dxa" w:w="2520"/>
            <w:shd w:val="clear" w:color="auto" w:fill="EEF2F7"/>
          </w:tcPr>
          <w:p>
            <w:pPr>
              <w:keepNext/>
              <w:spacing w:after="0"/>
              <w:jc w:val="left"/>
            </w:pPr>
            <w:r/>
            <w:r>
              <w:rPr>
                <w:rFonts w:ascii="Times New Roman" w:hAnsi="Times New Roman" w:cs="Times New Roman" w:eastAsia="Times New Roman"/>
                <w:b/>
                <w:sz w:val="17"/>
              </w:rPr>
              <w:t>Google Cloud</w:t>
            </w:r>
          </w:p>
        </w:tc>
        <w:tc>
          <w:tcPr>
            <w:tcW w:type="dxa" w:w="979"/>
            <w:shd w:val="clear" w:color="auto" w:fill="EEF2F7"/>
          </w:tcPr>
          <w:p>
            <w:pPr>
              <w:keepNext/>
              <w:spacing w:after="0"/>
              <w:jc w:val="right"/>
            </w:pPr>
            <w:r/>
            <w:r>
              <w:rPr>
                <w:rFonts w:ascii="Times New Roman" w:hAnsi="Times New Roman" w:cs="Times New Roman" w:eastAsia="Times New Roman"/>
                <w:b/>
                <w:sz w:val="17"/>
              </w:rPr>
              <w:t>15,157</w:t>
            </w:r>
          </w:p>
        </w:tc>
        <w:tc>
          <w:tcPr>
            <w:tcW w:type="dxa" w:w="979"/>
            <w:shd w:val="clear" w:color="auto" w:fill="EEF2F7"/>
          </w:tcPr>
          <w:p>
            <w:pPr>
              <w:keepNext/>
              <w:spacing w:after="0"/>
              <w:jc w:val="right"/>
            </w:pPr>
            <w:r/>
            <w:r>
              <w:rPr>
                <w:rFonts w:ascii="Times New Roman" w:hAnsi="Times New Roman" w:cs="Times New Roman" w:eastAsia="Times New Roman"/>
                <w:b/>
                <w:sz w:val="17"/>
              </w:rPr>
              <w:t>17,664</w:t>
            </w:r>
          </w:p>
        </w:tc>
        <w:tc>
          <w:tcPr>
            <w:tcW w:type="dxa" w:w="979"/>
            <w:shd w:val="clear" w:color="auto" w:fill="EEF2F7"/>
          </w:tcPr>
          <w:p>
            <w:pPr>
              <w:keepNext/>
              <w:spacing w:after="0"/>
              <w:jc w:val="right"/>
            </w:pPr>
            <w:r/>
            <w:r>
              <w:rPr>
                <w:rFonts w:ascii="Times New Roman" w:hAnsi="Times New Roman" w:cs="Times New Roman" w:eastAsia="Times New Roman"/>
                <w:b/>
                <w:sz w:val="17"/>
              </w:rPr>
              <w:t>20,028</w:t>
            </w:r>
          </w:p>
        </w:tc>
        <w:tc>
          <w:tcPr>
            <w:tcW w:type="dxa" w:w="979"/>
            <w:shd w:val="clear" w:color="auto" w:fill="EEF2F7"/>
          </w:tcPr>
          <w:p>
            <w:pPr>
              <w:keepNext/>
              <w:spacing w:after="0"/>
              <w:jc w:val="right"/>
            </w:pPr>
            <w:r/>
            <w:r>
              <w:rPr>
                <w:rFonts w:ascii="Times New Roman" w:hAnsi="Times New Roman" w:cs="Times New Roman" w:eastAsia="Times New Roman"/>
                <w:b/>
                <w:sz w:val="17"/>
              </w:rPr>
              <w:t>24,768</w:t>
            </w:r>
          </w:p>
        </w:tc>
        <w:tc>
          <w:tcPr>
            <w:tcW w:type="dxa" w:w="979"/>
            <w:shd w:val="clear" w:color="auto" w:fill="EEF2F7"/>
          </w:tcPr>
          <w:p>
            <w:pPr>
              <w:keepNext/>
              <w:spacing w:after="0"/>
              <w:jc w:val="right"/>
            </w:pPr>
            <w:r/>
            <w:r>
              <w:rPr>
                <w:rFonts w:ascii="Times New Roman" w:hAnsi="Times New Roman" w:cs="Times New Roman" w:eastAsia="Times New Roman"/>
                <w:b/>
                <w:sz w:val="17"/>
              </w:rPr>
              <w:t>30,709</w:t>
            </w:r>
          </w:p>
        </w:tc>
        <w:tc>
          <w:tcPr>
            <w:tcW w:type="dxa" w:w="1008"/>
            <w:shd w:val="clear" w:color="auto" w:fill="EEF2F7"/>
          </w:tcPr>
          <w:p>
            <w:pPr>
              <w:keepNext/>
              <w:spacing w:after="0"/>
              <w:jc w:val="right"/>
            </w:pPr>
            <w:r/>
            <w:r>
              <w:rPr>
                <w:rFonts w:ascii="Times New Roman" w:hAnsi="Times New Roman" w:cs="Times New Roman" w:eastAsia="Times New Roman"/>
                <w:b/>
                <w:sz w:val="17"/>
              </w:rPr>
              <w:t>+102.6%</w:t>
            </w:r>
          </w:p>
        </w:tc>
        <w:tc>
          <w:tcPr>
            <w:tcW w:type="dxa" w:w="936"/>
            <w:shd w:val="clear" w:color="auto" w:fill="EEF2F7"/>
          </w:tcPr>
          <w:p>
            <w:pPr>
              <w:keepNext/>
              <w:spacing w:after="0"/>
              <w:jc w:val="right"/>
            </w:pPr>
            <w:r/>
            <w:r>
              <w:rPr>
                <w:rFonts w:ascii="Times New Roman" w:hAnsi="Times New Roman" w:cs="Times New Roman" w:eastAsia="Times New Roman"/>
                <w:b/>
                <w:sz w:val="17"/>
              </w:rPr>
              <w:t>+24.0%</w:t>
            </w:r>
          </w:p>
        </w:tc>
      </w:tr>
      <w:tr>
        <w:tc>
          <w:tcPr>
            <w:tcW w:type="dxa" w:w="2520"/>
          </w:tcPr>
          <w:p>
            <w:pPr>
              <w:keepNext/>
              <w:spacing w:after="0"/>
              <w:jc w:val="left"/>
            </w:pPr>
            <w:r/>
            <w:r>
              <w:rPr>
                <w:rFonts w:ascii="Times New Roman" w:hAnsi="Times New Roman" w:cs="Times New Roman" w:eastAsia="Times New Roman"/>
                <w:b/>
                <w:sz w:val="17"/>
              </w:rPr>
              <w:t>Total revenue</w:t>
            </w:r>
          </w:p>
        </w:tc>
        <w:tc>
          <w:tcPr>
            <w:tcW w:type="dxa" w:w="979"/>
          </w:tcPr>
          <w:p>
            <w:pPr>
              <w:keepNext/>
              <w:spacing w:after="0"/>
              <w:jc w:val="right"/>
            </w:pPr>
            <w:r/>
            <w:r>
              <w:rPr>
                <w:rFonts w:ascii="Times New Roman" w:hAnsi="Times New Roman" w:cs="Times New Roman" w:eastAsia="Times New Roman"/>
                <w:b/>
                <w:sz w:val="17"/>
              </w:rPr>
              <w:t>102,346</w:t>
            </w:r>
          </w:p>
        </w:tc>
        <w:tc>
          <w:tcPr>
            <w:tcW w:type="dxa" w:w="979"/>
          </w:tcPr>
          <w:p>
            <w:pPr>
              <w:keepNext/>
              <w:spacing w:after="0"/>
              <w:jc w:val="right"/>
            </w:pPr>
            <w:r/>
            <w:r>
              <w:rPr>
                <w:rFonts w:ascii="Times New Roman" w:hAnsi="Times New Roman" w:cs="Times New Roman" w:eastAsia="Times New Roman"/>
                <w:b/>
                <w:sz w:val="17"/>
              </w:rPr>
              <w:t>113,828</w:t>
            </w:r>
          </w:p>
        </w:tc>
        <w:tc>
          <w:tcPr>
            <w:tcW w:type="dxa" w:w="979"/>
          </w:tcPr>
          <w:p>
            <w:pPr>
              <w:keepNext/>
              <w:spacing w:after="0"/>
              <w:jc w:val="right"/>
            </w:pPr>
            <w:r/>
            <w:r>
              <w:rPr>
                <w:rFonts w:ascii="Times New Roman" w:hAnsi="Times New Roman" w:cs="Times New Roman" w:eastAsia="Times New Roman"/>
                <w:b/>
                <w:sz w:val="17"/>
              </w:rPr>
              <w:t>109,896</w:t>
            </w:r>
          </w:p>
        </w:tc>
        <w:tc>
          <w:tcPr>
            <w:tcW w:type="dxa" w:w="979"/>
          </w:tcPr>
          <w:p>
            <w:pPr>
              <w:keepNext/>
              <w:spacing w:after="0"/>
              <w:jc w:val="right"/>
            </w:pPr>
            <w:r/>
            <w:r>
              <w:rPr>
                <w:rFonts w:ascii="Times New Roman" w:hAnsi="Times New Roman" w:cs="Times New Roman" w:eastAsia="Times New Roman"/>
                <w:b/>
                <w:sz w:val="17"/>
              </w:rPr>
              <w:t>119,796</w:t>
            </w:r>
          </w:p>
        </w:tc>
        <w:tc>
          <w:tcPr>
            <w:tcW w:type="dxa" w:w="979"/>
          </w:tcPr>
          <w:p>
            <w:pPr>
              <w:keepNext/>
              <w:spacing w:after="0"/>
              <w:jc w:val="right"/>
            </w:pPr>
            <w:r/>
            <w:r>
              <w:rPr>
                <w:rFonts w:ascii="Times New Roman" w:hAnsi="Times New Roman" w:cs="Times New Roman" w:eastAsia="Times New Roman"/>
                <w:b/>
                <w:sz w:val="17"/>
              </w:rPr>
              <w:t>127,577</w:t>
            </w:r>
          </w:p>
        </w:tc>
        <w:tc>
          <w:tcPr>
            <w:tcW w:type="dxa" w:w="1008"/>
          </w:tcPr>
          <w:p>
            <w:pPr>
              <w:keepNext/>
              <w:spacing w:after="0"/>
              <w:jc w:val="right"/>
            </w:pPr>
            <w:r/>
            <w:r>
              <w:rPr>
                <w:rFonts w:ascii="Times New Roman" w:hAnsi="Times New Roman" w:cs="Times New Roman" w:eastAsia="Times New Roman"/>
                <w:b/>
                <w:sz w:val="17"/>
              </w:rPr>
              <w:t>+24.7%</w:t>
            </w:r>
          </w:p>
        </w:tc>
        <w:tc>
          <w:tcPr>
            <w:tcW w:type="dxa" w:w="936"/>
          </w:tcPr>
          <w:p>
            <w:pPr>
              <w:keepNext/>
              <w:spacing w:after="0"/>
              <w:jc w:val="right"/>
            </w:pPr>
            <w:r/>
            <w:r>
              <w:rPr>
                <w:rFonts w:ascii="Times New Roman" w:hAnsi="Times New Roman" w:cs="Times New Roman" w:eastAsia="Times New Roman"/>
                <w:b/>
                <w:sz w:val="17"/>
              </w:rPr>
              <w:t>+6.5%</w:t>
            </w:r>
          </w:p>
        </w:tc>
      </w:tr>
      <w:tr>
        <w:tc>
          <w:tcPr>
            <w:tcW w:type="dxa" w:w="2520"/>
            <w:shd w:val="clear" w:color="auto" w:fill="EEF2F7"/>
          </w:tcPr>
          <w:p>
            <w:pPr>
              <w:keepNext/>
              <w:spacing w:after="0"/>
              <w:jc w:val="left"/>
            </w:pPr>
            <w:r/>
            <w:r>
              <w:rPr>
                <w:rFonts w:ascii="Times New Roman" w:hAnsi="Times New Roman" w:cs="Times New Roman" w:eastAsia="Times New Roman"/>
                <w:b w:val="0"/>
                <w:sz w:val="17"/>
              </w:rPr>
              <w:t>Services op. income</w:t>
            </w:r>
          </w:p>
        </w:tc>
        <w:tc>
          <w:tcPr>
            <w:tcW w:type="dxa" w:w="979"/>
            <w:shd w:val="clear" w:color="auto" w:fill="EEF2F7"/>
          </w:tcPr>
          <w:p>
            <w:pPr>
              <w:keepNext/>
              <w:spacing w:after="0"/>
              <w:jc w:val="right"/>
            </w:pPr>
            <w:r/>
            <w:r>
              <w:rPr>
                <w:rFonts w:ascii="Times New Roman" w:hAnsi="Times New Roman" w:cs="Times New Roman" w:eastAsia="Times New Roman"/>
                <w:b w:val="0"/>
                <w:sz w:val="17"/>
              </w:rPr>
              <w:t>33,527</w:t>
            </w:r>
          </w:p>
        </w:tc>
        <w:tc>
          <w:tcPr>
            <w:tcW w:type="dxa" w:w="979"/>
            <w:shd w:val="clear" w:color="auto" w:fill="EEF2F7"/>
          </w:tcPr>
          <w:p>
            <w:pPr>
              <w:keepNext/>
              <w:spacing w:after="0"/>
              <w:jc w:val="right"/>
            </w:pPr>
            <w:r/>
            <w:r>
              <w:rPr>
                <w:rFonts w:ascii="Times New Roman" w:hAnsi="Times New Roman" w:cs="Times New Roman" w:eastAsia="Times New Roman"/>
                <w:b w:val="0"/>
                <w:sz w:val="17"/>
              </w:rPr>
              <w:t>40,132</w:t>
            </w:r>
          </w:p>
        </w:tc>
        <w:tc>
          <w:tcPr>
            <w:tcW w:type="dxa" w:w="979"/>
            <w:shd w:val="clear" w:color="auto" w:fill="EEF2F7"/>
          </w:tcPr>
          <w:p>
            <w:pPr>
              <w:keepNext/>
              <w:spacing w:after="0"/>
              <w:jc w:val="right"/>
            </w:pPr>
            <w:r/>
            <w:r>
              <w:rPr>
                <w:rFonts w:ascii="Times New Roman" w:hAnsi="Times New Roman" w:cs="Times New Roman" w:eastAsia="Times New Roman"/>
                <w:b w:val="0"/>
                <w:sz w:val="17"/>
              </w:rPr>
              <w:t>40,589</w:t>
            </w:r>
          </w:p>
        </w:tc>
        <w:tc>
          <w:tcPr>
            <w:tcW w:type="dxa" w:w="979"/>
            <w:shd w:val="clear" w:color="auto" w:fill="EEF2F7"/>
          </w:tcPr>
          <w:p>
            <w:pPr>
              <w:keepNext/>
              <w:spacing w:after="0"/>
              <w:jc w:val="right"/>
            </w:pPr>
            <w:r/>
            <w:r>
              <w:rPr>
                <w:rFonts w:ascii="Times New Roman" w:hAnsi="Times New Roman" w:cs="Times New Roman" w:eastAsia="Times New Roman"/>
                <w:b w:val="0"/>
                <w:sz w:val="17"/>
              </w:rPr>
              <w:t>39,544</w:t>
            </w:r>
          </w:p>
        </w:tc>
        <w:tc>
          <w:tcPr>
            <w:tcW w:type="dxa" w:w="979"/>
            <w:shd w:val="clear" w:color="auto" w:fill="EEF2F7"/>
          </w:tcPr>
          <w:p>
            <w:pPr>
              <w:keepNext/>
              <w:spacing w:after="0"/>
              <w:jc w:val="right"/>
            </w:pPr>
            <w:r/>
            <w:r>
              <w:rPr>
                <w:rFonts w:ascii="Times New Roman" w:hAnsi="Times New Roman" w:cs="Times New Roman" w:eastAsia="Times New Roman"/>
                <w:b w:val="0"/>
                <w:sz w:val="17"/>
              </w:rPr>
              <w:t>39,157</w:t>
            </w:r>
          </w:p>
        </w:tc>
        <w:tc>
          <w:tcPr>
            <w:tcW w:type="dxa" w:w="1008"/>
            <w:shd w:val="clear" w:color="auto" w:fill="EEF2F7"/>
          </w:tcPr>
          <w:p>
            <w:pPr>
              <w:keepNext/>
              <w:spacing w:after="0"/>
              <w:jc w:val="right"/>
            </w:pPr>
            <w:r/>
            <w:r>
              <w:rPr>
                <w:rFonts w:ascii="Times New Roman" w:hAnsi="Times New Roman" w:cs="Times New Roman" w:eastAsia="Times New Roman"/>
                <w:b w:val="0"/>
                <w:sz w:val="17"/>
              </w:rPr>
              <w:t>+16.8%</w:t>
            </w:r>
          </w:p>
        </w:tc>
        <w:tc>
          <w:tcPr>
            <w:tcW w:type="dxa" w:w="936"/>
            <w:shd w:val="clear" w:color="auto" w:fill="EEF2F7"/>
          </w:tcPr>
          <w:p>
            <w:pPr>
              <w:keepNext/>
              <w:spacing w:after="0"/>
              <w:jc w:val="right"/>
            </w:pPr>
            <w:r/>
            <w:r>
              <w:rPr>
                <w:rFonts w:ascii="Times New Roman" w:hAnsi="Times New Roman" w:cs="Times New Roman" w:eastAsia="Times New Roman"/>
                <w:b w:val="0"/>
                <w:sz w:val="17"/>
              </w:rPr>
              <w:t>-1.0%</w:t>
            </w:r>
          </w:p>
        </w:tc>
      </w:tr>
      <w:tr>
        <w:tc>
          <w:tcPr>
            <w:tcW w:type="dxa" w:w="2520"/>
          </w:tcPr>
          <w:p>
            <w:pPr>
              <w:keepNext/>
              <w:spacing w:after="0"/>
              <w:jc w:val="left"/>
            </w:pPr>
            <w:r/>
            <w:r>
              <w:rPr>
                <w:rFonts w:ascii="Times New Roman" w:hAnsi="Times New Roman" w:cs="Times New Roman" w:eastAsia="Times New Roman"/>
                <w:b w:val="0"/>
                <w:sz w:val="17"/>
              </w:rPr>
              <w:t>Cloud op. income</w:t>
            </w:r>
          </w:p>
        </w:tc>
        <w:tc>
          <w:tcPr>
            <w:tcW w:type="dxa" w:w="979"/>
          </w:tcPr>
          <w:p>
            <w:pPr>
              <w:keepNext/>
              <w:spacing w:after="0"/>
              <w:jc w:val="right"/>
            </w:pPr>
            <w:r/>
            <w:r>
              <w:rPr>
                <w:rFonts w:ascii="Times New Roman" w:hAnsi="Times New Roman" w:cs="Times New Roman" w:eastAsia="Times New Roman"/>
                <w:b w:val="0"/>
                <w:sz w:val="17"/>
              </w:rPr>
              <w:t>3,594</w:t>
            </w:r>
          </w:p>
        </w:tc>
        <w:tc>
          <w:tcPr>
            <w:tcW w:type="dxa" w:w="979"/>
          </w:tcPr>
          <w:p>
            <w:pPr>
              <w:keepNext/>
              <w:spacing w:after="0"/>
              <w:jc w:val="right"/>
            </w:pPr>
            <w:r/>
            <w:r>
              <w:rPr>
                <w:rFonts w:ascii="Times New Roman" w:hAnsi="Times New Roman" w:cs="Times New Roman" w:eastAsia="Times New Roman"/>
                <w:b w:val="0"/>
                <w:sz w:val="17"/>
              </w:rPr>
              <w:t>5,313</w:t>
            </w:r>
          </w:p>
        </w:tc>
        <w:tc>
          <w:tcPr>
            <w:tcW w:type="dxa" w:w="979"/>
          </w:tcPr>
          <w:p>
            <w:pPr>
              <w:keepNext/>
              <w:spacing w:after="0"/>
              <w:jc w:val="right"/>
            </w:pPr>
            <w:r/>
            <w:r>
              <w:rPr>
                <w:rFonts w:ascii="Times New Roman" w:hAnsi="Times New Roman" w:cs="Times New Roman" w:eastAsia="Times New Roman"/>
                <w:b w:val="0"/>
                <w:sz w:val="17"/>
              </w:rPr>
              <w:t>6,598</w:t>
            </w:r>
          </w:p>
        </w:tc>
        <w:tc>
          <w:tcPr>
            <w:tcW w:type="dxa" w:w="979"/>
          </w:tcPr>
          <w:p>
            <w:pPr>
              <w:keepNext/>
              <w:spacing w:after="0"/>
              <w:jc w:val="right"/>
            </w:pPr>
            <w:r/>
            <w:r>
              <w:rPr>
                <w:rFonts w:ascii="Times New Roman" w:hAnsi="Times New Roman" w:cs="Times New Roman" w:eastAsia="Times New Roman"/>
                <w:b w:val="0"/>
                <w:sz w:val="17"/>
              </w:rPr>
              <w:t>8,814</w:t>
            </w:r>
          </w:p>
        </w:tc>
        <w:tc>
          <w:tcPr>
            <w:tcW w:type="dxa" w:w="979"/>
          </w:tcPr>
          <w:p>
            <w:pPr>
              <w:keepNext/>
              <w:spacing w:after="0"/>
              <w:jc w:val="right"/>
            </w:pPr>
            <w:r/>
            <w:r>
              <w:rPr>
                <w:rFonts w:ascii="Times New Roman" w:hAnsi="Times New Roman" w:cs="Times New Roman" w:eastAsia="Times New Roman"/>
                <w:b w:val="0"/>
                <w:sz w:val="17"/>
              </w:rPr>
              <w:t>11,121</w:t>
            </w:r>
          </w:p>
        </w:tc>
        <w:tc>
          <w:tcPr>
            <w:tcW w:type="dxa" w:w="1008"/>
          </w:tcPr>
          <w:p>
            <w:pPr>
              <w:keepNext/>
              <w:spacing w:after="0"/>
              <w:jc w:val="right"/>
            </w:pPr>
            <w:r/>
            <w:r>
              <w:rPr>
                <w:rFonts w:ascii="Times New Roman" w:hAnsi="Times New Roman" w:cs="Times New Roman" w:eastAsia="Times New Roman"/>
                <w:b w:val="0"/>
                <w:sz w:val="17"/>
              </w:rPr>
              <w:t>+209.4%</w:t>
            </w:r>
          </w:p>
        </w:tc>
        <w:tc>
          <w:tcPr>
            <w:tcW w:type="dxa" w:w="936"/>
          </w:tcPr>
          <w:p>
            <w:pPr>
              <w:keepNext/>
              <w:spacing w:after="0"/>
              <w:jc w:val="right"/>
            </w:pPr>
            <w:r/>
            <w:r>
              <w:rPr>
                <w:rFonts w:ascii="Times New Roman" w:hAnsi="Times New Roman" w:cs="Times New Roman" w:eastAsia="Times New Roman"/>
                <w:b w:val="0"/>
                <w:sz w:val="17"/>
              </w:rPr>
              <w:t>+26.2%</w:t>
            </w:r>
          </w:p>
        </w:tc>
      </w:tr>
      <w:tr>
        <w:tc>
          <w:tcPr>
            <w:tcW w:type="dxa" w:w="2520"/>
            <w:shd w:val="clear" w:color="auto" w:fill="EEF2F7"/>
          </w:tcPr>
          <w:p>
            <w:pPr>
              <w:spacing w:after="0"/>
              <w:jc w:val="left"/>
            </w:pPr>
            <w:r/>
            <w:r>
              <w:rPr>
                <w:rFonts w:ascii="Times New Roman" w:hAnsi="Times New Roman" w:cs="Times New Roman" w:eastAsia="Times New Roman"/>
                <w:b/>
                <w:sz w:val="17"/>
              </w:rPr>
              <w:t>Total op. income</w:t>
            </w:r>
          </w:p>
        </w:tc>
        <w:tc>
          <w:tcPr>
            <w:tcW w:type="dxa" w:w="979"/>
            <w:shd w:val="clear" w:color="auto" w:fill="EEF2F7"/>
          </w:tcPr>
          <w:p>
            <w:pPr>
              <w:spacing w:after="0"/>
              <w:jc w:val="right"/>
            </w:pPr>
            <w:r/>
            <w:r>
              <w:rPr>
                <w:rFonts w:ascii="Times New Roman" w:hAnsi="Times New Roman" w:cs="Times New Roman" w:eastAsia="Times New Roman"/>
                <w:b/>
                <w:sz w:val="17"/>
              </w:rPr>
              <w:t>31,228</w:t>
            </w:r>
          </w:p>
        </w:tc>
        <w:tc>
          <w:tcPr>
            <w:tcW w:type="dxa" w:w="979"/>
            <w:shd w:val="clear" w:color="auto" w:fill="EEF2F7"/>
          </w:tcPr>
          <w:p>
            <w:pPr>
              <w:spacing w:after="0"/>
              <w:jc w:val="right"/>
            </w:pPr>
            <w:r/>
            <w:r>
              <w:rPr>
                <w:rFonts w:ascii="Times New Roman" w:hAnsi="Times New Roman" w:cs="Times New Roman" w:eastAsia="Times New Roman"/>
                <w:b/>
                <w:sz w:val="17"/>
              </w:rPr>
              <w:t>35,934</w:t>
            </w:r>
          </w:p>
        </w:tc>
        <w:tc>
          <w:tcPr>
            <w:tcW w:type="dxa" w:w="979"/>
            <w:shd w:val="clear" w:color="auto" w:fill="EEF2F7"/>
          </w:tcPr>
          <w:p>
            <w:pPr>
              <w:spacing w:after="0"/>
              <w:jc w:val="right"/>
            </w:pPr>
            <w:r/>
            <w:r>
              <w:rPr>
                <w:rFonts w:ascii="Times New Roman" w:hAnsi="Times New Roman" w:cs="Times New Roman" w:eastAsia="Times New Roman"/>
                <w:b/>
                <w:sz w:val="17"/>
              </w:rPr>
              <w:t>39,696</w:t>
            </w:r>
          </w:p>
        </w:tc>
        <w:tc>
          <w:tcPr>
            <w:tcW w:type="dxa" w:w="979"/>
            <w:shd w:val="clear" w:color="auto" w:fill="EEF2F7"/>
          </w:tcPr>
          <w:p>
            <w:pPr>
              <w:spacing w:after="0"/>
              <w:jc w:val="right"/>
            </w:pPr>
            <w:r/>
            <w:r>
              <w:rPr>
                <w:rFonts w:ascii="Times New Roman" w:hAnsi="Times New Roman" w:cs="Times New Roman" w:eastAsia="Times New Roman"/>
                <w:b/>
                <w:sz w:val="17"/>
              </w:rPr>
              <w:t>40,770</w:t>
            </w:r>
          </w:p>
        </w:tc>
        <w:tc>
          <w:tcPr>
            <w:tcW w:type="dxa" w:w="979"/>
            <w:shd w:val="clear" w:color="auto" w:fill="EEF2F7"/>
          </w:tcPr>
          <w:p>
            <w:pPr>
              <w:spacing w:after="0"/>
              <w:jc w:val="right"/>
            </w:pPr>
            <w:r/>
            <w:r>
              <w:rPr>
                <w:rFonts w:ascii="Times New Roman" w:hAnsi="Times New Roman" w:cs="Times New Roman" w:eastAsia="Times New Roman"/>
                <w:b/>
                <w:sz w:val="17"/>
              </w:rPr>
              <w:t>40,576</w:t>
            </w:r>
          </w:p>
        </w:tc>
        <w:tc>
          <w:tcPr>
            <w:tcW w:type="dxa" w:w="1008"/>
            <w:shd w:val="clear" w:color="auto" w:fill="EEF2F7"/>
          </w:tcPr>
          <w:p>
            <w:pPr>
              <w:spacing w:after="0"/>
              <w:jc w:val="right"/>
            </w:pPr>
            <w:r/>
            <w:r>
              <w:rPr>
                <w:rFonts w:ascii="Times New Roman" w:hAnsi="Times New Roman" w:cs="Times New Roman" w:eastAsia="Times New Roman"/>
                <w:b/>
                <w:sz w:val="17"/>
              </w:rPr>
              <w:t>+29.9%</w:t>
            </w:r>
          </w:p>
        </w:tc>
        <w:tc>
          <w:tcPr>
            <w:tcW w:type="dxa" w:w="936"/>
            <w:shd w:val="clear" w:color="auto" w:fill="EEF2F7"/>
          </w:tcPr>
          <w:p>
            <w:pPr>
              <w:spacing w:after="0"/>
              <w:jc w:val="right"/>
            </w:pPr>
            <w:r/>
            <w:r>
              <w:rPr>
                <w:rFonts w:ascii="Times New Roman" w:hAnsi="Times New Roman" w:cs="Times New Roman" w:eastAsia="Times New Roman"/>
                <w:b/>
                <w:sz w:val="17"/>
              </w:rPr>
              <w:t>-0.5%</w:t>
            </w:r>
          </w:p>
        </w:tc>
      </w:tr>
    </w:tbl>
    <w:p>
      <w:pPr>
        <w:spacing w:after="140" w:before="0" w:line="240" w:lineRule="auto"/>
      </w:pPr>
      <w:r>
        <w:rPr>
          <w:rFonts w:ascii="Times New Roman" w:hAnsi="Times New Roman" w:cs="Times New Roman" w:eastAsia="Times New Roman"/>
          <w:i/>
          <w:sz w:val="17"/>
        </w:rPr>
        <w:t xml:space="preserve">Source: </w:t>
      </w:r>
      <w:hyperlink r:id="rId10">
        <w:r>
          <w:rPr>
            <w:rFonts w:ascii="Times New Roman" w:hAnsi="Times New Roman" w:cs="Times New Roman" w:eastAsia="Times New Roman"/>
            <w:i/>
            <w:color w:val="0563C1"/>
            <w:u w:val="single"/>
            <w:sz w:val="17"/>
          </w:rPr>
          <w:t xml:space="preserve">Alphabet Q3'26</w:t>
        </w:r>
      </w:hyperlink>
      <w:r>
        <w:rPr>
          <w:rFonts w:ascii="Times New Roman" w:hAnsi="Times New Roman" w:cs="Times New Roman" w:eastAsia="Times New Roman"/>
          <w:i/>
          <w:sz w:val="17"/>
        </w:rPr>
        <w:t xml:space="preserve">, </w:t>
      </w:r>
      <w:hyperlink r:id="rId16">
        <w:r>
          <w:rPr>
            <w:rFonts w:ascii="Times New Roman" w:hAnsi="Times New Roman" w:cs="Times New Roman" w:eastAsia="Times New Roman"/>
            <w:i/>
            <w:color w:val="0563C1"/>
            <w:u w:val="single"/>
            <w:sz w:val="17"/>
          </w:rPr>
          <w:t xml:space="preserve">Q2'26</w:t>
        </w:r>
      </w:hyperlink>
      <w:r>
        <w:rPr>
          <w:rFonts w:ascii="Times New Roman" w:hAnsi="Times New Roman" w:cs="Times New Roman" w:eastAsia="Times New Roman"/>
          <w:i/>
          <w:sz w:val="17"/>
        </w:rPr>
        <w:t xml:space="preserve">, </w:t>
      </w:r>
      <w:hyperlink r:id="rId15">
        <w:r>
          <w:rPr>
            <w:rFonts w:ascii="Times New Roman" w:hAnsi="Times New Roman" w:cs="Times New Roman" w:eastAsia="Times New Roman"/>
            <w:i/>
            <w:color w:val="0563C1"/>
            <w:u w:val="single"/>
            <w:sz w:val="17"/>
          </w:rPr>
          <w:t xml:space="preserve">Q1'26</w:t>
        </w:r>
      </w:hyperlink>
      <w:r>
        <w:rPr>
          <w:rFonts w:ascii="Times New Roman" w:hAnsi="Times New Roman" w:cs="Times New Roman" w:eastAsia="Times New Roman"/>
          <w:i/>
          <w:sz w:val="17"/>
        </w:rPr>
        <w:t xml:space="preserve"> and </w:t>
      </w:r>
      <w:hyperlink r:id="rId14">
        <w:r>
          <w:rPr>
            <w:rFonts w:ascii="Times New Roman" w:hAnsi="Times New Roman" w:cs="Times New Roman" w:eastAsia="Times New Roman"/>
            <w:i/>
            <w:color w:val="0563C1"/>
            <w:u w:val="single"/>
            <w:sz w:val="17"/>
          </w:rPr>
          <w:t xml:space="preserve">Q4'25</w:t>
        </w:r>
      </w:hyperlink>
      <w:r>
        <w:rPr>
          <w:rFonts w:ascii="Times New Roman" w:hAnsi="Times New Roman" w:cs="Times New Roman" w:eastAsia="Times New Roman"/>
          <w:i/>
          <w:sz w:val="17"/>
        </w:rPr>
        <w:t xml:space="preserve"> earnings releases (8-K Ex. 99.1). Q4'25 operating income includes a $2.1B Waymo compensation charge.</w:t>
      </w:r>
    </w:p>
    <w:p>
      <w:pPr>
        <w:keepNext/>
        <w:spacing w:after="20" w:before="80" w:line="240" w:lineRule="auto"/>
      </w:pPr>
      <w:r>
        <w:rPr>
          <w:rFonts w:ascii="Times New Roman" w:hAnsi="Times New Roman" w:cs="Times New Roman" w:eastAsia="Times New Roman"/>
          <w:b/>
          <w:sz w:val="19"/>
        </w:rPr>
        <w:t>Figure 2 - Google Services revenue growth YoY by line, Q4'25-Q3'26</w:t>
      </w:r>
      <w:r>
        <w:br/>
        <w:drawing>
          <wp:inline xmlns:a="http://schemas.openxmlformats.org/drawingml/2006/main" xmlns:pic="http://schemas.openxmlformats.org/drawingml/2006/picture">
            <wp:extent cx="5760720" cy="2485661"/>
            <wp:docPr id="2" name="Picture 2"/>
            <wp:cNvGraphicFramePr>
              <a:graphicFrameLocks noChangeAspect="1"/>
            </wp:cNvGraphicFramePr>
            <a:graphic>
              <a:graphicData uri="http://schemas.openxmlformats.org/drawingml/2006/picture">
                <pic:pic>
                  <pic:nvPicPr>
                    <pic:cNvPr id="0" name="fig09_services_yoy_growth.png"/>
                    <pic:cNvPicPr/>
                  </pic:nvPicPr>
                  <pic:blipFill>
                    <a:blip r:embed="rId17"/>
                    <a:stretch>
                      <a:fillRect/>
                    </a:stretch>
                  </pic:blipFill>
                  <pic:spPr>
                    <a:xfrm>
                      <a:off x="0" y="0"/>
                      <a:ext cx="5760720" cy="2485661"/>
                    </a:xfrm>
                    <a:prstGeom prst="rect"/>
                  </pic:spPr>
                </pic:pic>
              </a:graphicData>
            </a:graphic>
          </wp:inline>
        </w:drawing>
      </w:r>
    </w:p>
    <w:p>
      <w:pPr>
        <w:spacing w:after="140" w:before="0" w:line="240" w:lineRule="auto"/>
      </w:pPr>
      <w:r>
        <w:rPr>
          <w:rFonts w:ascii="Times New Roman" w:hAnsi="Times New Roman" w:cs="Times New Roman" w:eastAsia="Times New Roman"/>
          <w:i/>
          <w:sz w:val="17"/>
        </w:rPr>
        <w:t xml:space="preserve">Source: </w:t>
      </w:r>
      <w:hyperlink r:id="rId10">
        <w:r>
          <w:rPr>
            <w:rFonts w:ascii="Times New Roman" w:hAnsi="Times New Roman" w:cs="Times New Roman" w:eastAsia="Times New Roman"/>
            <w:i/>
            <w:color w:val="0563C1"/>
            <w:u w:val="single"/>
            <w:sz w:val="17"/>
          </w:rPr>
          <w:t xml:space="preserve">Alphabet 8-K Ex. 99.1 releases</w:t>
        </w:r>
      </w:hyperlink>
      <w:r>
        <w:rPr>
          <w:rFonts w:ascii="Times New Roman" w:hAnsi="Times New Roman" w:cs="Times New Roman" w:eastAsia="Times New Roman"/>
          <w:i/>
          <w:sz w:val="17"/>
        </w:rPr>
        <w:t xml:space="preserve"> (Q4'24-Q3'26); our calculations.</w:t>
      </w:r>
    </w:p>
    <w:p>
      <w:pPr>
        <w:keepNext/>
        <w:spacing w:after="60" w:before="100" w:line="240" w:lineRule="auto"/>
      </w:pPr>
      <w:r>
        <w:rPr>
          <w:rFonts w:ascii="Times New Roman" w:hAnsi="Times New Roman" w:cs="Times New Roman" w:eastAsia="Times New Roman"/>
          <w:b/>
          <w:i w:val="0"/>
          <w:color w:val="1F3A5F"/>
          <w:sz w:val="22"/>
        </w:rPr>
        <w:t>Profitability: margin up 130bps despite a 49% jump in depreciation</w:t>
      </w:r>
    </w:p>
    <w:p>
      <w:pPr>
        <w:spacing w:after="100" w:before="0" w:line="240" w:lineRule="auto"/>
        <w:jc w:val="both"/>
      </w:pPr>
      <w:r>
        <w:rPr>
          <w:rFonts w:ascii="Times New Roman" w:hAnsi="Times New Roman" w:cs="Times New Roman" w:eastAsia="Times New Roman"/>
          <w:sz w:val="21"/>
        </w:rPr>
        <w:t>Operating income rose 29.9% to $40,576M, and the margin widened 130bps to 31.8%. That came despite depreciation of $8,369M (+49% YoY), R&amp;D up 36% to $20,640M, and headcount up 7.7% to 204,757. G&amp;A fell 17% to $6,138M because Q3'25 carried the European Commission fine. Google Services margin was 40.7% (Q3'25: 38.5%), down from 41.8% in Q2, partly reflecting rising depreciation. Cloud margin rose to 36.2% from 35.6% in Q2 and 23.7% a year ago. Other Bets lost $2,047M (vs. $1,426M), and Alphabet-level activities, which include some AI model development costs, cost $7,655M (vs. $4,467M). Ashkenazi flagged near-term Cloud margin "headwinds" as third-party compute capacity, which came online at the end of Q3, ramps in Q4. We model Cloud margin at 32% in Q4 and 31% in 2027.</w:t>
      </w:r>
    </w:p>
    <w:p>
      <w:pPr>
        <w:keepNext/>
        <w:spacing w:after="20" w:before="80" w:line="240" w:lineRule="auto"/>
      </w:pPr>
      <w:r>
        <w:rPr>
          <w:rFonts w:ascii="Times New Roman" w:hAnsi="Times New Roman" w:cs="Times New Roman" w:eastAsia="Times New Roman"/>
          <w:b/>
          <w:sz w:val="19"/>
        </w:rPr>
        <w:t>Figure 3 - Operating margin by segment, Q4'24-Q3'26</w:t>
      </w:r>
      <w:r>
        <w:br/>
        <w:drawing>
          <wp:inline xmlns:a="http://schemas.openxmlformats.org/drawingml/2006/main" xmlns:pic="http://schemas.openxmlformats.org/drawingml/2006/picture">
            <wp:extent cx="5760720" cy="2431088"/>
            <wp:docPr id="3" name="Picture 3"/>
            <wp:cNvGraphicFramePr>
              <a:graphicFrameLocks noChangeAspect="1"/>
            </wp:cNvGraphicFramePr>
            <a:graphic>
              <a:graphicData uri="http://schemas.openxmlformats.org/drawingml/2006/picture">
                <pic:pic>
                  <pic:nvPicPr>
                    <pic:cNvPr id="0" name="fig04_operating_margins.png"/>
                    <pic:cNvPicPr/>
                  </pic:nvPicPr>
                  <pic:blipFill>
                    <a:blip r:embed="rId18"/>
                    <a:stretch>
                      <a:fillRect/>
                    </a:stretch>
                  </pic:blipFill>
                  <pic:spPr>
                    <a:xfrm>
                      <a:off x="0" y="0"/>
                      <a:ext cx="5760720" cy="2431088"/>
                    </a:xfrm>
                    <a:prstGeom prst="rect"/>
                  </pic:spPr>
                </pic:pic>
              </a:graphicData>
            </a:graphic>
          </wp:inline>
        </w:drawing>
      </w:r>
    </w:p>
    <w:p>
      <w:pPr>
        <w:spacing w:after="140" w:before="0" w:line="240" w:lineRule="auto"/>
      </w:pPr>
      <w:r>
        <w:rPr>
          <w:rFonts w:ascii="Times New Roman" w:hAnsi="Times New Roman" w:cs="Times New Roman" w:eastAsia="Times New Roman"/>
          <w:i/>
          <w:sz w:val="17"/>
        </w:rPr>
        <w:t xml:space="preserve">Source: </w:t>
      </w:r>
      <w:hyperlink r:id="rId10">
        <w:r>
          <w:rPr>
            <w:rFonts w:ascii="Times New Roman" w:hAnsi="Times New Roman" w:cs="Times New Roman" w:eastAsia="Times New Roman"/>
            <w:i/>
            <w:color w:val="0563C1"/>
            <w:u w:val="single"/>
            <w:sz w:val="17"/>
          </w:rPr>
          <w:t xml:space="preserve">Alphabet 8-K Ex. 99.1 releases</w:t>
        </w:r>
      </w:hyperlink>
      <w:r>
        <w:rPr>
          <w:rFonts w:ascii="Times New Roman" w:hAnsi="Times New Roman" w:cs="Times New Roman" w:eastAsia="Times New Roman"/>
          <w:i/>
          <w:sz w:val="17"/>
        </w:rPr>
        <w:t>; our calculations.</w:t>
      </w:r>
    </w:p>
    <w:p>
      <w:pPr>
        <w:keepNext/>
        <w:spacing w:after="60" w:before="100" w:line="240" w:lineRule="auto"/>
      </w:pPr>
      <w:r>
        <w:rPr>
          <w:rFonts w:ascii="Times New Roman" w:hAnsi="Times New Roman" w:cs="Times New Roman" w:eastAsia="Times New Roman"/>
          <w:b/>
          <w:i w:val="0"/>
          <w:color w:val="1F3A5F"/>
          <w:sz w:val="22"/>
        </w:rPr>
        <w:t>Below the line: the SpaceX mark and rising financing costs</w:t>
      </w:r>
    </w:p>
    <w:p>
      <w:pPr>
        <w:spacing w:after="100" w:before="0" w:line="240" w:lineRule="auto"/>
        <w:jc w:val="both"/>
      </w:pPr>
      <w:r>
        <w:rPr>
          <w:rFonts w:ascii="Times New Roman" w:hAnsi="Times New Roman" w:cs="Times New Roman" w:eastAsia="Times New Roman"/>
          <w:sz w:val="21"/>
        </w:rPr>
        <w:t>Other income (expense) was -$8,221M vs. +$12,759M in Q3'25. Components: a $8,664M loss on equity securities (Q3'25: +$10,734M gain), a $383M loss on debt securities, interest income of $1,768M and interest expense of $967M. Management attributed the loss "primarily" to the unrealized decline in the SpaceX investment. Marks have flattered GAAP EPS all year: equity gains were $36.9B in Q1 and $99.0B in Q2, lifting Q2 EPS to $9.11. Alphabet now holds $90.4B of marketable equity securities, so these swings will continue. The tax rate was 18.2%. Net income available to common shareholders fell 25% to $26,170M after the first $298M of preferred dividends. On our ex-marks measure, EPS rose 23% YoY to $2.67, in line with Q4'25-Q2'26 ($2.67-$2.75). The underlying business is steady, but it did not grow EPS sequentially because depreciation and financing costs absorbed the gains from Cloud.</w:t>
      </w:r>
    </w:p>
    <w:p>
      <w:pPr>
        <w:keepNext/>
        <w:spacing w:after="20" w:before="80" w:line="240" w:lineRule="auto"/>
      </w:pPr>
      <w:r>
        <w:rPr>
          <w:rFonts w:ascii="Times New Roman" w:hAnsi="Times New Roman" w:cs="Times New Roman" w:eastAsia="Times New Roman"/>
          <w:b/>
          <w:sz w:val="19"/>
        </w:rPr>
        <w:t>Figure 4 - Diluted EPS: GAAP vs. ex-equity securities marks, Q4'24-Q3'26</w:t>
      </w:r>
      <w:r>
        <w:br/>
        <w:drawing>
          <wp:inline xmlns:a="http://schemas.openxmlformats.org/drawingml/2006/main" xmlns:pic="http://schemas.openxmlformats.org/drawingml/2006/picture">
            <wp:extent cx="5760720" cy="2431088"/>
            <wp:docPr id="4" name="Picture 4"/>
            <wp:cNvGraphicFramePr>
              <a:graphicFrameLocks noChangeAspect="1"/>
            </wp:cNvGraphicFramePr>
            <a:graphic>
              <a:graphicData uri="http://schemas.openxmlformats.org/drawingml/2006/picture">
                <pic:pic>
                  <pic:nvPicPr>
                    <pic:cNvPr id="0" name="fig05_eps_gaap_vs_ex_marks.png"/>
                    <pic:cNvPicPr/>
                  </pic:nvPicPr>
                  <pic:blipFill>
                    <a:blip r:embed="rId19"/>
                    <a:stretch>
                      <a:fillRect/>
                    </a:stretch>
                  </pic:blipFill>
                  <pic:spPr>
                    <a:xfrm>
                      <a:off x="0" y="0"/>
                      <a:ext cx="5760720" cy="2431088"/>
                    </a:xfrm>
                    <a:prstGeom prst="rect"/>
                  </pic:spPr>
                </pic:pic>
              </a:graphicData>
            </a:graphic>
          </wp:inline>
        </w:drawing>
      </w:r>
    </w:p>
    <w:p>
      <w:pPr>
        <w:spacing w:after="140" w:before="0" w:line="240" w:lineRule="auto"/>
      </w:pPr>
      <w:r>
        <w:rPr>
          <w:rFonts w:ascii="Times New Roman" w:hAnsi="Times New Roman" w:cs="Times New Roman" w:eastAsia="Times New Roman"/>
          <w:i/>
          <w:sz w:val="17"/>
        </w:rPr>
        <w:t xml:space="preserve">Source: </w:t>
      </w:r>
      <w:hyperlink r:id="rId10">
        <w:r>
          <w:rPr>
            <w:rFonts w:ascii="Times New Roman" w:hAnsi="Times New Roman" w:cs="Times New Roman" w:eastAsia="Times New Roman"/>
            <w:i/>
            <w:color w:val="0563C1"/>
            <w:u w:val="single"/>
            <w:sz w:val="17"/>
          </w:rPr>
          <w:t xml:space="preserve">Alphabet 8-K Ex. 99.1 releases</w:t>
        </w:r>
      </w:hyperlink>
      <w:r>
        <w:rPr>
          <w:rFonts w:ascii="Times New Roman" w:hAnsi="Times New Roman" w:cs="Times New Roman" w:eastAsia="Times New Roman"/>
          <w:i/>
          <w:sz w:val="17"/>
        </w:rPr>
        <w:t xml:space="preserve">; ex-marks EPS is our calculation (21% tax on marks); consensus from </w:t>
      </w:r>
      <w:hyperlink r:id="rId11">
        <w:r>
          <w:rPr>
            <w:rFonts w:ascii="Times New Roman" w:hAnsi="Times New Roman" w:cs="Times New Roman" w:eastAsia="Times New Roman"/>
            <w:i/>
            <w:color w:val="0563C1"/>
            <w:u w:val="single"/>
            <w:sz w:val="17"/>
          </w:rPr>
          <w:t xml:space="preserve">MarketBeat</w:t>
        </w:r>
      </w:hyperlink>
      <w:r>
        <w:rPr>
          <w:rFonts w:ascii="Times New Roman" w:hAnsi="Times New Roman" w:cs="Times New Roman" w:eastAsia="Times New Roman"/>
          <w:i/>
          <w:sz w:val="17"/>
        </w:rPr>
        <w:t>.</w:t>
      </w:r>
    </w:p>
    <w:p>
      <w:pPr>
        <w:keepNext/>
        <w:spacing w:after="20" w:before="80" w:line="240" w:lineRule="auto"/>
      </w:pPr>
      <w:r>
        <w:rPr>
          <w:rFonts w:ascii="Times New Roman" w:hAnsi="Times New Roman" w:cs="Times New Roman" w:eastAsia="Times New Roman"/>
          <w:b/>
          <w:sz w:val="19"/>
        </w:rPr>
        <w:t>Figure 5 - Q3 EPS bridge, Q3'25 to Q3'26 ($ per diluted share, after tax)</w:t>
      </w:r>
      <w:r>
        <w:br/>
        <w:drawing>
          <wp:inline xmlns:a="http://schemas.openxmlformats.org/drawingml/2006/main" xmlns:pic="http://schemas.openxmlformats.org/drawingml/2006/picture">
            <wp:extent cx="5760720" cy="2567922"/>
            <wp:docPr id="5" name="Picture 5"/>
            <wp:cNvGraphicFramePr>
              <a:graphicFrameLocks noChangeAspect="1"/>
            </wp:cNvGraphicFramePr>
            <a:graphic>
              <a:graphicData uri="http://schemas.openxmlformats.org/drawingml/2006/picture">
                <pic:pic>
                  <pic:nvPicPr>
                    <pic:cNvPr id="0" name="fig06_eps_bridge.png"/>
                    <pic:cNvPicPr/>
                  </pic:nvPicPr>
                  <pic:blipFill>
                    <a:blip r:embed="rId20"/>
                    <a:stretch>
                      <a:fillRect/>
                    </a:stretch>
                  </pic:blipFill>
                  <pic:spPr>
                    <a:xfrm>
                      <a:off x="0" y="0"/>
                      <a:ext cx="5760720" cy="2567922"/>
                    </a:xfrm>
                    <a:prstGeom prst="rect"/>
                  </pic:spPr>
                </pic:pic>
              </a:graphicData>
            </a:graphic>
          </wp:inline>
        </w:drawing>
      </w:r>
    </w:p>
    <w:p>
      <w:pPr>
        <w:spacing w:after="140" w:before="0" w:line="240" w:lineRule="auto"/>
      </w:pPr>
      <w:r>
        <w:rPr>
          <w:rFonts w:ascii="Times New Roman" w:hAnsi="Times New Roman" w:cs="Times New Roman" w:eastAsia="Times New Roman"/>
          <w:i/>
          <w:sz w:val="17"/>
        </w:rPr>
        <w:t xml:space="preserve">Source: </w:t>
      </w:r>
      <w:hyperlink r:id="rId10">
        <w:r>
          <w:rPr>
            <w:rFonts w:ascii="Times New Roman" w:hAnsi="Times New Roman" w:cs="Times New Roman" w:eastAsia="Times New Roman"/>
            <w:i/>
            <w:color w:val="0563C1"/>
            <w:u w:val="single"/>
            <w:sz w:val="17"/>
          </w:rPr>
          <w:t xml:space="preserve">Q3'26 earnings release</w:t>
        </w:r>
      </w:hyperlink>
      <w:r>
        <w:rPr>
          <w:rFonts w:ascii="Times New Roman" w:hAnsi="Times New Roman" w:cs="Times New Roman" w:eastAsia="Times New Roman"/>
          <w:i/>
          <w:sz w:val="17"/>
        </w:rPr>
        <w:t>; our analysis at an assumed 21% tax rate on pre-tax items.</w:t>
      </w:r>
    </w:p>
    <w:p>
      <w:pPr>
        <w:keepNext/>
        <w:spacing w:after="80" w:before="160" w:line="240" w:lineRule="auto"/>
        <w:pBdr>
          <w:bottom w:val="single" w:sz="6" w:space="1" w:color="1F3A5F"/>
        </w:pBdr>
      </w:pPr>
      <w:r>
        <w:rPr>
          <w:rFonts w:ascii="Times New Roman" w:hAnsi="Times New Roman" w:cs="Times New Roman" w:eastAsia="Times New Roman"/>
          <w:b/>
          <w:i w:val="0"/>
          <w:color w:val="1F3A5F"/>
          <w:sz w:val="26"/>
        </w:rPr>
        <w:t>Key Metrics &amp; Guidance</w:t>
      </w:r>
    </w:p>
    <w:p>
      <w:pPr>
        <w:keepNext/>
        <w:spacing w:after="60" w:before="100" w:line="240" w:lineRule="auto"/>
      </w:pPr>
      <w:r>
        <w:rPr>
          <w:rFonts w:ascii="Times New Roman" w:hAnsi="Times New Roman" w:cs="Times New Roman" w:eastAsia="Times New Roman"/>
          <w:b/>
          <w:i w:val="0"/>
          <w:color w:val="1F3A5F"/>
          <w:sz w:val="22"/>
        </w:rPr>
        <w:t>Cloud: backlog of $561B, TPU system sales, and 36% margins</w:t>
      </w:r>
    </w:p>
    <w:p>
      <w:pPr>
        <w:spacing w:after="100" w:before="0" w:line="240" w:lineRule="auto"/>
        <w:jc w:val="both"/>
      </w:pPr>
      <w:r>
        <w:rPr>
          <w:rFonts w:ascii="Times New Roman" w:hAnsi="Times New Roman" w:cs="Times New Roman" w:eastAsia="Times New Roman"/>
          <w:sz w:val="21"/>
        </w:rPr>
        <w:t>Google Cloud revenue of $30,709M grew 102.6% YoY and 24.0% QoQ, the fastest growth in our data series. Ashkenazi said "Google Cloud's backlog was $561 billion in the third quarter," up 9% QoQ from $514B and 3.6x the ~$155B of Q3'25. Just over 55% is expected to convert to revenue within 24 months. That is roughly $309B, or about $154B a year, before new bookings. TPU system sales (customers buying Google's TPU systems rather than renting capacity) were a "meaningful" contributor. Management expects them "to continue to scale in Q4, followed by a meaningful revenue ramp in 2027." Other disclosures: more than 2,600 customers each used over 100 billion tokens in the past 12 months, nearly 90% of the Fortune 100 use Gemini Enterprise, and 18 Cloud product lines each generate more than $1B of annual revenue. On the call, analysts (Mark Shmulik, Ross Sandler, Justin Post) asked how much of the growth is TPU hardware, which likely carries lower margin and less recurring revenue. Management did not quantify it. Without that split, we treat part of the 2027 Cloud growth as lower-quality hardware revenue.</w:t>
      </w:r>
    </w:p>
    <w:p>
      <w:pPr>
        <w:keepNext/>
        <w:spacing w:after="20" w:before="80" w:line="240" w:lineRule="auto"/>
      </w:pPr>
      <w:r>
        <w:rPr>
          <w:rFonts w:ascii="Times New Roman" w:hAnsi="Times New Roman" w:cs="Times New Roman" w:eastAsia="Times New Roman"/>
          <w:b/>
          <w:sz w:val="19"/>
        </w:rPr>
        <w:t>Figure 6 - Google Cloud revenue ($B) and operating margin (%), Q4'24-Q3'26</w:t>
      </w:r>
      <w:r>
        <w:br/>
        <w:drawing>
          <wp:inline xmlns:a="http://schemas.openxmlformats.org/drawingml/2006/main" xmlns:pic="http://schemas.openxmlformats.org/drawingml/2006/picture">
            <wp:extent cx="5760720" cy="2431088"/>
            <wp:docPr id="6" name="Picture 6"/>
            <wp:cNvGraphicFramePr>
              <a:graphicFrameLocks noChangeAspect="1"/>
            </wp:cNvGraphicFramePr>
            <a:graphic>
              <a:graphicData uri="http://schemas.openxmlformats.org/drawingml/2006/picture">
                <pic:pic>
                  <pic:nvPicPr>
                    <pic:cNvPr id="0" name="fig02_cloud_revenue_margin.png"/>
                    <pic:cNvPicPr/>
                  </pic:nvPicPr>
                  <pic:blipFill>
                    <a:blip r:embed="rId21"/>
                    <a:stretch>
                      <a:fillRect/>
                    </a:stretch>
                  </pic:blipFill>
                  <pic:spPr>
                    <a:xfrm>
                      <a:off x="0" y="0"/>
                      <a:ext cx="5760720" cy="2431088"/>
                    </a:xfrm>
                    <a:prstGeom prst="rect"/>
                  </pic:spPr>
                </pic:pic>
              </a:graphicData>
            </a:graphic>
          </wp:inline>
        </w:drawing>
      </w:r>
    </w:p>
    <w:p>
      <w:pPr>
        <w:spacing w:after="140" w:before="0" w:line="240" w:lineRule="auto"/>
      </w:pPr>
      <w:r>
        <w:rPr>
          <w:rFonts w:ascii="Times New Roman" w:hAnsi="Times New Roman" w:cs="Times New Roman" w:eastAsia="Times New Roman"/>
          <w:i/>
          <w:sz w:val="17"/>
        </w:rPr>
        <w:t xml:space="preserve">Source: </w:t>
      </w:r>
      <w:hyperlink r:id="rId10">
        <w:r>
          <w:rPr>
            <w:rFonts w:ascii="Times New Roman" w:hAnsi="Times New Roman" w:cs="Times New Roman" w:eastAsia="Times New Roman"/>
            <w:i/>
            <w:color w:val="0563C1"/>
            <w:u w:val="single"/>
            <w:sz w:val="17"/>
          </w:rPr>
          <w:t xml:space="preserve">Alphabet 8-K Ex. 99.1 releases</w:t>
        </w:r>
      </w:hyperlink>
      <w:r>
        <w:rPr>
          <w:rFonts w:ascii="Times New Roman" w:hAnsi="Times New Roman" w:cs="Times New Roman" w:eastAsia="Times New Roman"/>
          <w:i/>
          <w:sz w:val="17"/>
        </w:rPr>
        <w:t>; our calculations.</w:t>
      </w:r>
    </w:p>
    <w:p>
      <w:pPr>
        <w:keepNext/>
        <w:spacing w:after="20" w:before="80" w:line="240" w:lineRule="auto"/>
      </w:pPr>
      <w:r>
        <w:rPr>
          <w:rFonts w:ascii="Times New Roman" w:hAnsi="Times New Roman" w:cs="Times New Roman" w:eastAsia="Times New Roman"/>
          <w:b/>
          <w:sz w:val="19"/>
        </w:rPr>
        <w:t>Figure 7 - Google Cloud backlog ($B), Q3'25-Q3'26</w:t>
      </w:r>
      <w:r>
        <w:br/>
        <w:drawing>
          <wp:inline xmlns:a="http://schemas.openxmlformats.org/drawingml/2006/main" xmlns:pic="http://schemas.openxmlformats.org/drawingml/2006/picture">
            <wp:extent cx="5760720" cy="2111808"/>
            <wp:docPr id="7" name="Picture 7"/>
            <wp:cNvGraphicFramePr>
              <a:graphicFrameLocks noChangeAspect="1"/>
            </wp:cNvGraphicFramePr>
            <a:graphic>
              <a:graphicData uri="http://schemas.openxmlformats.org/drawingml/2006/picture">
                <pic:pic>
                  <pic:nvPicPr>
                    <pic:cNvPr id="0" name="fig03_cloud_backlog.png"/>
                    <pic:cNvPicPr/>
                  </pic:nvPicPr>
                  <pic:blipFill>
                    <a:blip r:embed="rId22"/>
                    <a:stretch>
                      <a:fillRect/>
                    </a:stretch>
                  </pic:blipFill>
                  <pic:spPr>
                    <a:xfrm>
                      <a:off x="0" y="0"/>
                      <a:ext cx="5760720" cy="2111808"/>
                    </a:xfrm>
                    <a:prstGeom prst="rect"/>
                  </pic:spPr>
                </pic:pic>
              </a:graphicData>
            </a:graphic>
          </wp:inline>
        </w:drawing>
      </w:r>
    </w:p>
    <w:p>
      <w:pPr>
        <w:spacing w:after="140" w:before="0" w:line="240" w:lineRule="auto"/>
      </w:pPr>
      <w:r>
        <w:rPr>
          <w:rFonts w:ascii="Times New Roman" w:hAnsi="Times New Roman" w:cs="Times New Roman" w:eastAsia="Times New Roman"/>
          <w:i/>
          <w:sz w:val="17"/>
        </w:rPr>
        <w:t xml:space="preserve">Source: </w:t>
      </w:r>
      <w:hyperlink r:id="rId23">
        <w:r>
          <w:rPr>
            <w:rFonts w:ascii="Times New Roman" w:hAnsi="Times New Roman" w:cs="Times New Roman" w:eastAsia="Times New Roman"/>
            <w:i/>
            <w:color w:val="0563C1"/>
            <w:u w:val="single"/>
            <w:sz w:val="17"/>
          </w:rPr>
          <w:t xml:space="preserve">Q3'26 earnings call (Oct 28, 2026)</w:t>
        </w:r>
      </w:hyperlink>
      <w:r>
        <w:rPr>
          <w:rFonts w:ascii="Times New Roman" w:hAnsi="Times New Roman" w:cs="Times New Roman" w:eastAsia="Times New Roman"/>
          <w:i/>
          <w:sz w:val="17"/>
        </w:rPr>
        <w:t xml:space="preserve"> for $561B; Q4'25 and Q3'25 per </w:t>
      </w:r>
      <w:hyperlink r:id="rId24">
        <w:r>
          <w:rPr>
            <w:rFonts w:ascii="Times New Roman" w:hAnsi="Times New Roman" w:cs="Times New Roman" w:eastAsia="Times New Roman"/>
            <w:i/>
            <w:color w:val="0563C1"/>
            <w:u w:val="single"/>
            <w:sz w:val="17"/>
          </w:rPr>
          <w:t xml:space="preserve">MarketBeat (Feb 2026)</w:t>
        </w:r>
      </w:hyperlink>
      <w:r>
        <w:rPr>
          <w:rFonts w:ascii="Times New Roman" w:hAnsi="Times New Roman" w:cs="Times New Roman" w:eastAsia="Times New Roman"/>
          <w:i/>
          <w:sz w:val="17"/>
        </w:rPr>
        <w:t xml:space="preserve">; Q1'26 per </w:t>
      </w:r>
      <w:hyperlink r:id="rId25">
        <w:r>
          <w:rPr>
            <w:rFonts w:ascii="Times New Roman" w:hAnsi="Times New Roman" w:cs="Times New Roman" w:eastAsia="Times New Roman"/>
            <w:i/>
            <w:color w:val="0563C1"/>
            <w:u w:val="single"/>
            <w:sz w:val="17"/>
          </w:rPr>
          <w:t xml:space="preserve">S&amp;P Global (May 2026)</w:t>
        </w:r>
      </w:hyperlink>
      <w:r>
        <w:rPr>
          <w:rFonts w:ascii="Times New Roman" w:hAnsi="Times New Roman" w:cs="Times New Roman" w:eastAsia="Times New Roman"/>
          <w:i/>
          <w:sz w:val="17"/>
        </w:rPr>
        <w:t xml:space="preserve">; Q2'26 per </w:t>
      </w:r>
      <w:hyperlink r:id="rId26">
        <w:r>
          <w:rPr>
            <w:rFonts w:ascii="Times New Roman" w:hAnsi="Times New Roman" w:cs="Times New Roman" w:eastAsia="Times New Roman"/>
            <w:i/>
            <w:color w:val="0563C1"/>
            <w:u w:val="single"/>
            <w:sz w:val="17"/>
          </w:rPr>
          <w:t xml:space="preserve">Fierce Network (Jul 2026)</w:t>
        </w:r>
      </w:hyperlink>
      <w:r>
        <w:rPr>
          <w:rFonts w:ascii="Times New Roman" w:hAnsi="Times New Roman" w:cs="Times New Roman" w:eastAsia="Times New Roman"/>
          <w:i/>
          <w:sz w:val="17"/>
        </w:rPr>
        <w:t>. Prior-quarter figures come from secondary coverage of earlier calls.</w:t>
      </w:r>
    </w:p>
    <w:p>
      <w:pPr>
        <w:keepNext/>
        <w:spacing w:after="60" w:before="100" w:line="240" w:lineRule="auto"/>
      </w:pPr>
      <w:r>
        <w:rPr>
          <w:rFonts w:ascii="Times New Roman" w:hAnsi="Times New Roman" w:cs="Times New Roman" w:eastAsia="Times New Roman"/>
          <w:b/>
          <w:i w:val="0"/>
          <w:color w:val="1F3A5F"/>
          <w:sz w:val="22"/>
        </w:rPr>
        <w:t>AI usage, Search and YouTube</w:t>
      </w:r>
    </w:p>
    <w:p>
      <w:pPr>
        <w:spacing w:after="100" w:before="0" w:line="240" w:lineRule="auto"/>
        <w:jc w:val="both"/>
      </w:pPr>
      <w:r>
        <w:rPr>
          <w:rFonts w:ascii="Times New Roman" w:hAnsi="Times New Roman" w:cs="Times New Roman" w:eastAsia="Times New Roman"/>
          <w:sz w:val="21"/>
        </w:rPr>
        <w:t>CEO Sundar Pichai said Alphabet is "now at $0.5 trillion annual run rate" for revenue. The release describes it as "a half-trillion dollar revenue run rate." First-party model APIs process "nearly 32 billion tokens per minute," up 40% QoQ and more than 4x YoY. The Gemini app has 1 billion users, and Gemini 4 models (Argon and Carbon) were announced. In YouTube, Chief Business Officer Philipp Schindler said living-room viewing is now over one-third of YouTube ad revenue. Management cited about 150M YouTube Music and Premium subscriptions (Pichai's figure included trials; Schindler's described Premium alone, so we do not treat these as a clean metric). On the call, Doug Anmuth (JPMorgan) asked about the gap between strong Search query growth and slowing Search revenue. We think it is the most important question for Services into 2027. Faster query growth and slower revenue growth suggest AI Mode is monetizing below traditional search for now, though FX and comps explain part of the gap. Paid-click and CPC data were not disclosed.</w:t>
      </w:r>
    </w:p>
    <w:p>
      <w:pPr>
        <w:keepNext/>
        <w:spacing w:after="60" w:before="100" w:line="240" w:lineRule="auto"/>
      </w:pPr>
      <w:r>
        <w:rPr>
          <w:rFonts w:ascii="Times New Roman" w:hAnsi="Times New Roman" w:cs="Times New Roman" w:eastAsia="Times New Roman"/>
          <w:b/>
          <w:i w:val="0"/>
          <w:color w:val="1F3A5F"/>
          <w:sz w:val="22"/>
        </w:rPr>
        <w:t>Guidance: 2026 capex held at $195-205B; 2027 to rise significantly</w:t>
      </w:r>
    </w:p>
    <w:p>
      <w:pPr>
        <w:spacing w:after="100" w:before="0" w:line="240" w:lineRule="auto"/>
        <w:jc w:val="both"/>
      </w:pPr>
      <w:r>
        <w:rPr>
          <w:rFonts w:ascii="Times New Roman" w:hAnsi="Times New Roman" w:cs="Times New Roman" w:eastAsia="Times New Roman"/>
          <w:sz w:val="21"/>
        </w:rPr>
        <w:t>Alphabet gives no revenue or EPS guidance. Capex guidance is the main forward marker. It started at $175-185B in February, rose to $180-190B in April and to $195-205B in July, and was held in October. About 65% of Q3 technical infrastructure spend went to servers and networking (generally six-year useful lives), with 35% to data centers. Management repeated that 2027 capex will "increase significantly" and will detail it on the Q4 call. Future purchase commitments reached $924B, although management noted that many have variable pricing and volume flexibility. Our take: holding 2026 was expected. The bigger issue is that 2027 spending is open-ended while TTM FCF has fallen to $19.7B. We now model 2027 capex at $270B (+35%), up from $250B. That is above our prior view but, in our judgment, consistent with "significantly."</w:t>
      </w:r>
    </w:p>
    <w:p>
      <w:pPr>
        <w:keepNext/>
        <w:spacing w:after="20" w:before="80" w:line="240" w:lineRule="auto"/>
      </w:pPr>
      <w:r>
        <w:rPr>
          <w:rFonts w:ascii="Times New Roman" w:hAnsi="Times New Roman" w:cs="Times New Roman" w:eastAsia="Times New Roman"/>
          <w:b/>
          <w:sz w:val="19"/>
        </w:rPr>
        <w:t>Figure 8 - Evolution of 2026 capex guidance ($B)</w:t>
      </w:r>
      <w:r>
        <w:br/>
        <w:drawing>
          <wp:inline xmlns:a="http://schemas.openxmlformats.org/drawingml/2006/main" xmlns:pic="http://schemas.openxmlformats.org/drawingml/2006/picture">
            <wp:extent cx="5760720" cy="2203031"/>
            <wp:docPr id="8" name="Picture 8"/>
            <wp:cNvGraphicFramePr>
              <a:graphicFrameLocks noChangeAspect="1"/>
            </wp:cNvGraphicFramePr>
            <a:graphic>
              <a:graphicData uri="http://schemas.openxmlformats.org/drawingml/2006/picture">
                <pic:pic>
                  <pic:nvPicPr>
                    <pic:cNvPr id="0" name="fig08_capex_guidance.png"/>
                    <pic:cNvPicPr/>
                  </pic:nvPicPr>
                  <pic:blipFill>
                    <a:blip r:embed="rId27"/>
                    <a:stretch>
                      <a:fillRect/>
                    </a:stretch>
                  </pic:blipFill>
                  <pic:spPr>
                    <a:xfrm>
                      <a:off x="0" y="0"/>
                      <a:ext cx="5760720" cy="2203031"/>
                    </a:xfrm>
                    <a:prstGeom prst="rect"/>
                  </pic:spPr>
                </pic:pic>
              </a:graphicData>
            </a:graphic>
          </wp:inline>
        </w:drawing>
      </w:r>
    </w:p>
    <w:p>
      <w:pPr>
        <w:spacing w:after="140" w:before="0" w:line="240" w:lineRule="auto"/>
      </w:pPr>
      <w:r>
        <w:rPr>
          <w:rFonts w:ascii="Times New Roman" w:hAnsi="Times New Roman" w:cs="Times New Roman" w:eastAsia="Times New Roman"/>
          <w:i/>
          <w:sz w:val="17"/>
        </w:rPr>
        <w:t xml:space="preserve">Source: </w:t>
      </w:r>
      <w:hyperlink r:id="rId14">
        <w:r>
          <w:rPr>
            <w:rFonts w:ascii="Times New Roman" w:hAnsi="Times New Roman" w:cs="Times New Roman" w:eastAsia="Times New Roman"/>
            <w:i/>
            <w:color w:val="0563C1"/>
            <w:u w:val="single"/>
            <w:sz w:val="17"/>
          </w:rPr>
          <w:t xml:space="preserve">Q4'25 release (Feb 4, 2026)</w:t>
        </w:r>
      </w:hyperlink>
      <w:r>
        <w:rPr>
          <w:rFonts w:ascii="Times New Roman" w:hAnsi="Times New Roman" w:cs="Times New Roman" w:eastAsia="Times New Roman"/>
          <w:i/>
          <w:sz w:val="17"/>
        </w:rPr>
        <w:t xml:space="preserve">; April raise per </w:t>
      </w:r>
      <w:hyperlink r:id="rId25">
        <w:r>
          <w:rPr>
            <w:rFonts w:ascii="Times New Roman" w:hAnsi="Times New Roman" w:cs="Times New Roman" w:eastAsia="Times New Roman"/>
            <w:i/>
            <w:color w:val="0563C1"/>
            <w:u w:val="single"/>
            <w:sz w:val="17"/>
          </w:rPr>
          <w:t xml:space="preserve">S&amp;P Global</w:t>
        </w:r>
      </w:hyperlink>
      <w:r>
        <w:rPr>
          <w:rFonts w:ascii="Times New Roman" w:hAnsi="Times New Roman" w:cs="Times New Roman" w:eastAsia="Times New Roman"/>
          <w:i/>
          <w:sz w:val="17"/>
        </w:rPr>
        <w:t xml:space="preserve">; July raise per </w:t>
      </w:r>
      <w:hyperlink r:id="rId26">
        <w:r>
          <w:rPr>
            <w:rFonts w:ascii="Times New Roman" w:hAnsi="Times New Roman" w:cs="Times New Roman" w:eastAsia="Times New Roman"/>
            <w:i/>
            <w:color w:val="0563C1"/>
            <w:u w:val="single"/>
            <w:sz w:val="17"/>
          </w:rPr>
          <w:t xml:space="preserve">Fierce Network</w:t>
        </w:r>
      </w:hyperlink>
      <w:r>
        <w:rPr>
          <w:rFonts w:ascii="Times New Roman" w:hAnsi="Times New Roman" w:cs="Times New Roman" w:eastAsia="Times New Roman"/>
          <w:i/>
          <w:sz w:val="17"/>
        </w:rPr>
        <w:t xml:space="preserve">; October per </w:t>
      </w:r>
      <w:hyperlink r:id="rId23">
        <w:r>
          <w:rPr>
            <w:rFonts w:ascii="Times New Roman" w:hAnsi="Times New Roman" w:cs="Times New Roman" w:eastAsia="Times New Roman"/>
            <w:i/>
            <w:color w:val="0563C1"/>
            <w:u w:val="single"/>
            <w:sz w:val="17"/>
          </w:rPr>
          <w:t xml:space="preserve">Q3'26 call transcript</w:t>
        </w:r>
      </w:hyperlink>
      <w:r>
        <w:rPr>
          <w:rFonts w:ascii="Times New Roman" w:hAnsi="Times New Roman" w:cs="Times New Roman" w:eastAsia="Times New Roman"/>
          <w:i/>
          <w:sz w:val="17"/>
        </w:rPr>
        <w:t>.</w:t>
      </w:r>
    </w:p>
    <w:p>
      <w:pPr>
        <w:keepNext/>
        <w:spacing w:after="20" w:before="80" w:line="240" w:lineRule="auto"/>
      </w:pPr>
      <w:r>
        <w:rPr>
          <w:rFonts w:ascii="Times New Roman" w:hAnsi="Times New Roman" w:cs="Times New Roman" w:eastAsia="Times New Roman"/>
          <w:b/>
          <w:sz w:val="19"/>
        </w:rPr>
        <w:t>Figure 9 - Operating cash flow, capex and free cash flow ($B), Q4'24-Q3'26</w:t>
      </w:r>
      <w:r>
        <w:br/>
        <w:drawing>
          <wp:inline xmlns:a="http://schemas.openxmlformats.org/drawingml/2006/main" xmlns:pic="http://schemas.openxmlformats.org/drawingml/2006/picture">
            <wp:extent cx="5760720" cy="2431088"/>
            <wp:docPr id="9" name="Picture 9"/>
            <wp:cNvGraphicFramePr>
              <a:graphicFrameLocks noChangeAspect="1"/>
            </wp:cNvGraphicFramePr>
            <a:graphic>
              <a:graphicData uri="http://schemas.openxmlformats.org/drawingml/2006/picture">
                <pic:pic>
                  <pic:nvPicPr>
                    <pic:cNvPr id="0" name="fig07_ocf_capex_fcf.png"/>
                    <pic:cNvPicPr/>
                  </pic:nvPicPr>
                  <pic:blipFill>
                    <a:blip r:embed="rId28"/>
                    <a:stretch>
                      <a:fillRect/>
                    </a:stretch>
                  </pic:blipFill>
                  <pic:spPr>
                    <a:xfrm>
                      <a:off x="0" y="0"/>
                      <a:ext cx="5760720" cy="2431088"/>
                    </a:xfrm>
                    <a:prstGeom prst="rect"/>
                  </pic:spPr>
                </pic:pic>
              </a:graphicData>
            </a:graphic>
          </wp:inline>
        </w:drawing>
      </w:r>
    </w:p>
    <w:p>
      <w:pPr>
        <w:spacing w:after="140" w:before="0" w:line="240" w:lineRule="auto"/>
      </w:pPr>
      <w:r>
        <w:rPr>
          <w:rFonts w:ascii="Times New Roman" w:hAnsi="Times New Roman" w:cs="Times New Roman" w:eastAsia="Times New Roman"/>
          <w:i/>
          <w:sz w:val="17"/>
        </w:rPr>
        <w:t xml:space="preserve">Source: </w:t>
      </w:r>
      <w:hyperlink r:id="rId10">
        <w:r>
          <w:rPr>
            <w:rFonts w:ascii="Times New Roman" w:hAnsi="Times New Roman" w:cs="Times New Roman" w:eastAsia="Times New Roman"/>
            <w:i/>
            <w:color w:val="0563C1"/>
            <w:u w:val="single"/>
            <w:sz w:val="17"/>
          </w:rPr>
          <w:t xml:space="preserve">Alphabet 8-K Ex. 99.1 releases</w:t>
        </w:r>
      </w:hyperlink>
      <w:r>
        <w:rPr>
          <w:rFonts w:ascii="Times New Roman" w:hAnsi="Times New Roman" w:cs="Times New Roman" w:eastAsia="Times New Roman"/>
          <w:i/>
          <w:sz w:val="17"/>
        </w:rPr>
        <w:t>; FCF = OCF less purchases of property and equipment (derived where not reported).</w:t>
      </w:r>
    </w:p>
    <w:p>
      <w:pPr>
        <w:keepNext/>
        <w:spacing w:after="80" w:before="160" w:line="240" w:lineRule="auto"/>
        <w:pBdr>
          <w:bottom w:val="single" w:sz="6" w:space="1" w:color="1F3A5F"/>
        </w:pBdr>
      </w:pPr>
      <w:r>
        <w:rPr>
          <w:rFonts w:ascii="Times New Roman" w:hAnsi="Times New Roman" w:cs="Times New Roman" w:eastAsia="Times New Roman"/>
          <w:b/>
          <w:i w:val="0"/>
          <w:color w:val="1F3A5F"/>
          <w:sz w:val="26"/>
        </w:rPr>
        <w:t>Updated Investment Thesis</w:t>
      </w:r>
    </w:p>
    <w:p>
      <w:pPr>
        <w:spacing w:after="100" w:before="0" w:line="240" w:lineRule="auto"/>
        <w:jc w:val="both"/>
      </w:pPr>
      <w:r>
        <w:rPr>
          <w:rFonts w:ascii="Times New Roman" w:hAnsi="Times New Roman" w:cs="Times New Roman" w:eastAsia="Times New Roman"/>
          <w:color w:val="1F3A5F"/>
          <w:sz w:val="21"/>
        </w:rPr>
        <w:t xml:space="preserve">■ </w:t>
      </w:r>
      <w:r>
        <w:rPr>
          <w:rFonts w:ascii="Times New Roman" w:hAnsi="Times New Roman" w:cs="Times New Roman" w:eastAsia="Times New Roman"/>
          <w:b/>
          <w:sz w:val="21"/>
        </w:rPr>
        <w:t xml:space="preserve">Pillar 1 - Google Cloud becomes a second profit engine. Status: STRENGTHENED. </w:t>
      </w:r>
      <w:r>
        <w:rPr>
          <w:rFonts w:ascii="Times New Roman" w:hAnsi="Times New Roman" w:cs="Times New Roman" w:eastAsia="Times New Roman"/>
          <w:sz w:val="21"/>
        </w:rPr>
        <w:t>We expected Cloud to be the main source of operating income growth from 2026. Q3 confirmed it. Cloud operating income tripled to $11.1B and supplied 80% of the YoY increase in total operating income ($7.5B of $9.3B). Backlog of $561B covers more than four years of current Cloud revenue. The one caveat is quality of mix. TPU system sales are lumpier and probably lower margin than GCP services, and management expects third-party compute to pressure margins near term. We raise FY27E Cloud revenue 6% to $191.6B but cut the margin assumption to 31% from 33%.</w:t>
      </w:r>
    </w:p>
    <w:p>
      <w:pPr>
        <w:spacing w:after="100" w:before="0" w:line="240" w:lineRule="auto"/>
        <w:jc w:val="both"/>
      </w:pPr>
      <w:r>
        <w:rPr>
          <w:rFonts w:ascii="Times New Roman" w:hAnsi="Times New Roman" w:cs="Times New Roman" w:eastAsia="Times New Roman"/>
          <w:color w:val="1F3A5F"/>
          <w:sz w:val="21"/>
        </w:rPr>
        <w:t xml:space="preserve">■ </w:t>
      </w:r>
      <w:r>
        <w:rPr>
          <w:rFonts w:ascii="Times New Roman" w:hAnsi="Times New Roman" w:cs="Times New Roman" w:eastAsia="Times New Roman"/>
          <w:b/>
          <w:sz w:val="21"/>
        </w:rPr>
        <w:t xml:space="preserve">Pillar 2 - Search holds up through the AI transition. Status: UNCHANGED (watch closely). </w:t>
      </w:r>
      <w:r>
        <w:rPr>
          <w:rFonts w:ascii="Times New Roman" w:hAnsi="Times New Roman" w:cs="Times New Roman" w:eastAsia="Times New Roman"/>
          <w:sz w:val="21"/>
        </w:rPr>
        <w:t>Search &amp; other grew 12%, the slowest of the last four quarters. The bear case says AI answers erode monetization, and Q3 neither proves nor disproves it. In support: query growth was the best in five years, AI Mode queries are 3x longer, and management attributes most of the slowdown to FX and comps. Against: revenue growth fell five points QoQ, the Q4 comp is harder, and no click/CPC data were given. We cut FY27E Services revenue 2% and will look for Search growth to stabilize around 10% in 1H'27.</w:t>
      </w:r>
    </w:p>
    <w:p>
      <w:pPr>
        <w:spacing w:after="100" w:before="0" w:line="240" w:lineRule="auto"/>
        <w:jc w:val="both"/>
      </w:pPr>
      <w:r>
        <w:rPr>
          <w:rFonts w:ascii="Times New Roman" w:hAnsi="Times New Roman" w:cs="Times New Roman" w:eastAsia="Times New Roman"/>
          <w:color w:val="1F3A5F"/>
          <w:sz w:val="21"/>
        </w:rPr>
        <w:t xml:space="preserve">■ </w:t>
      </w:r>
      <w:r>
        <w:rPr>
          <w:rFonts w:ascii="Times New Roman" w:hAnsi="Times New Roman" w:cs="Times New Roman" w:eastAsia="Times New Roman"/>
          <w:b/>
          <w:sz w:val="21"/>
        </w:rPr>
        <w:t xml:space="preserve">Pillar 3 - Full-stack AI (TPUs + Gemini) is a cost and product moat. Status: STRENGTHENED. </w:t>
      </w:r>
      <w:r>
        <w:rPr>
          <w:rFonts w:ascii="Times New Roman" w:hAnsi="Times New Roman" w:cs="Times New Roman" w:eastAsia="Times New Roman"/>
          <w:sz w:val="21"/>
        </w:rPr>
        <w:t>Token volumes up 4x YoY, 1B Gemini app users and external TPU sales show the vertical stack is working both as a product and as a business. Selling TPU systems to third parties, including competitors (a topic Michael Nathanson raised on the call), adds a merchant-silicon revenue stream few peers have.</w:t>
      </w:r>
    </w:p>
    <w:p>
      <w:pPr>
        <w:spacing w:after="100" w:before="0" w:line="240" w:lineRule="auto"/>
        <w:jc w:val="both"/>
      </w:pPr>
      <w:r>
        <w:rPr>
          <w:rFonts w:ascii="Times New Roman" w:hAnsi="Times New Roman" w:cs="Times New Roman" w:eastAsia="Times New Roman"/>
          <w:color w:val="1F3A5F"/>
          <w:sz w:val="21"/>
        </w:rPr>
        <w:t xml:space="preserve">■ </w:t>
      </w:r>
      <w:r>
        <w:rPr>
          <w:rFonts w:ascii="Times New Roman" w:hAnsi="Times New Roman" w:cs="Times New Roman" w:eastAsia="Times New Roman"/>
          <w:b/>
          <w:sz w:val="21"/>
        </w:rPr>
        <w:t xml:space="preserve">Pillar 4 - Capital returns are funded from free cash flow. Status: WEAKENED. </w:t>
      </w:r>
      <w:r>
        <w:rPr>
          <w:rFonts w:ascii="Times New Roman" w:hAnsi="Times New Roman" w:cs="Times New Roman" w:eastAsia="Times New Roman"/>
          <w:sz w:val="21"/>
        </w:rPr>
        <w:t>This is the pillar Q3 damaged. FCF was negative for a second quarter (-$5.9B in Q2, -$9.1B in Q3). Buybacks stopped in 2026 (vs. $39.8B in 9M'25). Alphabet raised $31.1B of notes in Q1, $30.5B of common equity and $19.1B of mandatory convertible preferred in Q2, and $12.4B through the ATM in Q3, with $27.6B left on the program. Long-term debt is $125.1B (vs. $46.5B at year-end). Net cash is still about $140B, so the balance sheet is not stretched, but holders are being diluted to fund capex. Our BUY now rests on the return on that capex, not on capital returns.</w:t>
      </w:r>
    </w:p>
    <w:p>
      <w:pPr>
        <w:keepNext/>
        <w:spacing w:after="60" w:before="100" w:line="240" w:lineRule="auto"/>
      </w:pPr>
      <w:r>
        <w:rPr>
          <w:rFonts w:ascii="Times New Roman" w:hAnsi="Times New Roman" w:cs="Times New Roman" w:eastAsia="Times New Roman"/>
          <w:b/>
          <w:i w:val="0"/>
          <w:color w:val="1F3A5F"/>
          <w:sz w:val="22"/>
        </w:rPr>
        <w:t>Risks update</w:t>
      </w:r>
    </w:p>
    <w:p>
      <w:pPr>
        <w:spacing w:after="100" w:before="0" w:line="240" w:lineRule="auto"/>
        <w:jc w:val="both"/>
      </w:pPr>
      <w:r>
        <w:rPr>
          <w:rFonts w:ascii="Times New Roman" w:hAnsi="Times New Roman" w:cs="Times New Roman" w:eastAsia="Times New Roman"/>
          <w:b/>
          <w:sz w:val="21"/>
        </w:rPr>
        <w:t xml:space="preserve">Worsened: </w:t>
      </w:r>
      <w:r>
        <w:rPr>
          <w:rFonts w:ascii="Times New Roman" w:hAnsi="Times New Roman" w:cs="Times New Roman" w:eastAsia="Times New Roman"/>
          <w:sz w:val="21"/>
        </w:rPr>
        <w:t xml:space="preserve">(1) Capex/FCF. Each additional $25B of 2027 capex lowers FY27E FCF by the same amount, and depreciation (+49% YoY in Q3) will rise faster than revenue into 2027. (2) Dilution and financing costs from ATM issuance, preferred dividends and interest expense, which we estimate cost ~$0.09 of EPS per quarter. (3) Earnings volatility from $90.4B of marketable equity securities (SpaceX and others). </w:t>
      </w:r>
      <w:r>
        <w:rPr>
          <w:rFonts w:ascii="Times New Roman" w:hAnsi="Times New Roman" w:cs="Times New Roman" w:eastAsia="Times New Roman"/>
          <w:b/>
          <w:sz w:val="21"/>
        </w:rPr>
        <w:t xml:space="preserve">New: </w:t>
      </w:r>
      <w:r>
        <w:rPr>
          <w:rFonts w:ascii="Times New Roman" w:hAnsi="Times New Roman" w:cs="Times New Roman" w:eastAsia="Times New Roman"/>
          <w:sz w:val="21"/>
        </w:rPr>
        <w:t xml:space="preserve">Cloud margin pressure from third-party compute, and the lower margin and lumpiness of TPU system sales. </w:t>
      </w:r>
      <w:r>
        <w:rPr>
          <w:rFonts w:ascii="Times New Roman" w:hAnsi="Times New Roman" w:cs="Times New Roman" w:eastAsia="Times New Roman"/>
          <w:b/>
          <w:sz w:val="21"/>
        </w:rPr>
        <w:t xml:space="preserve">Unchanged: </w:t>
      </w:r>
      <w:r>
        <w:rPr>
          <w:rFonts w:ascii="Times New Roman" w:hAnsi="Times New Roman" w:cs="Times New Roman" w:eastAsia="Times New Roman"/>
          <w:sz w:val="21"/>
        </w:rPr>
        <w:t xml:space="preserve">Regulatory and antitrust remedies (the $5.2B EC fine was paid in Q3), Search disruption from AI assistants, and Other Bets losses ($2.0B in Q3). </w:t>
      </w:r>
      <w:r>
        <w:rPr>
          <w:rFonts w:ascii="Times New Roman" w:hAnsi="Times New Roman" w:cs="Times New Roman" w:eastAsia="Times New Roman"/>
          <w:b/>
          <w:sz w:val="21"/>
        </w:rPr>
        <w:t xml:space="preserve">Mitigated: </w:t>
      </w:r>
      <w:r>
        <w:rPr>
          <w:rFonts w:ascii="Times New Roman" w:hAnsi="Times New Roman" w:cs="Times New Roman" w:eastAsia="Times New Roman"/>
          <w:sz w:val="21"/>
        </w:rPr>
        <w:t>Cloud demand uncertainty. A $561B backlog with 55%+ converting in 24 months reduces it.</w:t>
      </w:r>
    </w:p>
    <w:p>
      <w:pPr>
        <w:keepNext/>
        <w:spacing w:after="80" w:before="160" w:line="240" w:lineRule="auto"/>
        <w:pBdr>
          <w:bottom w:val="single" w:sz="6" w:space="1" w:color="1F3A5F"/>
        </w:pBdr>
      </w:pPr>
      <w:r>
        <w:rPr>
          <w:rFonts w:ascii="Times New Roman" w:hAnsi="Times New Roman" w:cs="Times New Roman" w:eastAsia="Times New Roman"/>
          <w:b/>
          <w:i w:val="0"/>
          <w:color w:val="1F3A5F"/>
          <w:sz w:val="26"/>
        </w:rPr>
        <w:t>Valuation &amp; Estimates</w:t>
      </w:r>
    </w:p>
    <w:p>
      <w:pPr>
        <w:keepNext/>
        <w:spacing w:after="60" w:before="100" w:line="240" w:lineRule="auto"/>
      </w:pPr>
      <w:r>
        <w:rPr>
          <w:rFonts w:ascii="Times New Roman" w:hAnsi="Times New Roman" w:cs="Times New Roman" w:eastAsia="Times New Roman"/>
          <w:b/>
          <w:i w:val="0"/>
          <w:color w:val="1F3A5F"/>
          <w:sz w:val="22"/>
        </w:rPr>
        <w:t>Price target methodology: $360 (50% P/E, 50% SOTP)</w:t>
      </w:r>
    </w:p>
    <w:p>
      <w:pPr>
        <w:spacing w:after="100" w:before="0" w:line="240" w:lineRule="auto"/>
        <w:jc w:val="both"/>
      </w:pPr>
      <w:r>
        <w:rPr>
          <w:rFonts w:ascii="Times New Roman" w:hAnsi="Times New Roman" w:cs="Times New Roman" w:eastAsia="Times New Roman"/>
          <w:sz w:val="21"/>
        </w:rPr>
        <w:t xml:space="preserve">We set a 12-month price target of $360. It is the average of two methods ($357), rounded to the nearest $10. </w:t>
      </w:r>
      <w:r>
        <w:rPr>
          <w:rFonts w:ascii="Times New Roman" w:hAnsi="Times New Roman" w:cs="Times New Roman" w:eastAsia="Times New Roman"/>
          <w:b/>
          <w:sz w:val="21"/>
        </w:rPr>
        <w:t xml:space="preserve">(1) P/E: </w:t>
      </w:r>
      <w:r>
        <w:rPr>
          <w:rFonts w:ascii="Times New Roman" w:hAnsi="Times New Roman" w:cs="Times New Roman" w:eastAsia="Times New Roman"/>
          <w:sz w:val="21"/>
        </w:rPr>
        <w:t xml:space="preserve">28x our 2027E EPS ex-marks of $12.72 = $356. 28x is a premium to the 22.9x the stock trades at pre-market. We think a premium is justified by 24% revenue growth in 2027E and a Cloud segment growing 75%. It also sits below the ~34x implied by the $430 median Street target on our EPS. </w:t>
      </w:r>
      <w:r>
        <w:rPr>
          <w:rFonts w:ascii="Times New Roman" w:hAnsi="Times New Roman" w:cs="Times New Roman" w:eastAsia="Times New Roman"/>
          <w:b/>
          <w:sz w:val="21"/>
        </w:rPr>
        <w:t xml:space="preserve">(2) Sum-of-the-parts (2027E): </w:t>
      </w:r>
      <w:r>
        <w:rPr>
          <w:rFonts w:ascii="Times New Roman" w:hAnsi="Times New Roman" w:cs="Times New Roman" w:eastAsia="Times New Roman"/>
          <w:sz w:val="21"/>
        </w:rPr>
        <w:t xml:space="preserve">Google Services NOPAT of $141B at 22x ($3.11T). Google Cloud NOPAT of $48B at 35x ($1.69T), reflecting 75% growth and backlog visibility. Other Bets at a nominal $50B. Alphabet-level costs capitalized at 22x (-$0.54T). Net cash of $140B ($265.1B cash and marketable securities less $125.1B long-term debt). That totals $4.46T, or $358 per share on 12,450M diluted shares (which includes expected ATM and preferred dilution). NOPAT uses our 18.5% tax-rate estimate. </w:t>
      </w:r>
      <w:r>
        <w:rPr>
          <w:rFonts w:ascii="Times New Roman" w:hAnsi="Times New Roman" w:cs="Times New Roman" w:eastAsia="Times New Roman"/>
          <w:b/>
          <w:sz w:val="21"/>
        </w:rPr>
        <w:t xml:space="preserve">Sensitivity: </w:t>
      </w:r>
      <w:r>
        <w:rPr>
          <w:rFonts w:ascii="Times New Roman" w:hAnsi="Times New Roman" w:cs="Times New Roman" w:eastAsia="Times New Roman"/>
          <w:sz w:val="21"/>
        </w:rPr>
        <w:t xml:space="preserve">every 1x of P/E is worth about $13 per share. At 24x the P/E method gives $305; at 32x, $407. </w:t>
      </w:r>
      <w:r>
        <w:rPr>
          <w:rFonts w:ascii="Times New Roman" w:hAnsi="Times New Roman" w:cs="Times New Roman" w:eastAsia="Times New Roman"/>
          <w:b/>
          <w:sz w:val="21"/>
        </w:rPr>
        <w:t xml:space="preserve">Scenarios: </w:t>
      </w:r>
      <w:r>
        <w:rPr>
          <w:rFonts w:ascii="Times New Roman" w:hAnsi="Times New Roman" w:cs="Times New Roman" w:eastAsia="Times New Roman"/>
          <w:sz w:val="21"/>
        </w:rPr>
        <w:t>Bull $430 (32x on $13.50 if TPU sales and Search re-accelerate). Bear $265 (22x on $12.00 if 2027 capex exceeds $300B and Cloud margins fall below 28%).</w:t>
      </w:r>
    </w:p>
    <w:p>
      <w:pPr>
        <w:keepNext/>
        <w:spacing w:after="20" w:before="80" w:line="240" w:lineRule="auto"/>
      </w:pPr>
      <w:r>
        <w:rPr>
          <w:rFonts w:ascii="Times New Roman" w:hAnsi="Times New Roman" w:cs="Times New Roman" w:eastAsia="Times New Roman"/>
          <w:b/>
          <w:sz w:val="19"/>
        </w:rPr>
        <w:t>Figure 10 - Sum-of-the-parts valuation ($ per share, 2027E)</w:t>
      </w:r>
      <w:r>
        <w:br/>
        <w:drawing>
          <wp:inline xmlns:a="http://schemas.openxmlformats.org/drawingml/2006/main" xmlns:pic="http://schemas.openxmlformats.org/drawingml/2006/picture">
            <wp:extent cx="5760720" cy="2476699"/>
            <wp:docPr id="10" name="Picture 10"/>
            <wp:cNvGraphicFramePr>
              <a:graphicFrameLocks noChangeAspect="1"/>
            </wp:cNvGraphicFramePr>
            <a:graphic>
              <a:graphicData uri="http://schemas.openxmlformats.org/drawingml/2006/picture">
                <pic:pic>
                  <pic:nvPicPr>
                    <pic:cNvPr id="0" name="fig11_sotp.png"/>
                    <pic:cNvPicPr/>
                  </pic:nvPicPr>
                  <pic:blipFill>
                    <a:blip r:embed="rId29"/>
                    <a:stretch>
                      <a:fillRect/>
                    </a:stretch>
                  </pic:blipFill>
                  <pic:spPr>
                    <a:xfrm>
                      <a:off x="0" y="0"/>
                      <a:ext cx="5760720" cy="2476699"/>
                    </a:xfrm>
                    <a:prstGeom prst="rect"/>
                  </pic:spPr>
                </pic:pic>
              </a:graphicData>
            </a:graphic>
          </wp:inline>
        </w:drawing>
      </w:r>
    </w:p>
    <w:p>
      <w:pPr>
        <w:spacing w:after="140" w:before="0" w:line="240" w:lineRule="auto"/>
      </w:pPr>
      <w:r>
        <w:rPr>
          <w:rFonts w:ascii="Times New Roman" w:hAnsi="Times New Roman" w:cs="Times New Roman" w:eastAsia="Times New Roman"/>
          <w:i/>
          <w:sz w:val="17"/>
        </w:rPr>
        <w:t xml:space="preserve">Source: </w:t>
      </w:r>
      <w:r>
        <w:rPr>
          <w:rFonts w:ascii="Times New Roman" w:hAnsi="Times New Roman" w:cs="Times New Roman" w:eastAsia="Times New Roman"/>
          <w:i/>
          <w:sz w:val="17"/>
        </w:rPr>
        <w:t xml:space="preserve">Our estimates; balance sheet from the </w:t>
      </w:r>
      <w:hyperlink r:id="rId10">
        <w:r>
          <w:rPr>
            <w:rFonts w:ascii="Times New Roman" w:hAnsi="Times New Roman" w:cs="Times New Roman" w:eastAsia="Times New Roman"/>
            <w:i/>
            <w:color w:val="0563C1"/>
            <w:u w:val="single"/>
            <w:sz w:val="17"/>
          </w:rPr>
          <w:t xml:space="preserve">Q3'26 release</w:t>
        </w:r>
      </w:hyperlink>
      <w:r>
        <w:rPr>
          <w:rFonts w:ascii="Times New Roman" w:hAnsi="Times New Roman" w:cs="Times New Roman" w:eastAsia="Times New Roman"/>
          <w:i/>
          <w:sz w:val="17"/>
        </w:rPr>
        <w:t xml:space="preserve"> and </w:t>
      </w:r>
      <w:hyperlink r:id="rId23">
        <w:r>
          <w:rPr>
            <w:rFonts w:ascii="Times New Roman" w:hAnsi="Times New Roman" w:cs="Times New Roman" w:eastAsia="Times New Roman"/>
            <w:i/>
            <w:color w:val="0563C1"/>
            <w:u w:val="single"/>
            <w:sz w:val="17"/>
          </w:rPr>
          <w:t xml:space="preserve">Q3'26 call</w:t>
        </w:r>
      </w:hyperlink>
      <w:r>
        <w:rPr>
          <w:rFonts w:ascii="Times New Roman" w:hAnsi="Times New Roman" w:cs="Times New Roman" w:eastAsia="Times New Roman"/>
          <w:i/>
          <w:sz w:val="17"/>
        </w:rPr>
        <w:t xml:space="preserve">; pre-market price per </w:t>
      </w:r>
      <w:hyperlink r:id="rId30">
        <w:r>
          <w:rPr>
            <w:rFonts w:ascii="Times New Roman" w:hAnsi="Times New Roman" w:cs="Times New Roman" w:eastAsia="Times New Roman"/>
            <w:i/>
            <w:color w:val="0563C1"/>
            <w:u w:val="single"/>
            <w:sz w:val="17"/>
          </w:rPr>
          <w:t xml:space="preserve">StockAnalysis (Oct 29, 2026)</w:t>
        </w:r>
      </w:hyperlink>
      <w:r>
        <w:rPr>
          <w:rFonts w:ascii="Times New Roman" w:hAnsi="Times New Roman" w:cs="Times New Roman" w:eastAsia="Times New Roman"/>
          <w:i/>
          <w:sz w:val="17"/>
        </w:rPr>
        <w:t>.</w:t>
      </w:r>
    </w:p>
    <w:p>
      <w:pPr>
        <w:keepNext/>
        <w:spacing w:after="60" w:before="100" w:line="240" w:lineRule="auto"/>
      </w:pPr>
      <w:r>
        <w:rPr>
          <w:rFonts w:ascii="Times New Roman" w:hAnsi="Times New Roman" w:cs="Times New Roman" w:eastAsia="Times New Roman"/>
          <w:b/>
          <w:i w:val="0"/>
          <w:color w:val="1F3A5F"/>
          <w:sz w:val="22"/>
        </w:rPr>
        <w:t>What changed in our estimates</w:t>
      </w:r>
    </w:p>
    <w:p>
      <w:pPr>
        <w:spacing w:after="100" w:before="0" w:line="240" w:lineRule="auto"/>
        <w:jc w:val="both"/>
      </w:pPr>
      <w:r>
        <w:rPr>
          <w:rFonts w:ascii="Times New Roman" w:hAnsi="Times New Roman" w:cs="Times New Roman" w:eastAsia="Times New Roman"/>
          <w:sz w:val="21"/>
        </w:rPr>
        <w:t>FY26E revenue edges down 0.2% to $495.7B. Q3 Cloud upside (+$1.7B vs. our model) and a higher Q4 Cloud forecast ($34.0B) offset a weaker Services outlook (Q4 Services $104.0B, +8.5%). FY26E operating income falls 1.9% to $163.9B because we lower Q4 Cloud margin to 32%. FY26E EPS ex-marks falls 5.2% to $10.98. That reflects the Q3 shortfall (-$0.33 vs. our model) and higher interest and preferred costs in Q4. Our Q4'26E EPS is $2.83. For FY27E, revenue rises 0.6% to $616.2B (Cloud +75% to $191.6B; Services +10% to $422.9B). Operating income falls 2.6% to $194.3B (31.5% margin) on heavier depreciation and third-party compute costs. EPS ex-marks falls 3.0% to $12.72 after we add $1.2B of preferred dividends and raise diluted shares to 12,450M. We raise 2027E capex to $270B and now forecast FY27E FCF of about -$40B. Our EPS is well below the $15.19 FY27 Street figure, which may include different treatment of investment gains. We would rather start from a conservative base.</w:t>
      </w:r>
    </w:p>
    <w:p>
      <w:pPr>
        <w:keepNext/>
        <w:spacing w:after="20" w:before="80" w:line="240" w:lineRule="auto"/>
      </w:pPr>
      <w:r>
        <w:rPr>
          <w:rFonts w:ascii="Times New Roman" w:hAnsi="Times New Roman" w:cs="Times New Roman" w:eastAsia="Times New Roman"/>
          <w:b/>
          <w:sz w:val="19"/>
        </w:rPr>
        <w:t>Figure 11 - Estimate revisions: prior vs. new, FY26E and FY27E</w:t>
      </w:r>
      <w:r>
        <w:br/>
        <w:drawing>
          <wp:inline xmlns:a="http://schemas.openxmlformats.org/drawingml/2006/main" xmlns:pic="http://schemas.openxmlformats.org/drawingml/2006/picture">
            <wp:extent cx="5760720" cy="2294253"/>
            <wp:docPr id="11" name="Picture 11"/>
            <wp:cNvGraphicFramePr>
              <a:graphicFrameLocks noChangeAspect="1"/>
            </wp:cNvGraphicFramePr>
            <a:graphic>
              <a:graphicData uri="http://schemas.openxmlformats.org/drawingml/2006/picture">
                <pic:pic>
                  <pic:nvPicPr>
                    <pic:cNvPr id="0" name="fig10_estimate_revisions.png"/>
                    <pic:cNvPicPr/>
                  </pic:nvPicPr>
                  <pic:blipFill>
                    <a:blip r:embed="rId31"/>
                    <a:stretch>
                      <a:fillRect/>
                    </a:stretch>
                  </pic:blipFill>
                  <pic:spPr>
                    <a:xfrm>
                      <a:off x="0" y="0"/>
                      <a:ext cx="5760720" cy="2294253"/>
                    </a:xfrm>
                    <a:prstGeom prst="rect"/>
                  </pic:spPr>
                </pic:pic>
              </a:graphicData>
            </a:graphic>
          </wp:inline>
        </w:drawing>
      </w:r>
    </w:p>
    <w:p>
      <w:pPr>
        <w:spacing w:after="140" w:before="0" w:line="240" w:lineRule="auto"/>
      </w:pPr>
      <w:r>
        <w:rPr>
          <w:rFonts w:ascii="Times New Roman" w:hAnsi="Times New Roman" w:cs="Times New Roman" w:eastAsia="Times New Roman"/>
          <w:i/>
          <w:sz w:val="17"/>
        </w:rPr>
        <w:t xml:space="preserve">Source: </w:t>
      </w:r>
      <w:r>
        <w:rPr>
          <w:rFonts w:ascii="Times New Roman" w:hAnsi="Times New Roman" w:cs="Times New Roman" w:eastAsia="Times New Roman"/>
          <w:i/>
          <w:sz w:val="17"/>
        </w:rPr>
        <w:t xml:space="preserve">Our estimates (prior = pre-print model); FY26E incorporates 9M'26 actuals from the </w:t>
      </w:r>
      <w:hyperlink r:id="rId10">
        <w:r>
          <w:rPr>
            <w:rFonts w:ascii="Times New Roman" w:hAnsi="Times New Roman" w:cs="Times New Roman" w:eastAsia="Times New Roman"/>
            <w:i/>
            <w:color w:val="0563C1"/>
            <w:u w:val="single"/>
            <w:sz w:val="17"/>
          </w:rPr>
          <w:t xml:space="preserve">Q3'26 release</w:t>
        </w:r>
      </w:hyperlink>
      <w:r>
        <w:rPr>
          <w:rFonts w:ascii="Times New Roman" w:hAnsi="Times New Roman" w:cs="Times New Roman" w:eastAsia="Times New Roman"/>
          <w:i/>
          <w:sz w:val="17"/>
        </w:rPr>
        <w:t>.</w:t>
      </w:r>
    </w:p>
    <w:p>
      <w:pPr>
        <w:keepNext/>
        <w:spacing w:after="60" w:before="100" w:line="240" w:lineRule="auto"/>
      </w:pPr>
      <w:r>
        <w:rPr>
          <w:rFonts w:ascii="Times New Roman" w:hAnsi="Times New Roman" w:cs="Times New Roman" w:eastAsia="Times New Roman"/>
          <w:b/>
          <w:i w:val="0"/>
          <w:color w:val="1F3A5F"/>
          <w:sz w:val="22"/>
        </w:rPr>
        <w:t>Bottom line</w:t>
      </w:r>
    </w:p>
    <w:p>
      <w:pPr>
        <w:spacing w:after="100" w:before="0" w:line="240" w:lineRule="auto"/>
        <w:jc w:val="both"/>
      </w:pPr>
      <w:r>
        <w:rPr>
          <w:rFonts w:ascii="Times New Roman" w:hAnsi="Times New Roman" w:cs="Times New Roman" w:eastAsia="Times New Roman"/>
          <w:sz w:val="21"/>
        </w:rPr>
        <w:t>The quarter answered the question of whether AI infrastructure spending earns a return. In Cloud it clearly does: revenue doubled and margin reached 36%. It also raised a new question: how long shareholders will fund a capex cycle that has turned FCF negative and replaced buybacks with issuance. With the stock down ~10% on a headline EPS miss that was mostly a non-cash SpaceX mark, we think the risk/reward favors buyers. We maintain BUY with a $360 PT. Catalysts: Q4 results and 2027 capex guidance (early February 2027), Cloud margin through the third-party compute ramp, and Search growth once FX and World Cup comps ease.</w:t>
      </w:r>
    </w:p>
    <w:p>
      <w:pPr>
        <w:keepNext/>
        <w:spacing w:after="80" w:before="160" w:line="240" w:lineRule="auto"/>
        <w:pBdr>
          <w:bottom w:val="single" w:sz="6" w:space="1" w:color="1F3A5F"/>
        </w:pBdr>
      </w:pPr>
      <w:r>
        <w:rPr>
          <w:rFonts w:ascii="Times New Roman" w:hAnsi="Times New Roman" w:cs="Times New Roman" w:eastAsia="Times New Roman"/>
          <w:b/>
          <w:i w:val="0"/>
          <w:color w:val="1F3A5F"/>
          <w:sz w:val="26"/>
        </w:rPr>
        <w:t>Sources &amp; References</w:t>
      </w:r>
    </w:p>
    <w:p>
      <w:pPr>
        <w:keepNext/>
        <w:spacing w:after="40" w:before="60" w:line="240" w:lineRule="auto"/>
      </w:pPr>
      <w:r>
        <w:rPr>
          <w:rFonts w:ascii="Times New Roman" w:hAnsi="Times New Roman" w:cs="Times New Roman" w:eastAsia="Times New Roman"/>
          <w:b/>
          <w:i w:val="0"/>
          <w:sz w:val="20"/>
        </w:rPr>
        <w:t>Earnings materials (Q3 2026)</w:t>
      </w:r>
    </w:p>
    <w:p>
      <w:pPr>
        <w:spacing w:after="20" w:before="0" w:line="240" w:lineRule="auto"/>
      </w:pPr>
      <w:r>
        <w:rPr>
          <w:rFonts w:ascii="Times New Roman" w:hAnsi="Times New Roman" w:cs="Times New Roman" w:eastAsia="Times New Roman"/>
          <w:sz w:val="19"/>
        </w:rPr>
        <w:t xml:space="preserve">• </w:t>
      </w:r>
      <w:hyperlink r:id="rId10">
        <w:r>
          <w:rPr>
            <w:rFonts w:ascii="Times New Roman" w:hAnsi="Times New Roman" w:cs="Times New Roman" w:eastAsia="Times New Roman"/>
            <w:color w:val="0563C1"/>
            <w:u w:val="single"/>
            <w:sz w:val="19"/>
          </w:rPr>
          <w:t xml:space="preserve">Alphabet Q3 2026 earnings release, Form 8-K Exhibit 99.1 (filed October 28, 2026)</w:t>
        </w:r>
      </w:hyperlink>
    </w:p>
    <w:p>
      <w:pPr>
        <w:spacing w:after="20" w:before="0" w:line="240" w:lineRule="auto"/>
      </w:pPr>
      <w:r>
        <w:rPr>
          <w:rFonts w:ascii="Times New Roman" w:hAnsi="Times New Roman" w:cs="Times New Roman" w:eastAsia="Times New Roman"/>
          <w:sz w:val="19"/>
        </w:rPr>
        <w:t xml:space="preserve">• </w:t>
      </w:r>
      <w:hyperlink r:id="rId32">
        <w:r>
          <w:rPr>
            <w:rFonts w:ascii="Times New Roman" w:hAnsi="Times New Roman" w:cs="Times New Roman" w:eastAsia="Times New Roman"/>
            <w:color w:val="0563C1"/>
            <w:u w:val="single"/>
            <w:sz w:val="19"/>
          </w:rPr>
          <w:t xml:space="preserve">Form 8-K filing index, accession 0001652044-26-000080 (October 28, 2026)</w:t>
        </w:r>
      </w:hyperlink>
    </w:p>
    <w:p>
      <w:pPr>
        <w:spacing w:after="20" w:before="0" w:line="240" w:lineRule="auto"/>
      </w:pPr>
      <w:r>
        <w:rPr>
          <w:rFonts w:ascii="Times New Roman" w:hAnsi="Times New Roman" w:cs="Times New Roman" w:eastAsia="Times New Roman"/>
          <w:sz w:val="19"/>
        </w:rPr>
        <w:t xml:space="preserve">• </w:t>
      </w:r>
      <w:hyperlink r:id="rId33">
        <w:r>
          <w:rPr>
            <w:rFonts w:ascii="Times New Roman" w:hAnsi="Times New Roman" w:cs="Times New Roman" w:eastAsia="Times New Roman"/>
            <w:color w:val="0563C1"/>
            <w:u w:val="single"/>
            <w:sz w:val="19"/>
          </w:rPr>
          <w:t xml:space="preserve">Form 10-Q for quarter ended September 30, 2026 (accession 0001652044-26-000084, filed October 29, 2026)</w:t>
        </w:r>
      </w:hyperlink>
    </w:p>
    <w:p>
      <w:pPr>
        <w:spacing w:after="20" w:before="0" w:line="240" w:lineRule="auto"/>
      </w:pPr>
      <w:r>
        <w:rPr>
          <w:rFonts w:ascii="Times New Roman" w:hAnsi="Times New Roman" w:cs="Times New Roman" w:eastAsia="Times New Roman"/>
          <w:sz w:val="19"/>
        </w:rPr>
        <w:t xml:space="preserve">• </w:t>
      </w:r>
      <w:hyperlink r:id="rId23">
        <w:r>
          <w:rPr>
            <w:rFonts w:ascii="Times New Roman" w:hAnsi="Times New Roman" w:cs="Times New Roman" w:eastAsia="Times New Roman"/>
            <w:color w:val="0563C1"/>
            <w:u w:val="single"/>
            <w:sz w:val="19"/>
          </w:rPr>
          <w:t xml:space="preserve">Q3 2026 earnings call transcript, October 28, 2026 (The Motley Fool)</w:t>
        </w:r>
      </w:hyperlink>
    </w:p>
    <w:p>
      <w:pPr>
        <w:spacing w:after="20" w:before="0" w:line="240" w:lineRule="auto"/>
      </w:pPr>
      <w:r>
        <w:rPr>
          <w:rFonts w:ascii="Times New Roman" w:hAnsi="Times New Roman" w:cs="Times New Roman" w:eastAsia="Times New Roman"/>
          <w:sz w:val="19"/>
        </w:rPr>
        <w:t xml:space="preserve">• </w:t>
      </w:r>
      <w:hyperlink r:id="rId34">
        <w:r>
          <w:rPr>
            <w:rFonts w:ascii="Times New Roman" w:hAnsi="Times New Roman" w:cs="Times New Roman" w:eastAsia="Times New Roman"/>
            <w:color w:val="0563C1"/>
            <w:u w:val="single"/>
            <w:sz w:val="19"/>
          </w:rPr>
          <w:t xml:space="preserve">Q3 2026 earnings call transcript and summary, October 28, 2026 (Investing.com)</w:t>
        </w:r>
      </w:hyperlink>
    </w:p>
    <w:p>
      <w:pPr>
        <w:spacing w:after="20" w:before="0" w:line="240" w:lineRule="auto"/>
      </w:pPr>
      <w:r>
        <w:rPr>
          <w:rFonts w:ascii="Times New Roman" w:hAnsi="Times New Roman" w:cs="Times New Roman" w:eastAsia="Times New Roman"/>
          <w:sz w:val="19"/>
        </w:rPr>
        <w:t xml:space="preserve">• </w:t>
      </w:r>
      <w:hyperlink r:id="rId35">
        <w:r>
          <w:rPr>
            <w:rFonts w:ascii="Times New Roman" w:hAnsi="Times New Roman" w:cs="Times New Roman" w:eastAsia="Times New Roman"/>
            <w:color w:val="0563C1"/>
            <w:u w:val="single"/>
            <w:sz w:val="19"/>
          </w:rPr>
          <w:t xml:space="preserve">Q3 2026 earnings slides summary (Investing.com, October 28, 2026)</w:t>
        </w:r>
      </w:hyperlink>
    </w:p>
    <w:p>
      <w:pPr>
        <w:keepNext/>
        <w:spacing w:after="40" w:before="60" w:line="240" w:lineRule="auto"/>
      </w:pPr>
      <w:r>
        <w:rPr>
          <w:rFonts w:ascii="Times New Roman" w:hAnsi="Times New Roman" w:cs="Times New Roman" w:eastAsia="Times New Roman"/>
          <w:b/>
          <w:i w:val="0"/>
          <w:sz w:val="20"/>
        </w:rPr>
        <w:t>Prior-period materials</w:t>
      </w:r>
    </w:p>
    <w:p>
      <w:pPr>
        <w:spacing w:after="20" w:before="0" w:line="240" w:lineRule="auto"/>
      </w:pPr>
      <w:r>
        <w:rPr>
          <w:rFonts w:ascii="Times New Roman" w:hAnsi="Times New Roman" w:cs="Times New Roman" w:eastAsia="Times New Roman"/>
          <w:sz w:val="19"/>
        </w:rPr>
        <w:t xml:space="preserve">• </w:t>
      </w:r>
      <w:hyperlink r:id="rId16">
        <w:r>
          <w:rPr>
            <w:rFonts w:ascii="Times New Roman" w:hAnsi="Times New Roman" w:cs="Times New Roman" w:eastAsia="Times New Roman"/>
            <w:color w:val="0563C1"/>
            <w:u w:val="single"/>
            <w:sz w:val="19"/>
          </w:rPr>
          <w:t xml:space="preserve">Q2 2026 earnings release, 8-K Exhibit 99.1 (July 22, 2026)</w:t>
        </w:r>
      </w:hyperlink>
    </w:p>
    <w:p>
      <w:pPr>
        <w:spacing w:after="20" w:before="0" w:line="240" w:lineRule="auto"/>
      </w:pPr>
      <w:r>
        <w:rPr>
          <w:rFonts w:ascii="Times New Roman" w:hAnsi="Times New Roman" w:cs="Times New Roman" w:eastAsia="Times New Roman"/>
          <w:sz w:val="19"/>
        </w:rPr>
        <w:t xml:space="preserve">• </w:t>
      </w:r>
      <w:hyperlink r:id="rId15">
        <w:r>
          <w:rPr>
            <w:rFonts w:ascii="Times New Roman" w:hAnsi="Times New Roman" w:cs="Times New Roman" w:eastAsia="Times New Roman"/>
            <w:color w:val="0563C1"/>
            <w:u w:val="single"/>
            <w:sz w:val="19"/>
          </w:rPr>
          <w:t xml:space="preserve">Q1 2026 earnings release, 8-K Exhibit 99.1 (April 29, 2026)</w:t>
        </w:r>
      </w:hyperlink>
    </w:p>
    <w:p>
      <w:pPr>
        <w:spacing w:after="20" w:before="0" w:line="240" w:lineRule="auto"/>
      </w:pPr>
      <w:r>
        <w:rPr>
          <w:rFonts w:ascii="Times New Roman" w:hAnsi="Times New Roman" w:cs="Times New Roman" w:eastAsia="Times New Roman"/>
          <w:sz w:val="19"/>
        </w:rPr>
        <w:t xml:space="preserve">• </w:t>
      </w:r>
      <w:hyperlink r:id="rId14">
        <w:r>
          <w:rPr>
            <w:rFonts w:ascii="Times New Roman" w:hAnsi="Times New Roman" w:cs="Times New Roman" w:eastAsia="Times New Roman"/>
            <w:color w:val="0563C1"/>
            <w:u w:val="single"/>
            <w:sz w:val="19"/>
          </w:rPr>
          <w:t xml:space="preserve">Q4 2025 earnings release, 8-K Exhibit 99.1 (February 4, 2026) - initial 2026 capex guidance</w:t>
        </w:r>
      </w:hyperlink>
    </w:p>
    <w:p>
      <w:pPr>
        <w:spacing w:after="20" w:before="0" w:line="240" w:lineRule="auto"/>
      </w:pPr>
      <w:r>
        <w:rPr>
          <w:rFonts w:ascii="Times New Roman" w:hAnsi="Times New Roman" w:cs="Times New Roman" w:eastAsia="Times New Roman"/>
          <w:sz w:val="19"/>
        </w:rPr>
        <w:t xml:space="preserve">• </w:t>
      </w:r>
      <w:hyperlink r:id="rId25">
        <w:r>
          <w:rPr>
            <w:rFonts w:ascii="Times New Roman" w:hAnsi="Times New Roman" w:cs="Times New Roman" w:eastAsia="Times New Roman"/>
            <w:color w:val="0563C1"/>
            <w:u w:val="single"/>
            <w:sz w:val="19"/>
          </w:rPr>
          <w:t xml:space="preserve">S&amp;P Global Market Intelligence, Alphabet post-Q1'26 snapshot (May 15, 2026) - Q1 capex raise, $462B backlog</w:t>
        </w:r>
      </w:hyperlink>
    </w:p>
    <w:p>
      <w:pPr>
        <w:spacing w:after="20" w:before="0" w:line="240" w:lineRule="auto"/>
      </w:pPr>
      <w:r>
        <w:rPr>
          <w:rFonts w:ascii="Times New Roman" w:hAnsi="Times New Roman" w:cs="Times New Roman" w:eastAsia="Times New Roman"/>
          <w:sz w:val="19"/>
        </w:rPr>
        <w:t xml:space="preserve">• </w:t>
      </w:r>
      <w:hyperlink r:id="rId26">
        <w:r>
          <w:rPr>
            <w:rFonts w:ascii="Times New Roman" w:hAnsi="Times New Roman" w:cs="Times New Roman" w:eastAsia="Times New Roman"/>
            <w:color w:val="0563C1"/>
            <w:u w:val="single"/>
            <w:sz w:val="19"/>
          </w:rPr>
          <w:t xml:space="preserve">Fierce Network, "Google Cloud surges, but Alphabet's AI capex problem grows" (July 2026) - Q2 capex raise, $514B backlog</w:t>
        </w:r>
      </w:hyperlink>
    </w:p>
    <w:p>
      <w:pPr>
        <w:spacing w:after="20" w:before="0" w:line="240" w:lineRule="auto"/>
      </w:pPr>
      <w:r>
        <w:rPr>
          <w:rFonts w:ascii="Times New Roman" w:hAnsi="Times New Roman" w:cs="Times New Roman" w:eastAsia="Times New Roman"/>
          <w:sz w:val="19"/>
        </w:rPr>
        <w:t xml:space="preserve">• </w:t>
      </w:r>
      <w:hyperlink r:id="rId24">
        <w:r>
          <w:rPr>
            <w:rFonts w:ascii="Times New Roman" w:hAnsi="Times New Roman" w:cs="Times New Roman" w:eastAsia="Times New Roman"/>
            <w:color w:val="0563C1"/>
            <w:u w:val="single"/>
            <w:sz w:val="19"/>
          </w:rPr>
          <w:t xml:space="preserve">MarketBeat, Q4 2025 results coverage (February 2026) - $240B Q4'25 and $155B Q3'25 backlog</w:t>
        </w:r>
      </w:hyperlink>
    </w:p>
    <w:p>
      <w:pPr>
        <w:spacing w:after="20" w:before="0" w:line="240" w:lineRule="auto"/>
      </w:pPr>
      <w:r>
        <w:rPr>
          <w:rFonts w:ascii="Times New Roman" w:hAnsi="Times New Roman" w:cs="Times New Roman" w:eastAsia="Times New Roman"/>
          <w:sz w:val="19"/>
        </w:rPr>
        <w:t xml:space="preserve">• </w:t>
      </w:r>
      <w:hyperlink r:id="rId36">
        <w:r>
          <w:rPr>
            <w:rFonts w:ascii="Times New Roman" w:hAnsi="Times New Roman" w:cs="Times New Roman" w:eastAsia="Times New Roman"/>
            <w:color w:val="0563C1"/>
            <w:u w:val="single"/>
            <w:sz w:val="19"/>
          </w:rPr>
          <w:t xml:space="preserve">SEC EDGAR: Alphabet 10-Q filing list</w:t>
        </w:r>
      </w:hyperlink>
    </w:p>
    <w:p>
      <w:pPr>
        <w:keepNext/>
        <w:spacing w:after="40" w:before="60" w:line="240" w:lineRule="auto"/>
      </w:pPr>
      <w:r>
        <w:rPr>
          <w:rFonts w:ascii="Times New Roman" w:hAnsi="Times New Roman" w:cs="Times New Roman" w:eastAsia="Times New Roman"/>
          <w:b/>
          <w:i w:val="0"/>
          <w:sz w:val="20"/>
        </w:rPr>
        <w:t>Consensus, pricing and market data</w:t>
      </w:r>
    </w:p>
    <w:p>
      <w:pPr>
        <w:spacing w:after="20" w:before="0" w:line="240" w:lineRule="auto"/>
      </w:pPr>
      <w:r>
        <w:rPr>
          <w:rFonts w:ascii="Times New Roman" w:hAnsi="Times New Roman" w:cs="Times New Roman" w:eastAsia="Times New Roman"/>
          <w:sz w:val="19"/>
        </w:rPr>
        <w:t xml:space="preserve">• </w:t>
      </w:r>
      <w:hyperlink r:id="rId11">
        <w:r>
          <w:rPr>
            <w:rFonts w:ascii="Times New Roman" w:hAnsi="Times New Roman" w:cs="Times New Roman" w:eastAsia="Times New Roman"/>
            <w:color w:val="0563C1"/>
            <w:u w:val="single"/>
            <w:sz w:val="19"/>
          </w:rPr>
          <w:t xml:space="preserve">MarketBeat, Alphabet Q3 2026 earnings report page - consensus EPS $3.01, revenue $127.97B</w:t>
        </w:r>
      </w:hyperlink>
    </w:p>
    <w:p>
      <w:pPr>
        <w:spacing w:after="20" w:before="0" w:line="240" w:lineRule="auto"/>
      </w:pPr>
      <w:r>
        <w:rPr>
          <w:rFonts w:ascii="Times New Roman" w:hAnsi="Times New Roman" w:cs="Times New Roman" w:eastAsia="Times New Roman"/>
          <w:sz w:val="19"/>
        </w:rPr>
        <w:t xml:space="preserve">• </w:t>
      </w:r>
      <w:hyperlink r:id="rId37">
        <w:r>
          <w:rPr>
            <w:rFonts w:ascii="Times New Roman" w:hAnsi="Times New Roman" w:cs="Times New Roman" w:eastAsia="Times New Roman"/>
            <w:color w:val="0563C1"/>
            <w:u w:val="single"/>
            <w:sz w:val="19"/>
          </w:rPr>
          <w:t xml:space="preserve">CNBC, Alphabet Q3 2026 earnings coverage (October 28, 2026) - $3.02 EPS consensus cited</w:t>
        </w:r>
      </w:hyperlink>
    </w:p>
    <w:p>
      <w:pPr>
        <w:spacing w:after="20" w:before="0" w:line="240" w:lineRule="auto"/>
      </w:pPr>
      <w:r>
        <w:rPr>
          <w:rFonts w:ascii="Times New Roman" w:hAnsi="Times New Roman" w:cs="Times New Roman" w:eastAsia="Times New Roman"/>
          <w:sz w:val="19"/>
        </w:rPr>
        <w:t xml:space="preserve">• </w:t>
      </w:r>
      <w:hyperlink r:id="rId38">
        <w:r>
          <w:rPr>
            <w:rFonts w:ascii="Times New Roman" w:hAnsi="Times New Roman" w:cs="Times New Roman" w:eastAsia="Times New Roman"/>
            <w:color w:val="0563C1"/>
            <w:u w:val="single"/>
            <w:sz w:val="19"/>
          </w:rPr>
          <w:t xml:space="preserve">StockAnalysis, GOOGL price history - October 28, 2026 close $324.89</w:t>
        </w:r>
      </w:hyperlink>
    </w:p>
    <w:p>
      <w:pPr>
        <w:spacing w:after="20" w:before="0" w:line="240" w:lineRule="auto"/>
      </w:pPr>
      <w:r>
        <w:rPr>
          <w:rFonts w:ascii="Times New Roman" w:hAnsi="Times New Roman" w:cs="Times New Roman" w:eastAsia="Times New Roman"/>
          <w:sz w:val="19"/>
        </w:rPr>
        <w:t xml:space="preserve">• </w:t>
      </w:r>
      <w:hyperlink r:id="rId30">
        <w:r>
          <w:rPr>
            <w:rFonts w:ascii="Times New Roman" w:hAnsi="Times New Roman" w:cs="Times New Roman" w:eastAsia="Times New Roman"/>
            <w:color w:val="0563C1"/>
            <w:u w:val="single"/>
            <w:sz w:val="19"/>
          </w:rPr>
          <w:t xml:space="preserve">StockAnalysis, GOOGL quote - pre-market $291.08 (6:15 AM ET, October 29, 2026), 52-week range</w:t>
        </w:r>
      </w:hyperlink>
    </w:p>
    <w:p>
      <w:pPr>
        <w:spacing w:after="20" w:before="0" w:line="240" w:lineRule="auto"/>
      </w:pPr>
      <w:r>
        <w:rPr>
          <w:rFonts w:ascii="Times New Roman" w:hAnsi="Times New Roman" w:cs="Times New Roman" w:eastAsia="Times New Roman"/>
          <w:sz w:val="19"/>
        </w:rPr>
        <w:t xml:space="preserve">• </w:t>
      </w:r>
      <w:hyperlink r:id="rId12">
        <w:r>
          <w:rPr>
            <w:rFonts w:ascii="Times New Roman" w:hAnsi="Times New Roman" w:cs="Times New Roman" w:eastAsia="Times New Roman"/>
            <w:color w:val="0563C1"/>
            <w:u w:val="single"/>
            <w:sz w:val="19"/>
          </w:rPr>
          <w:t xml:space="preserve">StockAnalysis, GOOGL analyst forecast - consensus PT $429.68, FY26/FY27 EPS, analyst actions</w:t>
        </w:r>
      </w:hyperlink>
    </w:p>
    <w:p>
      <w:pPr>
        <w:spacing w:after="40" w:before="0" w:line="240" w:lineRule="auto"/>
      </w:pPr>
    </w:p>
    <w:p>
      <w:pPr>
        <w:spacing w:after="100" w:before="0" w:line="240" w:lineRule="auto"/>
        <w:jc w:val="both"/>
      </w:pPr>
      <w:r>
        <w:rPr>
          <w:rFonts w:ascii="Times New Roman" w:hAnsi="Times New Roman" w:cs="Times New Roman" w:eastAsia="Times New Roman"/>
          <w:i/>
          <w:sz w:val="17"/>
        </w:rPr>
        <w:t>Disclosures: Estimates, price target and ratings are the analyst's own and are not company guidance. "EPS ex-marks" is a non-GAAP analyst measure that removes gains and losses on equity securities at an assumed 21% tax rate. Prior-quarter Cloud backlog and capex-guidance history come from secondary press coverage of earlier earnings calls and were not checked against those transcripts. This report is for informational purposes only and is not investment advice.</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i/>
        <w:color w:val="52514E"/>
        <w:sz w:val="16"/>
      </w:rPr>
      <w:t>Alphabet Inc. (GOOGL) | Q3 2026 Earnings Update | October 29, 2026 | Estimates are analyst estimates, not company guidance.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ec.gov/Archives/edgar/data/1652044/000165204426000080/googexhibit991q32026.htm" TargetMode="External"/><Relationship Id="rId11" Type="http://schemas.openxmlformats.org/officeDocument/2006/relationships/hyperlink" Target="https://www.marketbeat.com/earnings/reports/2026-10-28-alphabet-inc-stock/" TargetMode="External"/><Relationship Id="rId12" Type="http://schemas.openxmlformats.org/officeDocument/2006/relationships/hyperlink" Target="https://stockanalysis.com/stocks/googl/forecast/" TargetMode="External"/><Relationship Id="rId13" Type="http://schemas.openxmlformats.org/officeDocument/2006/relationships/image" Target="media/image1.png"/><Relationship Id="rId14" Type="http://schemas.openxmlformats.org/officeDocument/2006/relationships/hyperlink" Target="https://www.sec.gov/Archives/edgar/data/1652044/000165204426000012/googexhibit991q42025.htm" TargetMode="External"/><Relationship Id="rId15" Type="http://schemas.openxmlformats.org/officeDocument/2006/relationships/hyperlink" Target="https://www.sec.gov/Archives/edgar/data/1652044/000165204426000043/googexhibit991q12026.htm" TargetMode="External"/><Relationship Id="rId16" Type="http://schemas.openxmlformats.org/officeDocument/2006/relationships/hyperlink" Target="https://www.sec.gov/Archives/edgar/data/1652044/000165204426000066/googexhibit991q22026.htm" TargetMode="Externa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hyperlink" Target="https://www.fool.com/earnings/call-transcripts/2026/10/29/alphabet-googl-q3-2026-earnings-call-transcript/" TargetMode="External"/><Relationship Id="rId24" Type="http://schemas.openxmlformats.org/officeDocument/2006/relationships/hyperlink" Target="https://www.marketbeat.com/originals/alphabet-crushes-earnings-again-reports-48-cloud-revenue-growth/" TargetMode="External"/><Relationship Id="rId25" Type="http://schemas.openxmlformats.org/officeDocument/2006/relationships/hyperlink" Target="https://www.spglobal.com/market-intelligence/en/news-insights/research/2026/05/alphabet-postq-snapshot-ai-momentum-drives-cloud-surge-capex-outlook-rises1" TargetMode="External"/><Relationship Id="rId26" Type="http://schemas.openxmlformats.org/officeDocument/2006/relationships/hyperlink" Target="https://www.fierce-network.com/cloud/google-cloud-surges-alphabets-ai-capex-problem-grows" TargetMode="External"/><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hyperlink" Target="https://stockanalysis.com/stocks/googl/" TargetMode="External"/><Relationship Id="rId31" Type="http://schemas.openxmlformats.org/officeDocument/2006/relationships/image" Target="media/image11.png"/><Relationship Id="rId32" Type="http://schemas.openxmlformats.org/officeDocument/2006/relationships/hyperlink" Target="https://www.sec.gov/Archives/edgar/data/1652044/000165204426000080/0001652044-26-000080-index.htm" TargetMode="External"/><Relationship Id="rId33" Type="http://schemas.openxmlformats.org/officeDocument/2006/relationships/hyperlink" Target="https://www.sec.gov/ix?doc=/Archives/edgar/data/1652044/000165204426000084/goog-20260930.htm" TargetMode="External"/><Relationship Id="rId34" Type="http://schemas.openxmlformats.org/officeDocument/2006/relationships/hyperlink" Target="https://www.investing.com/news/transcripts/earnings-call-transcript-alphabet-q3-2026-profit-miss-sparks-10-afterhours-drop-93CH-4981037" TargetMode="External"/><Relationship Id="rId35" Type="http://schemas.openxmlformats.org/officeDocument/2006/relationships/hyperlink" Target="https://www.investing.com/news/company-news/alphabet-q3-2026-slides-128b-revenue-overshadowed-by-profit-miss-93CH-4981067" TargetMode="External"/><Relationship Id="rId36" Type="http://schemas.openxmlformats.org/officeDocument/2006/relationships/hyperlink" Target="https://www.sec.gov/cgi-bin/browse-edgar?action=getcompany&amp;CIK=1652044&amp;type=10-Q&amp;dateb=&amp;owner=include&amp;count=10" TargetMode="External"/><Relationship Id="rId37" Type="http://schemas.openxmlformats.org/officeDocument/2006/relationships/hyperlink" Target="https://www.cnbc.com/2026/10/28/alphabet-googl-earnings-q3-2026.html" TargetMode="External"/><Relationship Id="rId38" Type="http://schemas.openxmlformats.org/officeDocument/2006/relationships/hyperlink" Target="https://stockanalysis.com/stocks/googl/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