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Cenário: Você tem uma tabela chamada “Clientes” com os campos Nome, Telefone, e Lista de Produtos Comprados (armazenando uma lista separada por vírgula)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Tarefa: Normalizar a tabela para a 1NF.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Exercício 2: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Cenário: Você tem uma tabela chamada "Pedidos" com os campos Número do Pedido, Código do Produto, Nome do Produto e Quantidade.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Tarefa: Normalize a tabela para a 2NF.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Exercício 3: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Cenário: Você tem uma tabela chamada "Livros" com os campos ISBN, Título, Editora e Nome do Autor.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Tarefa: Normalize a tabela para a 3NF.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Exercício 4: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Cenário: Você tem uma tabela chamada "Professores" com os campos Código do Professor, Disciplina, Sala e Horário.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Tarefa: Normalize a tabela para a BCNF.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Exercício 5: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Cenário: Você tem uma tabela chamada "Funcionários" com os campos Número do Funcionário, Nome, Departamento, Projeto, Localização do Projeto e Habilidades.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Tarefa: Normalize a tabela para 1NF, 2NF, 3NF e BCNF, se aplicável.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