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Andrew</w:t>
      </w:r>
      <w:r>
        <w:t xml:space="preserve"> </w:t>
      </w:r>
      <w:r>
        <w:t xml:space="preserve">Atkinson</w:t>
      </w:r>
      <w:r>
        <w:t xml:space="preserve"> </w:t>
      </w:r>
      <w:r>
        <w:t xml:space="preserve">—</w:t>
      </w:r>
      <w:r>
        <w:t xml:space="preserve"> </w:t>
      </w:r>
      <w:r>
        <w:t xml:space="preserve">CV</w:t>
      </w:r>
    </w:p>
    <w:bookmarkStart w:id="24" w:name="andrew-atkinson"/>
    <w:p>
      <w:pPr>
        <w:pStyle w:val="Heading1"/>
      </w:pPr>
      <w:r>
        <w:t xml:space="preserve">Andrew Atkinson</w:t>
      </w:r>
    </w:p>
    <w:p>
      <w:pPr>
        <w:pStyle w:val="FirstParagraph"/>
      </w:pP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blind.sam@gmail.com</w:t>
        </w:r>
      </w:hyperlink>
    </w:p>
    <w:p>
      <w:pPr>
        <w:pStyle w:val="BodyText"/>
      </w:pPr>
      <w:r>
        <w:t xml:space="preserve">Tel:</w:t>
      </w:r>
      <w:r>
        <w:t xml:space="preserve"> </w:t>
      </w:r>
      <w:hyperlink r:id="rId21">
        <w:r>
          <w:rPr>
            <w:rStyle w:val="Hyperlink"/>
          </w:rPr>
          <w:t xml:space="preserve">646 243 5179</w:t>
        </w:r>
      </w:hyperlink>
    </w:p>
    <w:p>
      <w:pPr>
        <w:pStyle w:val="BodyText"/>
      </w:pPr>
      <w:r>
        <w:t xml:space="preserve">Web:</w:t>
      </w:r>
      <w:r>
        <w:t xml:space="preserve"> </w:t>
      </w:r>
      <w:hyperlink r:id="rId22">
        <w:r>
          <w:rPr>
            <w:rStyle w:val="Hyperlink"/>
          </w:rPr>
          <w:t xml:space="preserve">andrewatkinson.net</w:t>
        </w:r>
      </w:hyperlink>
    </w:p>
    <w:p>
      <w:pPr>
        <w:pStyle w:val="BodyText"/>
      </w:pPr>
      <w:r>
        <w:t xml:space="preserve">LinkedIn:</w:t>
      </w:r>
      <w:r>
        <w:t xml:space="preserve"> </w:t>
      </w:r>
      <w:hyperlink r:id="rId23">
        <w:r>
          <w:rPr>
            <w:rStyle w:val="Hyperlink"/>
          </w:rPr>
          <w:t xml:space="preserve">LinkedIn</w:t>
        </w:r>
      </w:hyperlink>
    </w:p>
    <w:bookmarkEnd w:id="24"/>
    <w:bookmarkStart w:id="25" w:name="education"/>
    <w:p>
      <w:pPr>
        <w:pStyle w:val="Heading2"/>
      </w:pPr>
      <w:r>
        <w:t xml:space="preserve">Education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2138"/>
        <w:gridCol w:w="4356"/>
      </w:tblGrid>
      <w:tr>
        <w:trPr>
          <w:tblHeader w:val="true"/>
        </w:trPr>
        <w:tc>
          <w:tcPr>
            <w:tcBorders>
              <w:bottom w:val="single" w:sz="4" w:space="0" w:color="cccccc"/>
            </w:tcBorders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 w:sz="4" w:space="0" w:color="cccccc"/>
            </w:tcBorders>
          </w:tcPr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>
            <w:tcBorders>
              <w:bottom w:val="single" w:sz="4" w:space="0" w:color="cccccc"/>
            </w:tcBorders>
          </w:tcPr>
          <w:p>
            <w:pPr>
              <w:pStyle w:val="Compact"/>
              <w:jc w:val="left"/>
            </w:pPr>
            <w:r>
              <w:t xml:space="preserve">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Fullstack Academy, New York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2000–04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the West of England, Bristol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Ph.D. — "The creation of digital fine art print through the Woodburytype model"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1999–2000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the Arts, Philadelphia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Postgraduate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1993–96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the West of England, Bristol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 (hons) Fine Art</w:t>
            </w:r>
          </w:p>
        </w:tc>
      </w:tr>
    </w:tbl>
    <w:bookmarkEnd w:id="25"/>
    <w:bookmarkStart w:id="26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Institute for the Advancement of Philosophy for Children</w:t>
      </w:r>
      <w:r>
        <w:t xml:space="preserve"> </w:t>
      </w:r>
      <w:r>
        <w:rPr>
          <w:iCs/>
          <w:i/>
        </w:rPr>
        <w:t xml:space="preserve">2021–present</w:t>
      </w:r>
    </w:p>
    <w:p>
      <w:pPr>
        <w:pStyle w:val="BodyText"/>
      </w:pPr>
      <w:r>
        <w:t xml:space="preserve">Updated novel design for accessibility and digital access</w:t>
      </w:r>
    </w:p>
    <w:p>
      <w:pPr>
        <w:pStyle w:val="BodyText"/>
      </w:pPr>
      <w:r>
        <w:rPr>
          <w:bCs/>
          <w:b/>
        </w:rPr>
        <w:t xml:space="preserve">Montclair State University, Montclair, NJ</w:t>
      </w:r>
      <w:r>
        <w:t xml:space="preserve"> </w:t>
      </w:r>
      <w:r>
        <w:rPr>
          <w:iCs/>
          <w:i/>
        </w:rPr>
        <w:t xml:space="preserve">2004–present</w:t>
      </w:r>
    </w:p>
    <w:p>
      <w:pPr>
        <w:pStyle w:val="BodyText"/>
      </w:pPr>
      <w:r>
        <w:t xml:space="preserve">Deputy Chair, Dept. of Art and Design, September 2019 – May 2023</w:t>
      </w:r>
    </w:p>
    <w:p>
      <w:pPr>
        <w:pStyle w:val="BodyText"/>
      </w:pPr>
      <w:r>
        <w:t xml:space="preserve">Assistant Professor of Digital Photography, September 2004 – Present</w:t>
      </w:r>
    </w:p>
    <w:p>
      <w:pPr>
        <w:pStyle w:val="BodyText"/>
      </w:pPr>
      <w:r>
        <w:t xml:space="preserve">Department of Art and Design Summer Chair, Summers 2014–17, 2019–24</w:t>
      </w:r>
    </w:p>
    <w:p>
      <w:pPr>
        <w:pStyle w:val="BodyText"/>
      </w:pPr>
      <w:r>
        <w:t xml:space="preserve">Director of the MFA in Studio Arts, Sept 2009 – Jan 2017</w:t>
      </w:r>
    </w:p>
    <w:p>
      <w:pPr>
        <w:pStyle w:val="BodyText"/>
      </w:pPr>
      <w:r>
        <w:rPr>
          <w:bCs/>
          <w:b/>
        </w:rPr>
        <w:t xml:space="preserve">Passaic Public Schools Digital Art CTE Advisory Committee</w:t>
      </w:r>
      <w:r>
        <w:t xml:space="preserve"> </w:t>
      </w:r>
      <w:r>
        <w:rPr>
          <w:iCs/>
          <w:i/>
        </w:rPr>
        <w:t xml:space="preserve">2020–24</w:t>
      </w:r>
    </w:p>
    <w:p>
      <w:pPr>
        <w:pStyle w:val="BodyText"/>
      </w:pPr>
      <w:r>
        <w:t xml:space="preserve">2020–24 — Board Member, helped create partnership between MSU and the Passaic Public School, designing two school courses for equivalency at MSU.</w:t>
      </w:r>
    </w:p>
    <w:p>
      <w:pPr>
        <w:pStyle w:val="BodyText"/>
      </w:pPr>
      <w:r>
        <w:rPr>
          <w:bCs/>
          <w:b/>
        </w:rPr>
        <w:t xml:space="preserve">Vidcode — Curriculum Developer</w:t>
      </w:r>
      <w:r>
        <w:t xml:space="preserve"> </w:t>
      </w:r>
      <w:r>
        <w:rPr>
          <w:iCs/>
          <w:i/>
        </w:rPr>
        <w:t xml:space="preserve">2017–19</w:t>
      </w:r>
    </w:p>
    <w:p>
      <w:pPr>
        <w:pStyle w:val="BodyText"/>
      </w:pPr>
      <w:r>
        <w:t xml:space="preserve">Developed curriculum for introductory creative coding courses including for Girl Scouts and BrainPop</w:t>
      </w:r>
    </w:p>
    <w:p>
      <w:pPr>
        <w:pStyle w:val="BodyText"/>
      </w:pPr>
      <w:r>
        <w:rPr>
          <w:bCs/>
          <w:b/>
        </w:rPr>
        <w:t xml:space="preserve">Conference Organiser</w:t>
      </w:r>
    </w:p>
    <w:p>
      <w:pPr>
        <w:pStyle w:val="BodyText"/>
      </w:pPr>
      <w:r>
        <w:t xml:space="preserve">2023 — Ocean Memory Project, Remembering/Writing, Friday Harbor Labs, San Juan Island, University of Washington, WA</w:t>
      </w:r>
    </w:p>
    <w:p>
      <w:pPr>
        <w:pStyle w:val="BodyText"/>
      </w:pPr>
      <w:r>
        <w:t xml:space="preserve">2022 — Ocean Memory Project, Sense Submerged Workshop, Puerto Morelos, Mexico</w:t>
      </w:r>
    </w:p>
    <w:p>
      <w:pPr>
        <w:pStyle w:val="BodyText"/>
      </w:pPr>
      <w:r>
        <w:t xml:space="preserve">2009 — Society for Photographic Education, Mid-Atlantic Region Annual conference, Montclair State University, Montclair, NJ</w:t>
      </w:r>
    </w:p>
    <w:p>
      <w:pPr>
        <w:pStyle w:val="BodyText"/>
      </w:pPr>
      <w:r>
        <w:t xml:space="preserve">2008 — Society for Photographic Education, Mid-Atlantic Region Annual conference, Carnegie Mellon University, Pittsburgh, PA</w:t>
      </w:r>
    </w:p>
    <w:p>
      <w:pPr>
        <w:pStyle w:val="BodyText"/>
      </w:pPr>
      <w:r>
        <w:t xml:space="preserve">2007 — Society for Photographic Education, Mid-Atlantic Region Annual conference, Center for Photography at Woodstock, Woodstock, NY</w:t>
      </w:r>
    </w:p>
    <w:p>
      <w:pPr>
        <w:pStyle w:val="BodyText"/>
      </w:pPr>
      <w:r>
        <w:rPr>
          <w:bCs/>
          <w:b/>
        </w:rPr>
        <w:t xml:space="preserve">External Reviewer</w:t>
      </w:r>
    </w:p>
    <w:p>
      <w:pPr>
        <w:pStyle w:val="BodyText"/>
      </w:pPr>
      <w:r>
        <w:t xml:space="preserve">2012 — Whitecliffe College of Art and Design, Auckland, New Zealand</w:t>
      </w:r>
    </w:p>
    <w:p>
      <w:pPr>
        <w:pStyle w:val="BodyText"/>
      </w:pPr>
      <w:r>
        <w:rPr>
          <w:bCs/>
          <w:b/>
        </w:rPr>
        <w:t xml:space="preserve">Juror</w:t>
      </w:r>
    </w:p>
    <w:p>
      <w:pPr>
        <w:pStyle w:val="BodyText"/>
      </w:pPr>
      <w:r>
        <w:t xml:space="preserve">2008 — Photography exhibition, New Jersey Printmaking Council, Somerville, NJ</w:t>
      </w:r>
    </w:p>
    <w:bookmarkEnd w:id="26"/>
    <w:bookmarkStart w:id="31" w:name="X79915fcf50900d2f59f6816df6be60b4dd9fc2b"/>
    <w:p>
      <w:pPr>
        <w:pStyle w:val="Heading2"/>
      </w:pPr>
      <w:r>
        <w:t xml:space="preserve">Scholarship, Publications, and Related Activities</w:t>
      </w:r>
    </w:p>
    <w:bookmarkStart w:id="28" w:name="bibliography"/>
    <w:p>
      <w:pPr>
        <w:pStyle w:val="Heading3"/>
      </w:pPr>
      <w:r>
        <w:t xml:space="preserve">Bibliography</w:t>
      </w:r>
    </w:p>
    <w:p>
      <w:pPr>
        <w:pStyle w:val="FirstParagraph"/>
      </w:pPr>
      <w:r>
        <w:t xml:space="preserve">2025 —</w:t>
      </w:r>
      <w:r>
        <w:t xml:space="preserve"> </w:t>
      </w:r>
      <w:r>
        <w:t xml:space="preserve">Jody W. Deming;</w:t>
      </w:r>
      <w:r>
        <w:t xml:space="preserve"> </w:t>
      </w:r>
      <w:hyperlink r:id="rId27">
        <w:r>
          <w:rPr>
            <w:rStyle w:val="Hyperlink"/>
          </w:rPr>
          <w:t xml:space="preserve">Ocean Memory: Unimagined Perspectives. Leonardo 2025; 58 (1): 105–110.</w:t>
        </w:r>
      </w:hyperlink>
    </w:p>
    <w:p>
      <w:pPr>
        <w:pStyle w:val="BodyText"/>
      </w:pPr>
      <w:r>
        <w:t xml:space="preserve">2017 —</w:t>
      </w:r>
      <w:r>
        <w:t xml:space="preserve"> </w:t>
      </w:r>
      <w:r>
        <w:t xml:space="preserve">Zona Imaginaria, Buenos Aires</w:t>
      </w:r>
    </w:p>
    <w:p>
      <w:pPr>
        <w:pStyle w:val="BodyText"/>
      </w:pPr>
      <w:r>
        <w:t xml:space="preserve">2010 —</w:t>
      </w:r>
      <w:r>
        <w:t xml:space="preserve"> </w:t>
      </w:r>
      <w:r>
        <w:t xml:space="preserve">La Voz del Interior, 19th, 20th and 21st of July 2010; Revista Ohlala, August 2010</w:t>
      </w:r>
    </w:p>
    <w:p>
      <w:pPr>
        <w:pStyle w:val="BodyText"/>
      </w:pPr>
      <w:r>
        <w:t xml:space="preserve">2009 —</w:t>
      </w:r>
      <w:r>
        <w:t xml:space="preserve"> </w:t>
      </w:r>
      <w:r>
        <w:t xml:space="preserve">30 Years of the Sol Mednick Gallery</w:t>
      </w:r>
    </w:p>
    <w:p>
      <w:pPr>
        <w:pStyle w:val="BodyText"/>
      </w:pPr>
      <w:r>
        <w:t xml:space="preserve">2008 —</w:t>
      </w:r>
      <w:r>
        <w:t xml:space="preserve"> </w:t>
      </w:r>
      <w:r>
        <w:t xml:space="preserve">Fotografi Emergenti catalogue</w:t>
      </w:r>
    </w:p>
    <w:p>
      <w:pPr>
        <w:pStyle w:val="BodyText"/>
      </w:pPr>
      <w:r>
        <w:t xml:space="preserve">2007 —</w:t>
      </w:r>
      <w:r>
        <w:t xml:space="preserve"> </w:t>
      </w:r>
      <w:r>
        <w:t xml:space="preserve">Gyeongnam International Art Festival catalogue</w:t>
      </w:r>
    </w:p>
    <w:p>
      <w:pPr>
        <w:pStyle w:val="BodyText"/>
      </w:pPr>
      <w:r>
        <w:t xml:space="preserve">2004 —</w:t>
      </w:r>
      <w:r>
        <w:t xml:space="preserve"> </w:t>
      </w:r>
      <w:r>
        <w:t xml:space="preserve">In Exile: 13th Tallinn print triennial catalogue; New Directions in Printmaking catalogue</w:t>
      </w:r>
    </w:p>
    <w:p>
      <w:pPr>
        <w:pStyle w:val="BodyText"/>
      </w:pPr>
      <w:r>
        <w:t xml:space="preserve">2003 —</w:t>
      </w:r>
      <w:r>
        <w:t xml:space="preserve"> </w:t>
      </w:r>
      <w:r>
        <w:t xml:space="preserve">Gravat.olot, CD-ROM Catalogue, Spain; International Print Biennial catalogue, Bulgaria; Beijing International Print Biennial catalogue</w:t>
      </w:r>
    </w:p>
    <w:p>
      <w:pPr>
        <w:pStyle w:val="BodyText"/>
      </w:pPr>
      <w:r>
        <w:t xml:space="preserve">2002 —</w:t>
      </w:r>
      <w:r>
        <w:t xml:space="preserve"> </w:t>
      </w:r>
      <w:r>
        <w:t xml:space="preserve">'The history book that never was' review,</w:t>
      </w:r>
      <w:r>
        <w:t xml:space="preserve"> </w:t>
      </w:r>
      <w:r>
        <w:rPr>
          <w:iCs/>
          <w:i/>
        </w:rPr>
        <w:t xml:space="preserve">The Art Book</w:t>
      </w:r>
      <w:r>
        <w:t xml:space="preserve">, Sept.; 20:20, 20 artists using photomechanical processes, CD-ROM, Impact Press; Artists' Book Yearbook review,</w:t>
      </w:r>
      <w:r>
        <w:t xml:space="preserve"> </w:t>
      </w:r>
      <w:r>
        <w:rPr>
          <w:iCs/>
          <w:i/>
        </w:rPr>
        <w:t xml:space="preserve">The Art Book</w:t>
      </w:r>
    </w:p>
    <w:p>
      <w:pPr>
        <w:pStyle w:val="BodyText"/>
      </w:pPr>
      <w:r>
        <w:t xml:space="preserve">2001 —</w:t>
      </w:r>
      <w:r>
        <w:t xml:space="preserve"> </w:t>
      </w:r>
      <w:r>
        <w:t xml:space="preserve">Artists' Book Yearbook, Ed. Sarah Bodman. Impact Press;</w:t>
      </w:r>
      <w:r>
        <w:t xml:space="preserve"> </w:t>
      </w:r>
      <w:r>
        <w:rPr>
          <w:iCs/>
          <w:i/>
        </w:rPr>
        <w:t xml:space="preserve">Ceramics and Print</w:t>
      </w:r>
      <w:r>
        <w:t xml:space="preserve">, Paul Scott, A&amp;C Black; Mutating Image: 12th Tallinn print triennial catalogue; A Tale of Two Cities, Ed. Sarah Bodman. Impact Press</w:t>
      </w:r>
    </w:p>
    <w:p>
      <w:pPr>
        <w:pStyle w:val="BodyText"/>
      </w:pPr>
      <w:r>
        <w:t xml:space="preserve">2000 —</w:t>
      </w:r>
      <w:r>
        <w:t xml:space="preserve"> </w:t>
      </w:r>
      <w:r>
        <w:t xml:space="preserve">Photomechanical Print Survey, Ed. Carinna Parraman, Impact Press; World Etching, Chongqing Print Festival</w:t>
      </w:r>
    </w:p>
    <w:p>
      <w:pPr>
        <w:pStyle w:val="BodyText"/>
      </w:pPr>
      <w:r>
        <w:t xml:space="preserve">1999 —</w:t>
      </w:r>
      <w:r>
        <w:t xml:space="preserve"> </w:t>
      </w:r>
      <w:r>
        <w:t xml:space="preserve">Artists' Newsletter, Sarah Bodman; Artists' Books, Ed. Sarah Bodman. Impact Press</w:t>
      </w:r>
    </w:p>
    <w:bookmarkEnd w:id="28"/>
    <w:bookmarkStart w:id="29" w:name="writer"/>
    <w:p>
      <w:pPr>
        <w:pStyle w:val="Heading3"/>
      </w:pPr>
      <w:r>
        <w:t xml:space="preserve">Writer</w:t>
      </w:r>
    </w:p>
    <w:p>
      <w:pPr>
        <w:pStyle w:val="FirstParagraph"/>
      </w:pPr>
      <w:r>
        <w:t xml:space="preserve">AfterImage, 2008–2009</w:t>
      </w:r>
    </w:p>
    <w:p>
      <w:pPr>
        <w:pStyle w:val="BodyText"/>
      </w:pPr>
      <w:r>
        <w:t xml:space="preserve">Architect's Newspaper, November 2005–2010</w:t>
      </w:r>
    </w:p>
    <w:bookmarkEnd w:id="29"/>
    <w:bookmarkStart w:id="30" w:name="curator"/>
    <w:p>
      <w:pPr>
        <w:pStyle w:val="Heading3"/>
      </w:pPr>
      <w:r>
        <w:t xml:space="preserve">Curator</w:t>
      </w:r>
    </w:p>
    <w:p>
      <w:pPr>
        <w:pStyle w:val="FirstParagraph"/>
      </w:pPr>
      <w:r>
        <w:t xml:space="preserve">2008–2010 —</w:t>
      </w:r>
      <w:r>
        <w:t xml:space="preserve"> </w:t>
      </w:r>
      <w:r>
        <w:t xml:space="preserve">Emerging Photographers, Palezzetto Eucherio Sanvitale, Parma, Italy (traveled to Philadelphia, 2009; Cordoba, 2010)</w:t>
      </w:r>
    </w:p>
    <w:p>
      <w:pPr>
        <w:pStyle w:val="BodyText"/>
      </w:pPr>
      <w:r>
        <w:t xml:space="preserve">2009 —</w:t>
      </w:r>
      <w:r>
        <w:t xml:space="preserve"> </w:t>
      </w:r>
      <w:r>
        <w:t xml:space="preserve">The End Days of Print: Raffone in Naples, EI institute, Columbia University</w:t>
      </w:r>
    </w:p>
    <w:p>
      <w:pPr>
        <w:pStyle w:val="BodyText"/>
      </w:pPr>
      <w:r>
        <w:t xml:space="preserve">2008 —</w:t>
      </w:r>
      <w:r>
        <w:t xml:space="preserve"> </w:t>
      </w:r>
      <w:r>
        <w:t xml:space="preserve">Co-curator, Italian Sense of Place II: Luigi Ghirri, Franco Guerzoni, and Nancy Goldring, George Segal Gallery, MSU, Montclair</w:t>
      </w:r>
    </w:p>
    <w:p>
      <w:pPr>
        <w:pStyle w:val="BodyText"/>
      </w:pPr>
      <w:r>
        <w:t xml:space="preserve">2008 —</w:t>
      </w:r>
      <w:r>
        <w:t xml:space="preserve"> </w:t>
      </w:r>
      <w:r>
        <w:t xml:space="preserve">Co-curator, Italian Sense of Place I: Giuseppe Morandi, Micio, and Angelo Novi, George Segal Gallery, MSU, Montclair</w:t>
      </w:r>
    </w:p>
    <w:p>
      <w:pPr>
        <w:pStyle w:val="BodyText"/>
      </w:pPr>
      <w:r>
        <w:t xml:space="preserve">2007 —</w:t>
      </w:r>
      <w:r>
        <w:t xml:space="preserve"> </w:t>
      </w:r>
      <w:r>
        <w:t xml:space="preserve">MSU Alumni Show, P.P.O.W Gallery, New York, NY</w:t>
      </w:r>
    </w:p>
    <w:bookmarkEnd w:id="30"/>
    <w:bookmarkEnd w:id="31"/>
    <w:p>
      <w:pPr>
        <w:pStyle w:val="BodyText"/>
      </w:pPr>
      <w:r>
        <w:t xml:space="preserve">updated: 8 May 2026</w:t>
      </w:r>
    </w:p>
    <w:sectPr>
      <w:pgMar w:bottom="1440" w:left="1417" w:right="1417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rFonts w:ascii="Calibri" w:cs="Calibri" w:hAnsi="Calibri"/>
    <w:name w:val="Normal"/>
    <w:qFormat/>
    <w:pPr>
      <w:spacing w:after="60" w:before="0" w:line="336" w:lineRule="auto"/>
      <w:widowControl w:val="0"/>
      <w:pageBreakBefore w:val="0"/>
    </w:pPr>
    <w:rPr>
      <w:rFonts w:ascii="Calibri" w:hAnsi="Calibri"/>
      <w:b w:val="0"/>
      <w:color w:val="444444"/>
      <w:sz w:val="20"/>
    </w:rPr>
  </w:style>
  <w:style w:styleId="BodyText" w:type="paragraph">
    <w:rFonts w:ascii="Calibri" w:cs="Calibri" w:hAnsi="Calibri"/>
    <w:name w:val="Body Text"/>
    <w:basedOn w:val="Normal"/>
    <w:link w:val="BodyTextChar"/>
    <w:pPr>
      <w:spacing w:after="60" w:before="0" w:line="336" w:lineRule="auto"/>
      <w:widowControl w:val="0"/>
      <w:pageBreakBefore w:val="0"/>
    </w:pPr>
    <w:qFormat/>
    <w:rPr>
      <w:rFonts w:ascii="Calibri" w:hAnsi="Calibri"/>
      <w:b w:val="0"/>
      <w:color w:val="444444"/>
      <w:sz w:val="20"/>
    </w:rPr>
  </w:style>
  <w:style w:customStyle="1" w:styleId="FirstParagraph" w:type="paragraph">
    <w:rFonts w:ascii="Calibri" w:cs="Calibri" w:hAnsi="Calibri"/>
    <w:name w:val="First Paragraph"/>
    <w:basedOn w:val="BodyText"/>
    <w:next w:val="BodyText"/>
    <w:qFormat/>
    <w:pPr>
      <w:spacing w:after="60" w:before="0" w:line="336" w:lineRule="auto"/>
      <w:widowControl w:val="0"/>
      <w:pageBreakBefore w:val="0"/>
    </w:pPr>
    <w:rPr>
      <w:rFonts w:ascii="Calibri" w:hAnsi="Calibri"/>
      <w:b w:val="0"/>
      <w:color w:val="444444"/>
      <w:sz w:val="20"/>
    </w:rPr>
  </w:style>
  <w:style w:customStyle="1" w:styleId="Compact" w:type="paragraph">
    <w:rFonts w:ascii="Calibri" w:cs="Calibri" w:hAnsi="Calibri"/>
    <w:name w:val="Compact"/>
    <w:basedOn w:val="BodyText"/>
    <w:qFormat/>
    <w:pPr>
      <w:spacing w:after="60" w:before="0" w:line="336" w:lineRule="auto"/>
      <w:widowControl w:val="0"/>
      <w:pageBreakBefore w:val="0"/>
    </w:pPr>
    <w:rPr>
      <w:rFonts w:ascii="Calibri" w:hAnsi="Calibri"/>
      <w:b w:val="0"/>
      <w:color w:val="444444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312" w:lineRule="auto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rFonts w:ascii="Georgia" w:cs="Georgia" w:hAnsi="Georgia"/>
    <w:name w:val="Heading 1"/>
    <w:basedOn w:val="Normal"/>
    <w:next w:val="BodyText"/>
    <w:uiPriority w:val="9"/>
    <w:qFormat/>
    <w:pPr>
      <w:keepNext w:val="1"/>
      <w:keepLines/>
      <w:spacing w:after="160" w:before="0" w:line="264" w:lineRule="auto"/>
      <w:outlineLvl w:val="0"/>
      <w:widowControl w:val="0"/>
      <w:pageBreakBefore w:val="0"/>
    </w:pPr>
    <w:rPr>
      <w:rFonts w:ascii="Georgia" w:asciiTheme="majorHAnsi" w:cstheme="majorBidi" w:eastAsiaTheme="majorEastAsia" w:hAnsi="Georgia" w:hAnsiTheme="majorHAnsi"/>
      <w:b w:val="0"/>
      <w:bCs/>
      <w:i w:val="0"/>
      <w:caps w:val="0"/>
      <w:color w:val="1A1A1A"/>
      <w:sz w:val="44"/>
      <w:szCs w:val="32"/>
    </w:rPr>
  </w:style>
  <w:style w:styleId="Heading2" w:type="paragraph">
    <w:rFonts w:ascii="Calibri" w:cs="Calibri" w:hAnsi="Calibri"/>
    <w:name w:val="Heading 2"/>
    <w:basedOn w:val="Normal"/>
    <w:next w:val="BodyText"/>
    <w:uiPriority w:val="9"/>
    <w:unhideWhenUsed/>
    <w:qFormat/>
    <w:pPr>
      <w:keepNext w:val="1"/>
      <w:keepLines/>
      <w:spacing w:after="80" w:before="280" w:line="240" w:lineRule="auto"/>
      <w:outlineLvl w:val="1"/>
      <w:pBdr>
        <w:top w:color="cccccc" w:space="4" w:sz="4" w:val="single"/>
      </w:pBdr>
      <w:widowControl w:val="0"/>
      <w:pageBreakBefore w:val="0"/>
    </w:pPr>
    <w:rPr>
      <w:rFonts w:ascii="Calibri" w:asciiTheme="majorHAnsi" w:cstheme="majorBidi" w:eastAsiaTheme="majorEastAsia" w:hAnsi="Calibri" w:hAnsiTheme="majorHAnsi"/>
      <w:b w:val="0"/>
      <w:bCs/>
      <w:i w:val="0"/>
      <w:caps/>
      <w:color w:val="999999"/>
      <w:sz w:val="24"/>
      <w:szCs w:val="28"/>
    </w:rPr>
  </w:style>
  <w:style w:styleId="Heading3" w:type="paragraph">
    <w:rFonts w:ascii="Calibri" w:cs="Calibri" w:hAnsi="Calibri"/>
    <w:name w:val="Heading 3"/>
    <w:basedOn w:val="Normal"/>
    <w:next w:val="BodyText"/>
    <w:uiPriority w:val="9"/>
    <w:unhideWhenUsed/>
    <w:qFormat/>
    <w:pPr>
      <w:keepNext w:val="1"/>
      <w:keepLines/>
      <w:spacing w:after="60" w:before="200" w:line="240" w:lineRule="auto"/>
      <w:outlineLvl w:val="2"/>
      <w:widowControl w:val="0"/>
      <w:pageBreakBefore w:val="0"/>
    </w:pPr>
    <w:rPr>
      <w:rFonts w:ascii="Calibri" w:asciiTheme="majorHAnsi" w:cstheme="majorBidi" w:eastAsiaTheme="majorEastAsia" w:hAnsi="Calibri" w:hAnsiTheme="majorHAnsi"/>
      <w:b w:val="0"/>
      <w:bCs/>
      <w:i w:val="0"/>
      <w:caps/>
      <w:color w:val="999999"/>
      <w:sz w:val="21"/>
      <w:szCs w:val="24"/>
    </w:rPr>
  </w:style>
  <w:style w:styleId="Heading4" w:type="paragraph">
    <w:rFonts w:ascii="Calibri" w:cs="Calibri" w:hAnsi="Calibri"/>
    <w:name w:val="Heading 4"/>
    <w:basedOn w:val="Normal"/>
    <w:next w:val="BodyText"/>
    <w:uiPriority w:val="9"/>
    <w:unhideWhenUsed/>
    <w:qFormat/>
    <w:pPr>
      <w:keepNext w:val="1"/>
      <w:keepLines/>
      <w:spacing w:after="20" w:before="120" w:line="312" w:lineRule="auto"/>
      <w:outlineLvl w:val="3"/>
      <w:widowControl w:val="0"/>
      <w:pageBreakBefore w:val="0"/>
    </w:pPr>
    <w:rPr>
      <w:rFonts w:ascii="Calibri" w:asciiTheme="majorHAnsi" w:cstheme="majorBidi" w:eastAsiaTheme="majorEastAsia" w:hAnsi="Calibri" w:hAnsiTheme="majorHAnsi"/>
      <w:i w:val="0"/>
      <w:b/>
      <w:bCs/>
      <w:caps w:val="0"/>
      <w:color w:val="1A1A1A"/>
      <w:sz w:val="2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555555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hyperlink" Target="http://www.andrewatkinson.net" TargetMode="External"/><Relationship Id="rId27" Type="http://schemas.openxmlformats.org/officeDocument/2006/relationships/hyperlink" Target="https://doi.org/10.1162/leon_a_02644" TargetMode="External"/><Relationship Id="rId23" Type="http://schemas.openxmlformats.org/officeDocument/2006/relationships/hyperlink" Target="https://www.linkedin.com/in/andrewpeteratkinson/" TargetMode="External"/><Relationship Id="rId20" Type="http://schemas.openxmlformats.org/officeDocument/2006/relationships/hyperlink" Target="mailto:blind.sam@gmail.com" TargetMode="External"/><Relationship Id="rId21" Type="http://schemas.openxmlformats.org/officeDocument/2006/relationships/hyperlink" Target="tel:6462435179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://www.andrewatkinson.net" TargetMode="External"/><Relationship Id="rId27" Type="http://schemas.openxmlformats.org/officeDocument/2006/relationships/hyperlink" Target="https://doi.org/10.1162/leon_a_02644" TargetMode="External"/><Relationship Id="rId23" Type="http://schemas.openxmlformats.org/officeDocument/2006/relationships/hyperlink" Target="https://www.linkedin.com/in/andrewpeteratkinson/" TargetMode="External"/><Relationship Id="rId20" Type="http://schemas.openxmlformats.org/officeDocument/2006/relationships/hyperlink" Target="mailto:blind.sam@gmail.com" TargetMode="External"/><Relationship Id="rId21" Type="http://schemas.openxmlformats.org/officeDocument/2006/relationships/hyperlink" Target="tel:64624351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Andrew Atkinson — CV</dc:title>
  <dc:creator/>
  <dc:language>en</dc:language>
  <cp:keywords/>
  <dcterms:created xsi:type="dcterms:W3CDTF">2026-05-08T22:47:18Z</dcterms:created>
  <dcterms:modified xsi:type="dcterms:W3CDTF">2026-05-08T22:47:18Z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