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rPr>
          <w:bCs/>
          <w:b/>
        </w:rPr>
        <w:t xml:space="preserve">Montclair State University, Montclair, NJ</w:t>
      </w:r>
      <w:r>
        <w:t xml:space="preserve"> </w:t>
      </w:r>
      <w:r>
        <w:t xml:space="preserve">—</w:t>
      </w:r>
      <w:r>
        <w:t xml:space="preserve"> </w:t>
      </w:r>
      <w:r>
        <w:rPr>
          <w:iCs/>
          <w:i/>
        </w:rPr>
        <w:t xml:space="preserve">2004–present</w:t>
      </w:r>
    </w:p>
    <w:p>
      <w:pPr>
        <w:pStyle w:val="BodyText"/>
      </w:pPr>
      <w:r>
        <w:t xml:space="preserve">Deputy Chair, Dept. of Art and Design, September 2019 – May 2023</w:t>
      </w:r>
    </w:p>
    <w:p>
      <w:pPr>
        <w:pStyle w:val="BodyText"/>
      </w:pPr>
      <w:r>
        <w:t xml:space="preserve">Assistant Professor of Digital Photography, September 2004 – Present</w:t>
      </w:r>
    </w:p>
    <w:p>
      <w:pPr>
        <w:pStyle w:val="BodyText"/>
      </w:pPr>
      <w:r>
        <w:t xml:space="preserve">Department of Art and Design Summer Chair, Summers 2014–17, 2019–24</w:t>
      </w:r>
    </w:p>
    <w:p>
      <w:pPr>
        <w:pStyle w:val="BodyText"/>
      </w:pPr>
      <w:r>
        <w:t xml:space="preserve">Director of the MFA in Studio Arts, Sept 2009 – Jan 2017</w:t>
      </w:r>
    </w:p>
    <w:p>
      <w:pPr>
        <w:pStyle w:val="BodyText"/>
      </w:pPr>
      <w:r>
        <w:rPr>
          <w:bCs/>
          <w:b/>
        </w:rPr>
        <w:t xml:space="preserve">Vidcode — Curriculum Developer</w:t>
      </w:r>
      <w:r>
        <w:t xml:space="preserve"> </w:t>
      </w:r>
      <w:r>
        <w:t xml:space="preserve">—</w:t>
      </w:r>
      <w:r>
        <w:t xml:space="preserve"> </w:t>
      </w:r>
      <w:r>
        <w:rPr>
          <w:iCs/>
          <w:i/>
        </w:rPr>
        <w:t xml:space="preserve">2017–2019</w:t>
      </w:r>
    </w:p>
    <w:p>
      <w:pPr>
        <w:pStyle w:val="BodyText"/>
      </w:pPr>
      <w:r>
        <w:t xml:space="preserve">Developed curriculum for introductory creative coding courses including for Girl Scouts and BrainPop</w:t>
      </w:r>
    </w:p>
    <w:p>
      <w:pPr>
        <w:pStyle w:val="BodyText"/>
      </w:pPr>
      <w:r>
        <w:rPr>
          <w:bCs/>
          <w:b/>
        </w:rPr>
        <w:t xml:space="preserve">Institute for the Advancement of Philosophy for Children</w:t>
      </w:r>
      <w:r>
        <w:t xml:space="preserve"> </w:t>
      </w:r>
      <w:r>
        <w:t xml:space="preserve">—</w:t>
      </w:r>
      <w:r>
        <w:t xml:space="preserve"> </w:t>
      </w:r>
      <w:r>
        <w:rPr>
          <w:iCs/>
          <w:i/>
        </w:rPr>
        <w:t xml:space="preserve">2021–present</w:t>
      </w:r>
    </w:p>
    <w:p>
      <w:pPr>
        <w:pStyle w:val="BodyTex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Course</w:t>
            </w:r>
          </w:p>
        </w:tc>
        <w:tc>
          <w:tcPr>
            <w:tcBorders>
              <w:bottom w:val="single" w:sz="4" w:space="0" w:color="cccccc"/>
            </w:tcBorders>
          </w:tcPr>
          <w:p>
            <w:pPr>
              <w:pStyle w:val="Compact"/>
              <w:jc w:val="left"/>
            </w:pPr>
            <w:r>
              <w:t xml:space="preserve">Title</w:t>
            </w:r>
          </w:p>
        </w:tc>
      </w:tr>
      <w:tr>
        <w:tc>
          <w:tcPr/>
          <w:p>
            <w:pPr>
              <w:pStyle w:val="Compact"/>
              <w:jc w:val="left"/>
            </w:pPr>
            <w:r>
              <w:t xml:space="preserve">2004–23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Course</w:t>
            </w:r>
          </w:p>
        </w:tc>
        <w:tc>
          <w:tcPr>
            <w:tcBorders>
              <w:bottom w:val="single" w:sz="4" w:space="0" w:color="cccccc"/>
            </w:tcBorders>
          </w:tcPr>
          <w:p>
            <w:pPr>
              <w:pStyle w:val="Compact"/>
              <w:jc w:val="left"/>
            </w:pPr>
            <w:r>
              <w:t xml:space="preserve">Title</w:t>
            </w:r>
          </w:p>
        </w:tc>
      </w:tr>
      <w:tr>
        <w:tc>
          <w:tcPr/>
          <w:p>
            <w:pPr>
              <w:pStyle w:val="Compact"/>
              <w:jc w:val="left"/>
            </w:pPr>
            <w:r>
              <w:t xml:space="preserve">2005–17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Course</w:t>
            </w:r>
          </w:p>
        </w:tc>
        <w:tc>
          <w:tcPr>
            <w:tcBorders>
              <w:bottom w:val="single" w:sz="4" w:space="0" w:color="cccccc"/>
            </w:tcBorders>
          </w:tcPr>
          <w:p>
            <w:pPr>
              <w:pStyle w:val="Compact"/>
              <w:jc w:val="left"/>
            </w:pPr>
            <w:r>
              <w:t xml:space="preserve">Title</w:t>
            </w:r>
          </w:p>
        </w:tc>
      </w:tr>
      <w:tr>
        <w:tc>
          <w:tcPr/>
          <w:p>
            <w:pPr>
              <w:pStyle w:val="Compact"/>
              <w:jc w:val="left"/>
            </w:pPr>
            <w:r>
              <w:t xml:space="preserve">2019–23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Course</w:t>
            </w:r>
          </w:p>
        </w:tc>
        <w:tc>
          <w:tcPr>
            <w:tcBorders>
              <w:bottom w:val="single" w:sz="4" w:space="0" w:color="cccccc"/>
            </w:tcBorders>
          </w:tcPr>
          <w:p>
            <w:pPr>
              <w:pStyle w:val="Compact"/>
              <w:jc w:val="left"/>
            </w:pPr>
            <w:r>
              <w:t xml:space="preserve">Title</w:t>
            </w:r>
          </w:p>
        </w:tc>
      </w:tr>
      <w:tr>
        <w:tc>
          <w:tcPr/>
          <w:p>
            <w:pPr>
              <w:pStyle w:val="Compact"/>
              <w:jc w:val="left"/>
            </w:pPr>
            <w:r>
              <w:t xml:space="preserve">2017–19, '22–23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rPr>
          <w:bCs/>
          <w:b/>
        </w:rP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rPr>
          <w:bCs/>
          <w:b/>
        </w:rPr>
        <w:t xml:space="preserve">DPAC/Search Committees</w:t>
      </w:r>
    </w:p>
    <w:p>
      <w:pPr>
        <w:pStyle w:val="BodyText"/>
      </w:pPr>
      <w:r>
        <w:t xml:space="preserve">Interviewed and hired new faculty and staff, reviewed current appointments for reappointment and tenure.</w:t>
      </w:r>
    </w:p>
    <w:p>
      <w:pPr>
        <w:pStyle w:val="BodyText"/>
      </w:pPr>
      <w:r>
        <w:rPr>
          <w:bCs/>
          <w:b/>
        </w:rP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rPr>
          <w:bCs/>
          <w:b/>
        </w:rPr>
        <w:t xml:space="preserve">Convocation Committee</w:t>
      </w:r>
    </w:p>
    <w:p>
      <w:pPr>
        <w:pStyle w:val="BodyText"/>
      </w:pPr>
      <w:r>
        <w:t xml:space="preserve">Organised College of the Arts convocations.</w:t>
      </w:r>
    </w:p>
    <w:p>
      <w:pPr>
        <w:pStyle w:val="BodyText"/>
      </w:pPr>
      <w:r>
        <w:rPr>
          <w:bCs/>
          <w:b/>
        </w:rPr>
        <w:t xml:space="preserve">Scholarship Committees</w:t>
      </w:r>
    </w:p>
    <w:p>
      <w:pPr>
        <w:pStyle w:val="BodyText"/>
      </w:pPr>
      <w:r>
        <w:t xml:space="preserve">CART Advisory Board member and Department Scholarship Committee, reviewed student portfolios, promoted scholarships.</w:t>
      </w:r>
    </w:p>
    <w:p>
      <w:pPr>
        <w:pStyle w:val="BodyText"/>
      </w:pPr>
      <w:r>
        <w:rPr>
          <w:bCs/>
          <w:b/>
        </w:rP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rPr>
          <w:bCs/>
          <w:b/>
        </w:rP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rPr>
          <w:bCs/>
          <w:b/>
        </w:rPr>
        <w:t xml:space="preserve">Passaic Public Schools Digital Art CTE Advisory Committee</w:t>
      </w:r>
    </w:p>
    <w:p>
      <w:pPr>
        <w:pStyle w:val="BodyText"/>
      </w:pPr>
      <w:r>
        <w:t xml:space="preserve">2020–24 — Board Member, helped create partnership between MSU and the Passaic Public School, designing two school courses for equivalency at MSU.</w:t>
      </w:r>
    </w:p>
    <w:p>
      <w:pPr>
        <w:pStyle w:val="BodyText"/>
      </w:pPr>
      <w:r>
        <w:rPr>
          <w:bCs/>
          <w:b/>
        </w:rPr>
        <w:t xml:space="preserve">Conference Organiser</w:t>
      </w:r>
    </w:p>
    <w:p>
      <w:pPr>
        <w:pStyle w:val="BodyText"/>
      </w:pPr>
      <w:r>
        <w:t xml:space="preserve">2023 —</w:t>
      </w:r>
      <w:r>
        <w:t xml:space="preserve"> </w:t>
      </w:r>
      <w:r>
        <w:t xml:space="preserve">Ocean Memory Project, Remembering/Writing, Friday Harbor Labs, San Juan Island, University of Washington, WA</w:t>
      </w:r>
    </w:p>
    <w:p>
      <w:pPr>
        <w:pStyle w:val="BodyText"/>
      </w:pPr>
      <w:r>
        <w:t xml:space="preserve">2022 —</w:t>
      </w:r>
      <w:r>
        <w:t xml:space="preserve"> </w:t>
      </w:r>
      <w:r>
        <w:t xml:space="preserve">Ocean Memory Project, Sense Submerged Workshop, Puerto Morelos, Mexico</w:t>
      </w:r>
    </w:p>
    <w:p>
      <w:pPr>
        <w:pStyle w:val="BodyText"/>
      </w:pPr>
      <w:r>
        <w:t xml:space="preserve">2009 —</w:t>
      </w:r>
      <w:r>
        <w:t xml:space="preserve"> </w:t>
      </w:r>
      <w:r>
        <w:t xml:space="preserve">Society for Photographic Education, Mid-Atlantic Region Annual conference, Montclair State University, Montclair, NJ</w:t>
      </w:r>
    </w:p>
    <w:p>
      <w:pPr>
        <w:pStyle w:val="BodyText"/>
      </w:pPr>
      <w:r>
        <w:t xml:space="preserve">2008 —</w:t>
      </w:r>
      <w:r>
        <w:t xml:space="preserve"> </w:t>
      </w:r>
      <w:r>
        <w:t xml:space="preserve">Society for Photographic Education, Mid-Atlantic Region Annual conference, Carnegie Mellon University, Pittsburgh, PA</w:t>
      </w:r>
    </w:p>
    <w:p>
      <w:pPr>
        <w:pStyle w:val="BodyText"/>
      </w:pPr>
      <w:r>
        <w:t xml:space="preserve">2007 —</w:t>
      </w:r>
      <w:r>
        <w:t xml:space="preserve"> </w:t>
      </w:r>
      <w:r>
        <w:t xml:space="preserve">Society for Photographic Education, Mid-Atlantic Region Annual conference, Center for Photography at Woodstock, Woodstock, NY</w:t>
      </w:r>
    </w:p>
    <w:p>
      <w:pPr>
        <w:pStyle w:val="BodyText"/>
      </w:pPr>
      <w:r>
        <w:rPr>
          <w:bCs/>
          <w:b/>
        </w:rPr>
        <w:t xml:space="preserve">External Reviewer</w:t>
      </w:r>
    </w:p>
    <w:p>
      <w:pPr>
        <w:pStyle w:val="BodyText"/>
      </w:pPr>
      <w:r>
        <w:t xml:space="preserve">2012 —</w:t>
      </w:r>
      <w:r>
        <w:t xml:space="preserve"> </w:t>
      </w:r>
      <w:r>
        <w:t xml:space="preserve">Whitecliffe College of Art and Design, Auckland, New Zealand</w:t>
      </w:r>
    </w:p>
    <w:p>
      <w:pPr>
        <w:pStyle w:val="BodyText"/>
      </w:pPr>
      <w:r>
        <w:rPr>
          <w:bCs/>
          <w:b/>
        </w:rPr>
        <w:t xml:space="preserve">Juror</w:t>
      </w:r>
    </w:p>
    <w:p>
      <w:pPr>
        <w:pStyle w:val="BodyText"/>
      </w:pPr>
      <w:r>
        <w:t xml:space="preserve">2008 —</w:t>
      </w:r>
      <w:r>
        <w:t xml:space="preserve"> </w:t>
      </w:r>
      <w:r>
        <w:t xml:space="preserve">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pStyle w:val="FirstParagraph"/>
      </w:pPr>
      <w:r>
        <w:t xml:space="preserve">2025 —</w:t>
      </w:r>
      <w:r>
        <w:t xml:space="preserve"> </w:t>
      </w:r>
      <w:r>
        <w:t xml:space="preserve">Jody W. Deming;</w:t>
      </w:r>
      <w:r>
        <w:t xml:space="preserve"> </w:t>
      </w:r>
      <w:hyperlink r:id="rId35">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pStyle w:val="FirstParagraph"/>
      </w:pPr>
      <w:r>
        <w:t xml:space="preserve">AfterImage, 2008–2009</w:t>
      </w:r>
    </w:p>
    <w:p>
      <w:pPr>
        <w:pStyle w:val="BodyText"/>
      </w:pPr>
      <w:r>
        <w:t xml:space="preserve">Architect's Newspaper, November 2005–2010</w:t>
      </w:r>
    </w:p>
    <w:bookmarkEnd w:id="37"/>
    <w:bookmarkStart w:id="38" w:name="curator"/>
    <w:p>
      <w:pPr>
        <w:pStyle w:val="Heading3"/>
      </w:pPr>
      <w:r>
        <w:t xml:space="preserve">Curator</w:t>
      </w:r>
    </w:p>
    <w:p>
      <w:pPr>
        <w:pStyle w:val="FirstParagraph"/>
      </w:pPr>
      <w:r>
        <w:t xml:space="preserve">2008–10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pStyle w:val="FirstParagraph"/>
      </w:pPr>
      <w:r>
        <w:t xml:space="preserve">2022 —</w:t>
      </w:r>
      <w:r>
        <w:t xml:space="preserve"> </w:t>
      </w:r>
      <w:hyperlink r:id="rId40">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pStyle w:val="BodyText"/>
      </w:pPr>
      <w:r>
        <w:t xml:space="preserve">2005 —</w:t>
      </w:r>
      <w:r>
        <w:t xml:space="preserve"> </w:t>
      </w:r>
      <w:r>
        <w:t xml:space="preserve">'Interstitial Languages: photography and printmaking,'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paper for CADE 2003, Hull, UK</w:t>
      </w:r>
    </w:p>
    <w:p>
      <w:pPr>
        <w:pStyle w:val="BodyText"/>
      </w:pPr>
      <w:r>
        <w:t xml:space="preserve">2003 —</w:t>
      </w:r>
      <w:r>
        <w:t xml:space="preserve"> </w:t>
      </w:r>
      <w:r>
        <w:t xml:space="preserve">'Continuous Tone Alternatives to the Halftone Model Through Historical Reflection,'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Arnolfini Gallery, Bristol</w:t>
      </w:r>
    </w:p>
    <w:p>
      <w:pPr>
        <w:pStyle w:val="BodyTex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45"/>
    <w:p>
      <w:pPr>
        <w:pStyle w:val="BodyText"/>
      </w:pPr>
      <w:r>
        <w:t xml:space="preserve">updated: 5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2026-05-05T22:19:33Z</dcterms:created>
  <dcterms:modified xsi:type="dcterms:W3CDTF">2026-05-05T22:19:33Z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