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Andrew</w:t>
      </w:r>
      <w:r>
        <w:t xml:space="preserve"> </w:t>
      </w:r>
      <w:r>
        <w:t xml:space="preserve">Atkinson</w:t>
      </w:r>
      <w:r>
        <w:t xml:space="preserve"> </w:t>
      </w:r>
      <w:r>
        <w:t xml:space="preserve">—</w:t>
      </w:r>
      <w:r>
        <w:t xml:space="preserve"> </w:t>
      </w:r>
      <w:r>
        <w:t xml:space="preserve">CV</w:t>
      </w:r>
    </w:p>
    <w:bookmarkStart w:id="24" w:name="andrew-atkinson"/>
    <w:p>
      <w:pPr>
        <w:pStyle w:val="Heading1"/>
      </w:pPr>
      <w:r>
        <w:t xml:space="preserve">Andrew Atkinson</w:t>
      </w:r>
    </w:p>
    <w:p>
      <w:pPr>
        <w:pStyle w:val="FirstParagraph"/>
      </w:pPr>
      <w:r>
        <w:t xml:space="preserve">Email:</w:t>
      </w:r>
      <w:r>
        <w:t xml:space="preserve"> </w:t>
      </w:r>
      <w:hyperlink r:id="rId20">
        <w:r>
          <w:rPr>
            <w:rStyle w:val="Hyperlink"/>
          </w:rPr>
          <w:t xml:space="preserve">blind.sam@gmail.com</w:t>
        </w:r>
      </w:hyperlink>
    </w:p>
    <w:p>
      <w:pPr>
        <w:pStyle w:val="BodyText"/>
      </w:pPr>
      <w:r>
        <w:t xml:space="preserve">Tel:</w:t>
      </w:r>
      <w:r>
        <w:t xml:space="preserve"> </w:t>
      </w:r>
      <w:hyperlink r:id="rId21">
        <w:r>
          <w:rPr>
            <w:rStyle w:val="Hyperlink"/>
          </w:rPr>
          <w:t xml:space="preserve">646 243 5179</w:t>
        </w:r>
      </w:hyperlink>
    </w:p>
    <w:p>
      <w:pPr>
        <w:pStyle w:val="BodyText"/>
      </w:pPr>
      <w:r>
        <w:t xml:space="preserve">Web:</w:t>
      </w:r>
      <w:r>
        <w:t xml:space="preserve"> </w:t>
      </w:r>
      <w:hyperlink r:id="rId22">
        <w:r>
          <w:rPr>
            <w:rStyle w:val="Hyperlink"/>
          </w:rPr>
          <w:t xml:space="preserve">andrewatkinson.net</w:t>
        </w:r>
      </w:hyperlink>
    </w:p>
    <w:p>
      <w:pPr>
        <w:pStyle w:val="BodyText"/>
      </w:pPr>
      <w:r>
        <w:t xml:space="preserve">LinkedIn:</w:t>
      </w:r>
      <w:r>
        <w:t xml:space="preserve"> </w:t>
      </w:r>
      <w:hyperlink r:id="rId23">
        <w:r>
          <w:rPr>
            <w:rStyle w:val="Hyperlink"/>
          </w:rPr>
          <w:t xml:space="preserve">LinkedIn</w:t>
        </w:r>
      </w:hyperlink>
    </w:p>
    <w:bookmarkEnd w:id="24"/>
    <w:bookmarkStart w:id="25" w:name="profile"/>
    <w:p>
      <w:pPr>
        <w:pStyle w:val="Heading2"/>
      </w:pPr>
      <w:r>
        <w:t xml:space="preserve">Profile</w:t>
      </w:r>
    </w:p>
    <w:p>
      <w:pPr>
        <w:pStyle w:val="FirstParagraph"/>
      </w:pPr>
      <w:r>
        <w:t xml:space="preserve">Andrew Atkinson is an artist and educator whose practice explores non-place, absurdity, and the immaterial through photography and digital media. His work investigates the empirical limits of photographic processes and the modeling potential of digital tools. He has exhibited internationally, including in the Argentinian photo biennial and at MagnanMetz in Chelsea, New York. He has curated exhibitions in the US, Italy, Argentina, and the UK and written for publications such as Architect's Newspaper and Afterimage. He holds a PhD from the University of the West of England on the digital recreation of the 19th-century Woodburytype photographic process.</w:t>
      </w:r>
    </w:p>
    <w:p>
      <w:pPr>
        <w:pStyle w:val="BodyText"/>
      </w:pPr>
      <w:r>
        <w:t xml:space="preserve">He was Director of the MFA in Studio Arts at Montclair State University from 2009–2017 and Assistant Professor in the department of Art and Design where he teaches visual arts and creative coding. Administratively, he has served as deputy chair and summer chair for the last decade, and has served as chair on many of the university's key committees.</w:t>
      </w:r>
    </w:p>
    <w:p>
      <w:pPr>
        <w:pStyle w:val="BodyText"/>
      </w:pPr>
      <w:r>
        <w:t xml:space="preserve">He has developed creative coding curricula for Vidcode and serves as a consultant to the Institute for the Advancement of Philosophy for Children. He has organized academic conferences for the Society for Photographic Education, and now organizes workshops and seminars for the art-science interdisciplinary organization Ocean Memory Project, and held artist residencies at the Glasgow School of Art, the Center for Book Arts in New York, and the Frans Masereel Centrum in Belgium.</w:t>
      </w:r>
    </w:p>
    <w:bookmarkEnd w:id="25"/>
    <w:bookmarkStart w:id="26" w:name="education"/>
    <w:p>
      <w:pPr>
        <w:pStyle w:val="Heading2"/>
      </w:pPr>
      <w:r>
        <w:t xml:space="preserve">Education</w:t>
      </w:r>
    </w:p>
    <w:tbl>
      <w:tblPr>
        <w:tblStyle w:val="Table"/>
        <w:tblW w:type="pct" w:w="5000"/>
        <w:tblLook w:firstRow="1" w:lastRow="0" w:firstColumn="0" w:lastColumn="0" w:noHBand="0" w:noVBand="0" w:val="0020"/>
        <w:jc w:val="start"/>
      </w:tblPr>
      <w:tblGrid>
        <w:gridCol w:w="1425"/>
        <w:gridCol w:w="2138"/>
        <w:gridCol w:w="4356"/>
      </w:tblGrid>
      <w:tr>
        <w:trPr>
          <w:tblHeader w:val="true"/>
        </w:trPr>
        <w:tc>
          <w:tcPr>
            <w:tcBorders>
              <w:bottom w:val="single" w:sz="4" w:space="0" w:color="cccccc"/>
            </w:tcBorders>
          </w:tcPr>
          <w:p>
            <w:pPr>
              <w:pStyle w:val="Compact"/>
              <w:jc w:val="left"/>
            </w:pPr>
            <w:r>
              <w:t xml:space="preserve">Dates</w:t>
            </w:r>
          </w:p>
        </w:tc>
        <w:tc>
          <w:tcPr>
            <w:tcBorders>
              <w:bottom w:val="single" w:sz="4" w:space="0" w:color="cccccc"/>
            </w:tcBorders>
          </w:tcPr>
          <w:p>
            <w:pPr>
              <w:pStyle w:val="Compact"/>
              <w:jc w:val="left"/>
            </w:pPr>
            <w:r>
              <w:t xml:space="preserve">Institution</w:t>
            </w:r>
          </w:p>
        </w:tc>
        <w:tc>
          <w:tcPr>
            <w:tcBorders>
              <w:bottom w:val="single" w:sz="4" w:space="0" w:color="cccccc"/>
            </w:tcBorders>
          </w:tcPr>
          <w:p>
            <w:pPr>
              <w:pStyle w:val="Compact"/>
              <w:jc w:val="left"/>
            </w:pPr>
            <w:r>
              <w:t xml:space="preserve">Qualification</w:t>
            </w:r>
          </w:p>
        </w:tc>
      </w:tr>
      <w:tr>
        <w:tc>
          <w:tcPr/>
          <w:p>
            <w:pPr>
              <w:pStyle w:val="Compact"/>
              <w:jc w:val="left"/>
            </w:pPr>
            <w:r>
              <w:t xml:space="preserve">2017</w:t>
            </w:r>
          </w:p>
        </w:tc>
        <w:tc>
          <w:tcPr/>
          <w:p>
            <w:pPr>
              <w:pStyle w:val="Compact"/>
              <w:jc w:val="left"/>
            </w:pPr>
            <w:r>
              <w:t xml:space="preserve">Fullstack Academy, New York</w:t>
            </w:r>
          </w:p>
        </w:tc>
        <w:tc>
          <w:tcPr/>
          <w:p>
            <w:pPr>
              <w:pStyle w:val="Compact"/>
            </w:pPr>
          </w:p>
        </w:tc>
      </w:tr>
      <w:tr>
        <w:tc>
          <w:tcPr/>
          <w:p>
            <w:pPr>
              <w:pStyle w:val="Compact"/>
              <w:jc w:val="left"/>
            </w:pPr>
            <w:r>
              <w:t xml:space="preserve">2000–04</w:t>
            </w:r>
          </w:p>
        </w:tc>
        <w:tc>
          <w:tcPr/>
          <w:p>
            <w:pPr>
              <w:pStyle w:val="Compact"/>
              <w:jc w:val="left"/>
            </w:pPr>
            <w:r>
              <w:t xml:space="preserve">University of the West of England, Bristol</w:t>
            </w:r>
          </w:p>
        </w:tc>
        <w:tc>
          <w:tcPr/>
          <w:p>
            <w:pPr>
              <w:pStyle w:val="Compact"/>
              <w:jc w:val="left"/>
            </w:pPr>
            <w:r>
              <w:t xml:space="preserve">Ph.D. — "The creation of digital fine art print through the Woodburytype model"</w:t>
            </w:r>
          </w:p>
        </w:tc>
      </w:tr>
      <w:tr>
        <w:tc>
          <w:tcPr/>
          <w:p>
            <w:pPr>
              <w:pStyle w:val="Compact"/>
              <w:jc w:val="left"/>
            </w:pPr>
            <w:r>
              <w:t xml:space="preserve">1999–2000</w:t>
            </w:r>
          </w:p>
        </w:tc>
        <w:tc>
          <w:tcPr/>
          <w:p>
            <w:pPr>
              <w:pStyle w:val="Compact"/>
              <w:jc w:val="left"/>
            </w:pPr>
            <w:r>
              <w:t xml:space="preserve">University of the Arts, Philadelphia</w:t>
            </w:r>
          </w:p>
        </w:tc>
        <w:tc>
          <w:tcPr/>
          <w:p>
            <w:pPr>
              <w:pStyle w:val="Compact"/>
              <w:jc w:val="left"/>
            </w:pPr>
            <w:r>
              <w:t xml:space="preserve">Postgraduate studies</w:t>
            </w:r>
          </w:p>
        </w:tc>
      </w:tr>
      <w:tr>
        <w:tc>
          <w:tcPr/>
          <w:p>
            <w:pPr>
              <w:pStyle w:val="Compact"/>
              <w:jc w:val="left"/>
            </w:pPr>
            <w:r>
              <w:t xml:space="preserve">1993–96</w:t>
            </w:r>
          </w:p>
        </w:tc>
        <w:tc>
          <w:tcPr/>
          <w:p>
            <w:pPr>
              <w:pStyle w:val="Compact"/>
              <w:jc w:val="left"/>
            </w:pPr>
            <w:r>
              <w:t xml:space="preserve">University of the West of England, Bristol</w:t>
            </w:r>
          </w:p>
        </w:tc>
        <w:tc>
          <w:tcPr/>
          <w:p>
            <w:pPr>
              <w:pStyle w:val="Compact"/>
              <w:jc w:val="left"/>
            </w:pPr>
            <w:r>
              <w:t xml:space="preserve">BA (hons) Fine Art</w:t>
            </w:r>
          </w:p>
        </w:tc>
      </w:tr>
    </w:tbl>
    <w:bookmarkEnd w:id="26"/>
    <w:bookmarkStart w:id="27" w:name="professional-experience"/>
    <w:p>
      <w:pPr>
        <w:pStyle w:val="Heading2"/>
      </w:pPr>
      <w:r>
        <w:t xml:space="preserve">Professional Experience</w:t>
      </w:r>
    </w:p>
    <w:p>
      <w:pPr>
        <w:pStyle w:val="FirstParagraph"/>
      </w:pPr>
      <w:r>
        <w:rPr>
          <w:bCs/>
          <w:b/>
        </w:rPr>
        <w:t xml:space="preserve">Montclair State University, Montclair, NJ</w:t>
      </w:r>
      <w:r>
        <w:t xml:space="preserve"> </w:t>
      </w:r>
      <w:r>
        <w:rPr>
          <w:iCs/>
          <w:i/>
        </w:rPr>
        <w:t xml:space="preserve">2004–present</w:t>
      </w:r>
    </w:p>
    <w:p>
      <w:pPr>
        <w:pStyle w:val="BodyText"/>
      </w:pPr>
      <w:r>
        <w:t xml:space="preserve">Deputy Chair, Dept. of Art and Design, September 2019 – May 2023</w:t>
      </w:r>
    </w:p>
    <w:p>
      <w:pPr>
        <w:pStyle w:val="BodyText"/>
      </w:pPr>
      <w:r>
        <w:t xml:space="preserve">Assistant Professor of Digital Photography, September 2004 – Present</w:t>
      </w:r>
    </w:p>
    <w:p>
      <w:pPr>
        <w:pStyle w:val="BodyText"/>
      </w:pPr>
      <w:r>
        <w:t xml:space="preserve">Department of Art and Design Summer Chair, Summers 2014–17, 2019–24</w:t>
      </w:r>
    </w:p>
    <w:p>
      <w:pPr>
        <w:pStyle w:val="BodyText"/>
      </w:pPr>
      <w:r>
        <w:t xml:space="preserve">Director of the MFA in Studio Arts, Sept 2009 – Jan 2017</w:t>
      </w:r>
    </w:p>
    <w:p>
      <w:pPr>
        <w:pStyle w:val="BodyText"/>
      </w:pPr>
      <w:r>
        <w:rPr>
          <w:bCs/>
          <w:b/>
        </w:rPr>
        <w:t xml:space="preserve">Vidcode — Curriculum Developer</w:t>
      </w:r>
      <w:r>
        <w:t xml:space="preserve"> </w:t>
      </w:r>
      <w:r>
        <w:rPr>
          <w:iCs/>
          <w:i/>
        </w:rPr>
        <w:t xml:space="preserve">2017–19</w:t>
      </w:r>
    </w:p>
    <w:p>
      <w:pPr>
        <w:pStyle w:val="BodyText"/>
      </w:pPr>
      <w:r>
        <w:t xml:space="preserve">Developed curriculum for introductory creative coding courses including for Girl Scouts and BrainPop</w:t>
      </w:r>
    </w:p>
    <w:p>
      <w:pPr>
        <w:pStyle w:val="BodyText"/>
      </w:pPr>
      <w:r>
        <w:rPr>
          <w:bCs/>
          <w:b/>
        </w:rPr>
        <w:t xml:space="preserve">Institute for the Advancement of Philosophy for Children</w:t>
      </w:r>
      <w:r>
        <w:t xml:space="preserve"> </w:t>
      </w:r>
      <w:r>
        <w:rPr>
          <w:iCs/>
          <w:i/>
        </w:rPr>
        <w:t xml:space="preserve">2021–present</w:t>
      </w:r>
    </w:p>
    <w:p>
      <w:pPr>
        <w:pStyle w:val="BodyText"/>
      </w:pPr>
      <w:r>
        <w:t xml:space="preserve">Updated novel design for accessibility and digital access</w:t>
      </w:r>
    </w:p>
    <w:bookmarkEnd w:id="27"/>
    <w:bookmarkStart w:id="32" w:name="classes-taught"/>
    <w:p>
      <w:pPr>
        <w:pStyle w:val="Heading2"/>
      </w:pPr>
      <w:r>
        <w:t xml:space="preserve">Classes Taught</w:t>
      </w:r>
    </w:p>
    <w:bookmarkStart w:id="28" w:name="photography"/>
    <w:p>
      <w:pPr>
        <w:pStyle w:val="Heading3"/>
      </w:pPr>
      <w:r>
        <w:t xml:space="preserve">Photography</w:t>
      </w:r>
    </w:p>
    <w:tbl>
      <w:tblPr>
        <w:tblStyle w:val="Table"/>
        <w:tblW w:type="pct" w:w="5000"/>
        <w:tblLook w:firstRow="1" w:lastRow="0" w:firstColumn="0" w:lastColumn="0" w:noHBand="0" w:noVBand="0" w:val="0020"/>
        <w:jc w:val="start"/>
      </w:tblPr>
      <w:tblGrid>
        <w:gridCol w:w="1425"/>
        <w:gridCol w:w="2138"/>
        <w:gridCol w:w="4356"/>
      </w:tblGrid>
      <w:tr>
        <w:trPr>
          <w:tblHeader w:val="true"/>
        </w:trPr>
        <w:tc>
          <w:tcPr>
            <w:tcBorders>
              <w:bottom w:val="single" w:sz="4" w:space="0" w:color="cccccc"/>
            </w:tcBorders>
          </w:tcPr>
          <w:p>
            <w:pPr>
              <w:pStyle w:val="Compact"/>
              <w:jc w:val="left"/>
            </w:pPr>
            <w:r>
              <w:t xml:space="preserve">Dates</w:t>
            </w:r>
          </w:p>
        </w:tc>
        <w:tc>
          <w:tcPr>
            <w:tcBorders>
              <w:bottom w:val="single" w:sz="4" w:space="0" w:color="cccccc"/>
            </w:tcBorders>
          </w:tcPr>
          <w:p>
            <w:pPr>
              <w:pStyle w:val="Compact"/>
              <w:jc w:val="left"/>
            </w:pPr>
            <w:r>
              <w:t xml:space="preserve">Code</w:t>
            </w:r>
          </w:p>
        </w:tc>
        <w:tc>
          <w:tcPr>
            <w:tcBorders>
              <w:bottom w:val="single" w:sz="4" w:space="0" w:color="cccccc"/>
            </w:tcBorders>
          </w:tcPr>
          <w:p>
            <w:pPr>
              <w:pStyle w:val="Compact"/>
              <w:jc w:val="left"/>
            </w:pPr>
            <w:r>
              <w:t xml:space="preserve">Course</w:t>
            </w:r>
          </w:p>
        </w:tc>
      </w:tr>
      <w:tr>
        <w:tc>
          <w:tcPr/>
          <w:p>
            <w:pPr>
              <w:pStyle w:val="Compact"/>
              <w:jc w:val="left"/>
            </w:pPr>
            <w:r>
              <w:t xml:space="preserve">2004–2023</w:t>
            </w:r>
          </w:p>
        </w:tc>
        <w:tc>
          <w:tcPr/>
          <w:p>
            <w:pPr>
              <w:pStyle w:val="Compact"/>
              <w:jc w:val="left"/>
            </w:pPr>
            <w:r>
              <w:t xml:space="preserve">ARPH201</w:t>
            </w:r>
          </w:p>
        </w:tc>
        <w:tc>
          <w:tcPr/>
          <w:p>
            <w:pPr>
              <w:pStyle w:val="Compact"/>
              <w:jc w:val="left"/>
            </w:pPr>
            <w:r>
              <w:t xml:space="preserve">Digital Photography and Imaging 1</w:t>
            </w:r>
          </w:p>
        </w:tc>
      </w:tr>
      <w:tr>
        <w:tc>
          <w:tcPr/>
          <w:p>
            <w:pPr>
              <w:pStyle w:val="Compact"/>
              <w:jc w:val="left"/>
            </w:pPr>
            <w:r>
              <w:t xml:space="preserve">2005–2019</w:t>
            </w:r>
          </w:p>
        </w:tc>
        <w:tc>
          <w:tcPr/>
          <w:p>
            <w:pPr>
              <w:pStyle w:val="Compact"/>
              <w:jc w:val="left"/>
            </w:pPr>
            <w:r>
              <w:t xml:space="preserve">ARPH211</w:t>
            </w:r>
          </w:p>
        </w:tc>
        <w:tc>
          <w:tcPr/>
          <w:p>
            <w:pPr>
              <w:pStyle w:val="Compact"/>
              <w:jc w:val="left"/>
            </w:pPr>
            <w:r>
              <w:t xml:space="preserve">Digital Photography and Imaging 2</w:t>
            </w:r>
          </w:p>
        </w:tc>
      </w:tr>
      <w:tr>
        <w:tc>
          <w:tcPr/>
          <w:p>
            <w:pPr>
              <w:pStyle w:val="Compact"/>
              <w:jc w:val="left"/>
            </w:pPr>
            <w:r>
              <w:t xml:space="preserve">2024–25</w:t>
            </w:r>
          </w:p>
        </w:tc>
        <w:tc>
          <w:tcPr/>
          <w:p>
            <w:pPr>
              <w:pStyle w:val="Compact"/>
              <w:jc w:val="left"/>
            </w:pPr>
            <w:r>
              <w:t xml:space="preserve">ARST215</w:t>
            </w:r>
          </w:p>
        </w:tc>
        <w:tc>
          <w:tcPr/>
          <w:p>
            <w:pPr>
              <w:pStyle w:val="Compact"/>
              <w:jc w:val="left"/>
            </w:pPr>
            <w:r>
              <w:t xml:space="preserve">Photography for Majors</w:t>
            </w:r>
          </w:p>
        </w:tc>
      </w:tr>
      <w:tr>
        <w:tc>
          <w:tcPr/>
          <w:p>
            <w:pPr>
              <w:pStyle w:val="Compact"/>
              <w:jc w:val="left"/>
            </w:pPr>
            <w:r>
              <w:t xml:space="preserve">2021</w:t>
            </w:r>
          </w:p>
        </w:tc>
        <w:tc>
          <w:tcPr/>
          <w:p>
            <w:pPr>
              <w:pStyle w:val="Compact"/>
              <w:jc w:val="left"/>
            </w:pPr>
            <w:r>
              <w:t xml:space="preserve">ARGS260</w:t>
            </w:r>
          </w:p>
        </w:tc>
        <w:tc>
          <w:tcPr/>
          <w:p>
            <w:pPr>
              <w:pStyle w:val="Compact"/>
              <w:jc w:val="left"/>
            </w:pPr>
            <w:r>
              <w:t xml:space="preserve">Documentary Photography: Capturing the History of Now</w:t>
            </w:r>
          </w:p>
        </w:tc>
      </w:tr>
    </w:tbl>
    <w:bookmarkEnd w:id="28"/>
    <w:bookmarkStart w:id="29" w:name="visual-arts"/>
    <w:p>
      <w:pPr>
        <w:pStyle w:val="Heading3"/>
      </w:pPr>
      <w:r>
        <w:t xml:space="preserve">Visual Arts</w:t>
      </w:r>
    </w:p>
    <w:tbl>
      <w:tblPr>
        <w:tblStyle w:val="Table"/>
        <w:tblW w:type="pct" w:w="5000"/>
        <w:tblLook w:firstRow="1" w:lastRow="0" w:firstColumn="0" w:lastColumn="0" w:noHBand="0" w:noVBand="0" w:val="0020"/>
        <w:jc w:val="start"/>
      </w:tblPr>
      <w:tblGrid>
        <w:gridCol w:w="1425"/>
        <w:gridCol w:w="2138"/>
        <w:gridCol w:w="4356"/>
      </w:tblGrid>
      <w:tr>
        <w:trPr>
          <w:tblHeader w:val="true"/>
        </w:trPr>
        <w:tc>
          <w:tcPr>
            <w:tcBorders>
              <w:bottom w:val="single" w:sz="4" w:space="0" w:color="cccccc"/>
            </w:tcBorders>
          </w:tcPr>
          <w:p>
            <w:pPr>
              <w:pStyle w:val="Compact"/>
              <w:jc w:val="left"/>
            </w:pPr>
            <w:r>
              <w:t xml:space="preserve">Dates</w:t>
            </w:r>
          </w:p>
        </w:tc>
        <w:tc>
          <w:tcPr>
            <w:tcBorders>
              <w:bottom w:val="single" w:sz="4" w:space="0" w:color="cccccc"/>
            </w:tcBorders>
          </w:tcPr>
          <w:p>
            <w:pPr>
              <w:pStyle w:val="Compact"/>
              <w:jc w:val="left"/>
            </w:pPr>
            <w:r>
              <w:t xml:space="preserve">Code</w:t>
            </w:r>
          </w:p>
        </w:tc>
        <w:tc>
          <w:tcPr>
            <w:tcBorders>
              <w:bottom w:val="single" w:sz="4" w:space="0" w:color="cccccc"/>
            </w:tcBorders>
          </w:tcPr>
          <w:p>
            <w:pPr>
              <w:pStyle w:val="Compact"/>
              <w:jc w:val="left"/>
            </w:pPr>
            <w:r>
              <w:t xml:space="preserve">Course</w:t>
            </w:r>
          </w:p>
        </w:tc>
      </w:tr>
      <w:tr>
        <w:tc>
          <w:tcPr/>
          <w:p>
            <w:pPr>
              <w:pStyle w:val="Compact"/>
              <w:jc w:val="left"/>
            </w:pPr>
            <w:r>
              <w:t xml:space="preserve">2005–2017</w:t>
            </w:r>
          </w:p>
        </w:tc>
        <w:tc>
          <w:tcPr/>
          <w:p>
            <w:pPr>
              <w:pStyle w:val="Compact"/>
              <w:jc w:val="left"/>
            </w:pPr>
            <w:r>
              <w:t xml:space="preserve">ARST502, 503, 532, 604, 610, 633</w:t>
            </w:r>
          </w:p>
        </w:tc>
        <w:tc>
          <w:tcPr/>
          <w:p>
            <w:pPr>
              <w:pStyle w:val="Compact"/>
              <w:jc w:val="left"/>
            </w:pPr>
            <w:r>
              <w:t xml:space="preserve">Various MFA Thesis Independent Studies</w:t>
            </w:r>
          </w:p>
        </w:tc>
      </w:tr>
      <w:tr>
        <w:tc>
          <w:tcPr/>
          <w:p>
            <w:pPr>
              <w:pStyle w:val="Compact"/>
              <w:jc w:val="left"/>
            </w:pPr>
            <w:r>
              <w:t xml:space="preserve">2015–17</w:t>
            </w:r>
          </w:p>
        </w:tc>
        <w:tc>
          <w:tcPr/>
          <w:p>
            <w:pPr>
              <w:pStyle w:val="Compact"/>
              <w:jc w:val="left"/>
            </w:pPr>
            <w:r>
              <w:t xml:space="preserve">ARST600</w:t>
            </w:r>
          </w:p>
        </w:tc>
        <w:tc>
          <w:tcPr/>
          <w:p>
            <w:pPr>
              <w:pStyle w:val="Compact"/>
              <w:jc w:val="left"/>
            </w:pPr>
            <w:r>
              <w:t xml:space="preserve">MA Thesis Seminar</w:t>
            </w:r>
          </w:p>
        </w:tc>
      </w:tr>
      <w:tr>
        <w:tc>
          <w:tcPr/>
          <w:p>
            <w:pPr>
              <w:pStyle w:val="Compact"/>
              <w:jc w:val="left"/>
            </w:pPr>
            <w:r>
              <w:t xml:space="preserve">2009–2027</w:t>
            </w:r>
          </w:p>
        </w:tc>
        <w:tc>
          <w:tcPr/>
          <w:p>
            <w:pPr>
              <w:pStyle w:val="Compact"/>
              <w:jc w:val="left"/>
            </w:pPr>
            <w:r>
              <w:t xml:space="preserve">ARST650/1</w:t>
            </w:r>
          </w:p>
        </w:tc>
        <w:tc>
          <w:tcPr/>
          <w:p>
            <w:pPr>
              <w:pStyle w:val="Compact"/>
              <w:jc w:val="left"/>
            </w:pPr>
            <w:r>
              <w:t xml:space="preserve">MFA Thesis Exhibition/Thesis Extension</w:t>
            </w:r>
          </w:p>
        </w:tc>
      </w:tr>
      <w:tr>
        <w:tc>
          <w:tcPr/>
          <w:p>
            <w:pPr>
              <w:pStyle w:val="Compact"/>
              <w:jc w:val="left"/>
            </w:pPr>
            <w:r>
              <w:t xml:space="preserve">2019–2024</w:t>
            </w:r>
          </w:p>
        </w:tc>
        <w:tc>
          <w:tcPr/>
          <w:p>
            <w:pPr>
              <w:pStyle w:val="Compact"/>
              <w:jc w:val="left"/>
            </w:pPr>
            <w:r>
              <w:t xml:space="preserve">ARST406/411</w:t>
            </w:r>
          </w:p>
        </w:tc>
        <w:tc>
          <w:tcPr/>
          <w:p>
            <w:pPr>
              <w:pStyle w:val="Compact"/>
              <w:jc w:val="left"/>
            </w:pPr>
            <w:r>
              <w:t xml:space="preserve">Integrative Studio III – BA Thesis Exhibition</w:t>
            </w:r>
          </w:p>
        </w:tc>
      </w:tr>
    </w:tbl>
    <w:bookmarkEnd w:id="29"/>
    <w:bookmarkStart w:id="30" w:name="creative-coding-and-digital-arts"/>
    <w:p>
      <w:pPr>
        <w:pStyle w:val="Heading3"/>
      </w:pPr>
      <w:r>
        <w:t xml:space="preserve">Creative Coding and Digital Arts</w:t>
      </w:r>
    </w:p>
    <w:tbl>
      <w:tblPr>
        <w:tblStyle w:val="Table"/>
        <w:tblW w:type="pct" w:w="5000"/>
        <w:tblLook w:firstRow="1" w:lastRow="0" w:firstColumn="0" w:lastColumn="0" w:noHBand="0" w:noVBand="0" w:val="0020"/>
        <w:jc w:val="start"/>
      </w:tblPr>
      <w:tblGrid>
        <w:gridCol w:w="1425"/>
        <w:gridCol w:w="2138"/>
        <w:gridCol w:w="4356"/>
      </w:tblGrid>
      <w:tr>
        <w:trPr>
          <w:tblHeader w:val="true"/>
        </w:trPr>
        <w:tc>
          <w:tcPr>
            <w:tcBorders>
              <w:bottom w:val="single" w:sz="4" w:space="0" w:color="cccccc"/>
            </w:tcBorders>
          </w:tcPr>
          <w:p>
            <w:pPr>
              <w:pStyle w:val="Compact"/>
              <w:jc w:val="left"/>
            </w:pPr>
            <w:r>
              <w:t xml:space="preserve">Dates</w:t>
            </w:r>
          </w:p>
        </w:tc>
        <w:tc>
          <w:tcPr>
            <w:tcBorders>
              <w:bottom w:val="single" w:sz="4" w:space="0" w:color="cccccc"/>
            </w:tcBorders>
          </w:tcPr>
          <w:p>
            <w:pPr>
              <w:pStyle w:val="Compact"/>
              <w:jc w:val="left"/>
            </w:pPr>
            <w:r>
              <w:t xml:space="preserve">Code</w:t>
            </w:r>
          </w:p>
        </w:tc>
        <w:tc>
          <w:tcPr>
            <w:tcBorders>
              <w:bottom w:val="single" w:sz="4" w:space="0" w:color="cccccc"/>
            </w:tcBorders>
          </w:tcPr>
          <w:p>
            <w:pPr>
              <w:pStyle w:val="Compact"/>
              <w:jc w:val="left"/>
            </w:pPr>
            <w:r>
              <w:t xml:space="preserve">Course</w:t>
            </w:r>
          </w:p>
        </w:tc>
      </w:tr>
      <w:tr>
        <w:tc>
          <w:tcPr/>
          <w:p>
            <w:pPr>
              <w:pStyle w:val="Compact"/>
              <w:jc w:val="left"/>
            </w:pPr>
            <w:r>
              <w:t xml:space="preserve">2019–2023</w:t>
            </w:r>
          </w:p>
        </w:tc>
        <w:tc>
          <w:tcPr/>
          <w:p>
            <w:pPr>
              <w:pStyle w:val="Compact"/>
              <w:jc w:val="left"/>
            </w:pPr>
            <w:r>
              <w:t xml:space="preserve">ARFD106</w:t>
            </w:r>
          </w:p>
        </w:tc>
        <w:tc>
          <w:tcPr/>
          <w:p>
            <w:pPr>
              <w:pStyle w:val="Compact"/>
              <w:jc w:val="left"/>
            </w:pPr>
            <w:r>
              <w:t xml:space="preserve">Digital Literacy</w:t>
            </w:r>
          </w:p>
        </w:tc>
      </w:tr>
      <w:tr>
        <w:tc>
          <w:tcPr/>
          <w:p>
            <w:pPr>
              <w:pStyle w:val="Compact"/>
              <w:jc w:val="left"/>
            </w:pPr>
            <w:r>
              <w:t xml:space="preserve">2022–25</w:t>
            </w:r>
          </w:p>
        </w:tc>
        <w:tc>
          <w:tcPr/>
          <w:p>
            <w:pPr>
              <w:pStyle w:val="Compact"/>
              <w:jc w:val="left"/>
            </w:pPr>
            <w:r>
              <w:t xml:space="preserve">VCDS225/ARGS260</w:t>
            </w:r>
          </w:p>
        </w:tc>
        <w:tc>
          <w:tcPr/>
          <w:p>
            <w:pPr>
              <w:pStyle w:val="Compact"/>
              <w:jc w:val="left"/>
            </w:pPr>
            <w:r>
              <w:t xml:space="preserve">Creative Coding for Graphic Designers/for Artists</w:t>
            </w:r>
          </w:p>
        </w:tc>
      </w:tr>
    </w:tbl>
    <w:bookmarkEnd w:id="30"/>
    <w:bookmarkStart w:id="31" w:name="other-courses"/>
    <w:p>
      <w:pPr>
        <w:pStyle w:val="Heading3"/>
      </w:pPr>
      <w:r>
        <w:t xml:space="preserve">Other Courses</w:t>
      </w:r>
    </w:p>
    <w:tbl>
      <w:tblPr>
        <w:tblStyle w:val="Table"/>
        <w:tblW w:type="pct" w:w="5000"/>
        <w:tblLook w:firstRow="1" w:lastRow="0" w:firstColumn="0" w:lastColumn="0" w:noHBand="0" w:noVBand="0" w:val="0020"/>
        <w:jc w:val="start"/>
      </w:tblPr>
      <w:tblGrid>
        <w:gridCol w:w="1425"/>
        <w:gridCol w:w="2138"/>
        <w:gridCol w:w="4356"/>
      </w:tblGrid>
      <w:tr>
        <w:trPr>
          <w:tblHeader w:val="true"/>
        </w:trPr>
        <w:tc>
          <w:tcPr>
            <w:tcBorders>
              <w:bottom w:val="single" w:sz="4" w:space="0" w:color="cccccc"/>
            </w:tcBorders>
          </w:tcPr>
          <w:p>
            <w:pPr>
              <w:pStyle w:val="Compact"/>
              <w:jc w:val="left"/>
            </w:pPr>
            <w:r>
              <w:t xml:space="preserve">Dates</w:t>
            </w:r>
          </w:p>
        </w:tc>
        <w:tc>
          <w:tcPr>
            <w:tcBorders>
              <w:bottom w:val="single" w:sz="4" w:space="0" w:color="cccccc"/>
            </w:tcBorders>
          </w:tcPr>
          <w:p>
            <w:pPr>
              <w:pStyle w:val="Compact"/>
              <w:jc w:val="left"/>
            </w:pPr>
            <w:r>
              <w:t xml:space="preserve">Code</w:t>
            </w:r>
          </w:p>
        </w:tc>
        <w:tc>
          <w:tcPr>
            <w:tcBorders>
              <w:bottom w:val="single" w:sz="4" w:space="0" w:color="cccccc"/>
            </w:tcBorders>
          </w:tcPr>
          <w:p>
            <w:pPr>
              <w:pStyle w:val="Compact"/>
              <w:jc w:val="left"/>
            </w:pPr>
            <w:r>
              <w:t xml:space="preserve">Course</w:t>
            </w:r>
          </w:p>
        </w:tc>
      </w:tr>
      <w:tr>
        <w:tc>
          <w:tcPr/>
          <w:p>
            <w:pPr>
              <w:pStyle w:val="Compact"/>
              <w:jc w:val="left"/>
            </w:pPr>
            <w:r>
              <w:t xml:space="preserve">2017–2023</w:t>
            </w:r>
          </w:p>
        </w:tc>
        <w:tc>
          <w:tcPr/>
          <w:p>
            <w:pPr>
              <w:pStyle w:val="Compact"/>
              <w:jc w:val="left"/>
            </w:pPr>
            <w:r>
              <w:t xml:space="preserve">ARGS280</w:t>
            </w:r>
          </w:p>
        </w:tc>
        <w:tc>
          <w:tcPr/>
          <w:p>
            <w:pPr>
              <w:pStyle w:val="Compact"/>
              <w:jc w:val="left"/>
            </w:pPr>
            <w:r>
              <w:t xml:space="preserve">Art Forum</w:t>
            </w:r>
          </w:p>
        </w:tc>
      </w:tr>
      <w:tr>
        <w:tc>
          <w:tcPr/>
          <w:p>
            <w:pPr>
              <w:pStyle w:val="Compact"/>
              <w:jc w:val="left"/>
            </w:pPr>
            <w:r>
              <w:t xml:space="preserve">2021–23</w:t>
            </w:r>
          </w:p>
        </w:tc>
        <w:tc>
          <w:tcPr/>
          <w:p>
            <w:pPr>
              <w:pStyle w:val="Compact"/>
              <w:jc w:val="left"/>
            </w:pPr>
            <w:r>
              <w:t xml:space="preserve">COED401</w:t>
            </w:r>
          </w:p>
        </w:tc>
        <w:tc>
          <w:tcPr/>
          <w:p>
            <w:pPr>
              <w:pStyle w:val="Compact"/>
              <w:jc w:val="left"/>
            </w:pPr>
            <w:r>
              <w:t xml:space="preserve">Cooperative Education Mentor</w:t>
            </w:r>
          </w:p>
        </w:tc>
      </w:tr>
    </w:tbl>
    <w:bookmarkEnd w:id="31"/>
    <w:bookmarkEnd w:id="32"/>
    <w:bookmarkStart w:id="33" w:name="university-service"/>
    <w:p>
      <w:pPr>
        <w:pStyle w:val="Heading2"/>
      </w:pPr>
      <w:r>
        <w:t xml:space="preserve">University Service</w:t>
      </w:r>
    </w:p>
    <w:p>
      <w:pPr>
        <w:pStyle w:val="FirstParagraph"/>
      </w:pPr>
      <w:r>
        <w:rPr>
          <w:bCs/>
          <w:b/>
        </w:rPr>
        <w:t xml:space="preserve">Curriculum Committee</w:t>
      </w:r>
    </w:p>
    <w:p>
      <w:pPr>
        <w:pStyle w:val="BodyText"/>
      </w:pPr>
      <w:r>
        <w:t xml:space="preserve">Department and College – co-authored major rewrites of department undergrad degrees, reviewed and edited new and revised courses and programs. University Graduate Curriculum Committee – reviewed and edited graduate degrees across the university. Developed policy. Chaired Committee on various years.</w:t>
      </w:r>
    </w:p>
    <w:p>
      <w:pPr>
        <w:pStyle w:val="BodyText"/>
      </w:pPr>
      <w:r>
        <w:rPr>
          <w:bCs/>
          <w:b/>
        </w:rPr>
        <w:t xml:space="preserve">DPAC/Search Committees</w:t>
      </w:r>
    </w:p>
    <w:p>
      <w:pPr>
        <w:pStyle w:val="BodyText"/>
      </w:pPr>
      <w:r>
        <w:t xml:space="preserve">Interviewed and hired new faculty and staff, reviewed current appointments for reappointment and tenure.</w:t>
      </w:r>
    </w:p>
    <w:p>
      <w:pPr>
        <w:pStyle w:val="BodyText"/>
      </w:pPr>
      <w:r>
        <w:rPr>
          <w:bCs/>
          <w:b/>
        </w:rPr>
        <w:t xml:space="preserve">Open Houses/Arts Days/Recruitment</w:t>
      </w:r>
    </w:p>
    <w:p>
      <w:pPr>
        <w:pStyle w:val="BodyText"/>
      </w:pPr>
      <w:r>
        <w:t xml:space="preserve">On Campus – organized and ran many on campus recruitment events for undergrad and graduate degrees. Attended National Graduate Portfolio Days across the country.</w:t>
      </w:r>
    </w:p>
    <w:p>
      <w:pPr>
        <w:pStyle w:val="BodyText"/>
      </w:pPr>
      <w:r>
        <w:rPr>
          <w:bCs/>
          <w:b/>
        </w:rPr>
        <w:t xml:space="preserve">Convocation Committee</w:t>
      </w:r>
    </w:p>
    <w:p>
      <w:pPr>
        <w:pStyle w:val="BodyText"/>
      </w:pPr>
      <w:r>
        <w:t xml:space="preserve">Organised College of the Arts convocations.</w:t>
      </w:r>
    </w:p>
    <w:p>
      <w:pPr>
        <w:pStyle w:val="BodyText"/>
      </w:pPr>
      <w:r>
        <w:rPr>
          <w:bCs/>
          <w:b/>
        </w:rPr>
        <w:t xml:space="preserve">Scholarship Committees</w:t>
      </w:r>
    </w:p>
    <w:p>
      <w:pPr>
        <w:pStyle w:val="BodyText"/>
      </w:pPr>
      <w:r>
        <w:t xml:space="preserve">CART Advisory Board member and Department Scholarship Committee, reviewed student portfolios, promoted scholarships.</w:t>
      </w:r>
    </w:p>
    <w:p>
      <w:pPr>
        <w:pStyle w:val="BodyText"/>
      </w:pPr>
      <w:r>
        <w:rPr>
          <w:bCs/>
          <w:b/>
        </w:rPr>
        <w:t xml:space="preserve">MFA Director</w:t>
      </w:r>
    </w:p>
    <w:p>
      <w:pPr>
        <w:pStyle w:val="BodyText"/>
      </w:pPr>
      <w:r>
        <w:t xml:space="preserve">Many duties including: MFA international and national student recruitment, organising and conducting portfolio reviews; coordinate visiting artists for talks at the Montclair Art Museum (Nick Cave, Shirin Neshat, Jeff Koons, Vito Acconci, Ann Hamilton, etc); mid semester crits; hired visiting critics and adjunct faculty; coordinated MFA Finley gallery, and organized thesis galleries in Brooklyn and Chelsea; restructured degree around artistic research practice, reduced independent studies, created new classes for thesis and monograph.</w:t>
      </w:r>
    </w:p>
    <w:p>
      <w:pPr>
        <w:pStyle w:val="BodyText"/>
      </w:pPr>
      <w:r>
        <w:rPr>
          <w:bCs/>
          <w:b/>
        </w:rPr>
        <w:t xml:space="preserve">Deputy Chair/Summer Chair</w:t>
      </w:r>
    </w:p>
    <w:p>
      <w:pPr>
        <w:pStyle w:val="BodyText"/>
      </w:pPr>
      <w:r>
        <w:t xml:space="preserve">Hired faculty, administered schedules, promoted and enacted department vision.</w:t>
      </w:r>
    </w:p>
    <w:bookmarkEnd w:id="33"/>
    <w:bookmarkStart w:id="34" w:name="professional-service"/>
    <w:p>
      <w:pPr>
        <w:pStyle w:val="Heading2"/>
      </w:pPr>
      <w:r>
        <w:t xml:space="preserve">Professional Service</w:t>
      </w:r>
    </w:p>
    <w:p>
      <w:pPr>
        <w:pStyle w:val="FirstParagraph"/>
      </w:pPr>
      <w:r>
        <w:rPr>
          <w:bCs/>
          <w:b/>
        </w:rPr>
        <w:t xml:space="preserve">Passaic Public Schools Digital Art CTE Advisory Committee</w:t>
      </w:r>
      <w:r>
        <w:t xml:space="preserve"> </w:t>
      </w:r>
      <w:r>
        <w:rPr>
          <w:iCs/>
          <w:i/>
        </w:rPr>
        <w:t xml:space="preserve">2020–24</w:t>
      </w:r>
    </w:p>
    <w:p>
      <w:pPr>
        <w:pStyle w:val="BodyText"/>
      </w:pPr>
      <w:r>
        <w:t xml:space="preserve">2020–24 — Board Member, helped create partnership between MSU and the Passaic Public School, designing two school courses for equivalency at MSU.</w:t>
      </w:r>
    </w:p>
    <w:p>
      <w:pPr>
        <w:pStyle w:val="BodyText"/>
      </w:pPr>
      <w:r>
        <w:rPr>
          <w:bCs/>
          <w:b/>
        </w:rPr>
        <w:t xml:space="preserve">Conference Organiser</w:t>
      </w:r>
    </w:p>
    <w:p>
      <w:pPr>
        <w:pStyle w:val="BodyText"/>
      </w:pPr>
      <w:r>
        <w:t xml:space="preserve">2023 — Ocean Memory Project, Remembering/Writing, Friday Harbor Labs, San Juan Island, University of Washington, WA</w:t>
      </w:r>
    </w:p>
    <w:p>
      <w:pPr>
        <w:pStyle w:val="BodyText"/>
      </w:pPr>
      <w:r>
        <w:t xml:space="preserve">2022 — Ocean Memory Project, Sense Submerged Workshop, Puerto Morelos, Mexico</w:t>
      </w:r>
    </w:p>
    <w:p>
      <w:pPr>
        <w:pStyle w:val="BodyText"/>
      </w:pPr>
      <w:r>
        <w:t xml:space="preserve">2009 — Society for Photographic Education, Mid-Atlantic Region Annual conference, Montclair State University, Montclair, NJ</w:t>
      </w:r>
    </w:p>
    <w:p>
      <w:pPr>
        <w:pStyle w:val="BodyText"/>
      </w:pPr>
      <w:r>
        <w:t xml:space="preserve">2008 — Society for Photographic Education, Mid-Atlantic Region Annual conference, Carnegie Mellon University, Pittsburgh, PA</w:t>
      </w:r>
    </w:p>
    <w:p>
      <w:pPr>
        <w:pStyle w:val="BodyText"/>
      </w:pPr>
      <w:r>
        <w:t xml:space="preserve">2007 — Society for Photographic Education, Mid-Atlantic Region Annual conference, Center for Photography at Woodstock, Woodstock, NY</w:t>
      </w:r>
    </w:p>
    <w:p>
      <w:pPr>
        <w:pStyle w:val="BodyText"/>
      </w:pPr>
      <w:r>
        <w:rPr>
          <w:bCs/>
          <w:b/>
        </w:rPr>
        <w:t xml:space="preserve">External Reviewer</w:t>
      </w:r>
    </w:p>
    <w:p>
      <w:pPr>
        <w:pStyle w:val="BodyText"/>
      </w:pPr>
      <w:r>
        <w:t xml:space="preserve">2012 — Whitecliffe College of Art and Design, Auckland, New Zealand</w:t>
      </w:r>
    </w:p>
    <w:p>
      <w:pPr>
        <w:pStyle w:val="BodyText"/>
      </w:pPr>
      <w:r>
        <w:rPr>
          <w:bCs/>
          <w:b/>
        </w:rPr>
        <w:t xml:space="preserve">Juror</w:t>
      </w:r>
    </w:p>
    <w:p>
      <w:pPr>
        <w:pStyle w:val="BodyText"/>
      </w:pPr>
      <w:r>
        <w:t xml:space="preserve">2008 — Photography exhibition, New Jersey Printmaking Council, Somerville, NJ</w:t>
      </w:r>
    </w:p>
    <w:bookmarkEnd w:id="34"/>
    <w:bookmarkStart w:id="39" w:name="X79915fcf50900d2f59f6816df6be60b4dd9fc2b"/>
    <w:p>
      <w:pPr>
        <w:pStyle w:val="Heading2"/>
      </w:pPr>
      <w:r>
        <w:t xml:space="preserve">Scholarship, Publications, and Related Activities</w:t>
      </w:r>
    </w:p>
    <w:bookmarkStart w:id="36" w:name="bibliography"/>
    <w:p>
      <w:pPr>
        <w:pStyle w:val="Heading3"/>
      </w:pPr>
      <w:r>
        <w:t xml:space="preserve">Bibliography</w:t>
      </w:r>
    </w:p>
    <w:p>
      <w:pPr>
        <w:pStyle w:val="FirstParagraph"/>
      </w:pPr>
      <w:r>
        <w:t xml:space="preserve">2025 —</w:t>
      </w:r>
      <w:r>
        <w:t xml:space="preserve"> </w:t>
      </w:r>
      <w:r>
        <w:t xml:space="preserve">Jody W. Deming;</w:t>
      </w:r>
      <w:r>
        <w:t xml:space="preserve"> </w:t>
      </w:r>
      <w:hyperlink r:id="rId35">
        <w:r>
          <w:rPr>
            <w:rStyle w:val="Hyperlink"/>
          </w:rPr>
          <w:t xml:space="preserve">Ocean Memory: Unimagined Perspectives. Leonardo 2025; 58 (1): 105–110.</w:t>
        </w:r>
      </w:hyperlink>
    </w:p>
    <w:p>
      <w:pPr>
        <w:pStyle w:val="BodyText"/>
      </w:pPr>
      <w:r>
        <w:t xml:space="preserve">2017 —</w:t>
      </w:r>
      <w:r>
        <w:t xml:space="preserve"> </w:t>
      </w:r>
      <w:r>
        <w:t xml:space="preserve">Zona Imaginaria, Buenos Aires</w:t>
      </w:r>
    </w:p>
    <w:p>
      <w:pPr>
        <w:pStyle w:val="BodyText"/>
      </w:pPr>
      <w:r>
        <w:t xml:space="preserve">2010 —</w:t>
      </w:r>
      <w:r>
        <w:t xml:space="preserve"> </w:t>
      </w:r>
      <w:r>
        <w:t xml:space="preserve">La Voz del Interior, 19th, 20th and 21st of July 2010; Revista Ohlala, August 2010</w:t>
      </w:r>
    </w:p>
    <w:p>
      <w:pPr>
        <w:pStyle w:val="BodyText"/>
      </w:pPr>
      <w:r>
        <w:t xml:space="preserve">2009 —</w:t>
      </w:r>
      <w:r>
        <w:t xml:space="preserve"> </w:t>
      </w:r>
      <w:r>
        <w:t xml:space="preserve">30 Years of the Sol Mednick Gallery</w:t>
      </w:r>
    </w:p>
    <w:p>
      <w:pPr>
        <w:pStyle w:val="BodyText"/>
      </w:pPr>
      <w:r>
        <w:t xml:space="preserve">2008 —</w:t>
      </w:r>
      <w:r>
        <w:t xml:space="preserve"> </w:t>
      </w:r>
      <w:r>
        <w:t xml:space="preserve">Fotografi Emergenti catalogue</w:t>
      </w:r>
    </w:p>
    <w:p>
      <w:pPr>
        <w:pStyle w:val="BodyText"/>
      </w:pPr>
      <w:r>
        <w:t xml:space="preserve">2007 —</w:t>
      </w:r>
      <w:r>
        <w:t xml:space="preserve"> </w:t>
      </w:r>
      <w:r>
        <w:t xml:space="preserve">Gyeongnam International Art Festival catalogue</w:t>
      </w:r>
    </w:p>
    <w:p>
      <w:pPr>
        <w:pStyle w:val="BodyText"/>
      </w:pPr>
      <w:r>
        <w:t xml:space="preserve">2004 —</w:t>
      </w:r>
      <w:r>
        <w:t xml:space="preserve"> </w:t>
      </w:r>
      <w:r>
        <w:t xml:space="preserve">In Exile: 13th Tallinn print triennial catalogue; New Directions in Printmaking catalogue</w:t>
      </w:r>
    </w:p>
    <w:p>
      <w:pPr>
        <w:pStyle w:val="BodyText"/>
      </w:pPr>
      <w:r>
        <w:t xml:space="preserve">2003 —</w:t>
      </w:r>
      <w:r>
        <w:t xml:space="preserve"> </w:t>
      </w:r>
      <w:r>
        <w:t xml:space="preserve">Gravat.olot, CD-ROM Catalogue, Spain; International Print Biennial catalogue, Bulgaria; Beijing International Print Biennial catalogue</w:t>
      </w:r>
    </w:p>
    <w:p>
      <w:pPr>
        <w:pStyle w:val="BodyText"/>
      </w:pPr>
      <w:r>
        <w:t xml:space="preserve">2002 —</w:t>
      </w:r>
      <w:r>
        <w:t xml:space="preserve"> </w:t>
      </w:r>
      <w:r>
        <w:t xml:space="preserve">'The history book that never was' review,</w:t>
      </w:r>
      <w:r>
        <w:t xml:space="preserve"> </w:t>
      </w:r>
      <w:r>
        <w:rPr>
          <w:iCs/>
          <w:i/>
        </w:rPr>
        <w:t xml:space="preserve">The Art Book</w:t>
      </w:r>
      <w:r>
        <w:t xml:space="preserve">, Sept.; 20:20, 20 artists using photomechanical processes, CD-ROM, Impact Press; Artists' Book Yearbook review,</w:t>
      </w:r>
      <w:r>
        <w:t xml:space="preserve"> </w:t>
      </w:r>
      <w:r>
        <w:rPr>
          <w:iCs/>
          <w:i/>
        </w:rPr>
        <w:t xml:space="preserve">The Art Book</w:t>
      </w:r>
    </w:p>
    <w:p>
      <w:pPr>
        <w:pStyle w:val="BodyText"/>
      </w:pPr>
      <w:r>
        <w:t xml:space="preserve">2001 —</w:t>
      </w:r>
      <w:r>
        <w:t xml:space="preserve"> </w:t>
      </w:r>
      <w:r>
        <w:t xml:space="preserve">Artists' Book Yearbook, Ed. Sarah Bodman. Impact Press;</w:t>
      </w:r>
      <w:r>
        <w:t xml:space="preserve"> </w:t>
      </w:r>
      <w:r>
        <w:rPr>
          <w:iCs/>
          <w:i/>
        </w:rPr>
        <w:t xml:space="preserve">Ceramics and Print</w:t>
      </w:r>
      <w:r>
        <w:t xml:space="preserve">, Paul Scott, A&amp;C Black; Mutating Image: 12th Tallinn print triennial catalogue; A Tale of Two Cities, Ed. Sarah Bodman. Impact Press</w:t>
      </w:r>
    </w:p>
    <w:p>
      <w:pPr>
        <w:pStyle w:val="BodyText"/>
      </w:pPr>
      <w:r>
        <w:t xml:space="preserve">2000 —</w:t>
      </w:r>
      <w:r>
        <w:t xml:space="preserve"> </w:t>
      </w:r>
      <w:r>
        <w:t xml:space="preserve">Photomechanical Print Survey, Ed. Carinna Parraman, Impact Press; World Etching, Chongqing Print Festival</w:t>
      </w:r>
    </w:p>
    <w:p>
      <w:pPr>
        <w:pStyle w:val="BodyText"/>
      </w:pPr>
      <w:r>
        <w:t xml:space="preserve">1999 —</w:t>
      </w:r>
      <w:r>
        <w:t xml:space="preserve"> </w:t>
      </w:r>
      <w:r>
        <w:t xml:space="preserve">Artists' Newsletter, Sarah Bodman; Artists' Books, Ed. Sarah Bodman. Impact Press</w:t>
      </w:r>
    </w:p>
    <w:bookmarkEnd w:id="36"/>
    <w:bookmarkStart w:id="37" w:name="writer"/>
    <w:p>
      <w:pPr>
        <w:pStyle w:val="Heading3"/>
      </w:pPr>
      <w:r>
        <w:t xml:space="preserve">Writer</w:t>
      </w:r>
    </w:p>
    <w:p>
      <w:pPr>
        <w:pStyle w:val="FirstParagraph"/>
      </w:pPr>
      <w:r>
        <w:t xml:space="preserve">AfterImage, 2008–2009</w:t>
      </w:r>
    </w:p>
    <w:p>
      <w:pPr>
        <w:pStyle w:val="BodyText"/>
      </w:pPr>
      <w:r>
        <w:t xml:space="preserve">Architect's Newspaper, November 2005–2010</w:t>
      </w:r>
    </w:p>
    <w:bookmarkEnd w:id="37"/>
    <w:bookmarkStart w:id="38" w:name="curator"/>
    <w:p>
      <w:pPr>
        <w:pStyle w:val="Heading3"/>
      </w:pPr>
      <w:r>
        <w:t xml:space="preserve">Curator</w:t>
      </w:r>
    </w:p>
    <w:p>
      <w:pPr>
        <w:pStyle w:val="FirstParagraph"/>
      </w:pPr>
      <w:r>
        <w:t xml:space="preserve">2008–2010 —</w:t>
      </w:r>
      <w:r>
        <w:t xml:space="preserve"> </w:t>
      </w:r>
      <w:r>
        <w:t xml:space="preserve">Emerging Photographers, Palezzetto Eucherio Sanvitale, Parma, Italy (traveled to Philadelphia, 2009; Cordoba, 2010)</w:t>
      </w:r>
    </w:p>
    <w:p>
      <w:pPr>
        <w:pStyle w:val="BodyText"/>
      </w:pPr>
      <w:r>
        <w:t xml:space="preserve">2009 —</w:t>
      </w:r>
      <w:r>
        <w:t xml:space="preserve"> </w:t>
      </w:r>
      <w:r>
        <w:t xml:space="preserve">The End Days of Print: Raffone in Naples, EI institute, Columbia University</w:t>
      </w:r>
    </w:p>
    <w:p>
      <w:pPr>
        <w:pStyle w:val="BodyText"/>
      </w:pPr>
      <w:r>
        <w:t xml:space="preserve">2008 —</w:t>
      </w:r>
      <w:r>
        <w:t xml:space="preserve"> </w:t>
      </w:r>
      <w:r>
        <w:t xml:space="preserve">Co-curator, Italian Sense of Place II: Luigi Ghirri, Franco Guerzoni, and Nancy Goldring, George Segal Gallery, MSU, Montclair</w:t>
      </w:r>
    </w:p>
    <w:p>
      <w:pPr>
        <w:pStyle w:val="BodyText"/>
      </w:pPr>
      <w:r>
        <w:t xml:space="preserve">2008 —</w:t>
      </w:r>
      <w:r>
        <w:t xml:space="preserve"> </w:t>
      </w:r>
      <w:r>
        <w:t xml:space="preserve">Co-curator, Italian Sense of Place I: Giuseppe Morandi, Micio, and Angelo Novi, George Segal Gallery, MSU, Montclair</w:t>
      </w:r>
    </w:p>
    <w:p>
      <w:pPr>
        <w:pStyle w:val="BodyText"/>
      </w:pPr>
      <w:r>
        <w:t xml:space="preserve">2007 —</w:t>
      </w:r>
      <w:r>
        <w:t xml:space="preserve"> </w:t>
      </w:r>
      <w:r>
        <w:t xml:space="preserve">MSU Alumni Show, P.P.O.W Gallery, New York, NY</w:t>
      </w:r>
    </w:p>
    <w:bookmarkEnd w:id="38"/>
    <w:bookmarkEnd w:id="39"/>
    <w:bookmarkStart w:id="41" w:name="selected-exhibitions"/>
    <w:p>
      <w:pPr>
        <w:pStyle w:val="Heading2"/>
      </w:pPr>
      <w:r>
        <w:t xml:space="preserve">Selected Exhibitions</w:t>
      </w:r>
    </w:p>
    <w:p>
      <w:pPr>
        <w:pStyle w:val="FirstParagraph"/>
      </w:pPr>
      <w:r>
        <w:t xml:space="preserve">2022 —</w:t>
      </w:r>
      <w:r>
        <w:t xml:space="preserve"> </w:t>
      </w:r>
      <w:hyperlink r:id="rId40">
        <w:r>
          <w:rPr>
            <w:rStyle w:val="Hyperlink"/>
          </w:rPr>
          <w:t xml:space="preserve">CCRMA, Ocean Memory Concert, Stanford University</w:t>
        </w:r>
      </w:hyperlink>
    </w:p>
    <w:p>
      <w:pPr>
        <w:pStyle w:val="BodyText"/>
      </w:pPr>
      <w:r>
        <w:t xml:space="preserve">2017 —</w:t>
      </w:r>
      <w:r>
        <w:t xml:space="preserve"> </w:t>
      </w:r>
      <w:r>
        <w:t xml:space="preserve">Last Stop Before Utopia, Sarasota Art Center, Sarasota, FL</w:t>
      </w:r>
    </w:p>
    <w:p>
      <w:pPr>
        <w:pStyle w:val="BodyText"/>
      </w:pPr>
      <w:r>
        <w:t xml:space="preserve">2017 —</w:t>
      </w:r>
      <w:r>
        <w:t xml:space="preserve"> </w:t>
      </w:r>
      <w:r>
        <w:t xml:space="preserve">Zona Imaginaria, Buenos Aires, Argentina</w:t>
      </w:r>
    </w:p>
    <w:p>
      <w:pPr>
        <w:pStyle w:val="BodyText"/>
      </w:pPr>
      <w:r>
        <w:t xml:space="preserve">2015 —</w:t>
      </w:r>
      <w:r>
        <w:t xml:space="preserve"> </w:t>
      </w:r>
      <w:r>
        <w:t xml:space="preserve">Faculty Exhibition, Segal Gallery, Montclair State University, Montclair, NJ</w:t>
      </w:r>
    </w:p>
    <w:p>
      <w:pPr>
        <w:pStyle w:val="BodyText"/>
      </w:pPr>
      <w:r>
        <w:t xml:space="preserve">2014 —</w:t>
      </w:r>
      <w:r>
        <w:t xml:space="preserve"> </w:t>
      </w:r>
      <w:r>
        <w:t xml:space="preserve">Festival de la Luz, Zona Imaginaria, Buenos Aires, Argentina</w:t>
      </w:r>
    </w:p>
    <w:p>
      <w:pPr>
        <w:pStyle w:val="BodyText"/>
      </w:pPr>
      <w:r>
        <w:t xml:space="preserve">2014 —</w:t>
      </w:r>
      <w:r>
        <w:t xml:space="preserve"> </w:t>
      </w:r>
      <w:r>
        <w:t xml:space="preserve">Destination Unknown, MagnanMetz, Chelsea, NY</w:t>
      </w:r>
    </w:p>
    <w:p>
      <w:pPr>
        <w:pStyle w:val="BodyText"/>
      </w:pPr>
      <w:r>
        <w:t xml:space="preserve">2013 —</w:t>
      </w:r>
      <w:r>
        <w:t xml:space="preserve"> </w:t>
      </w:r>
      <w:r>
        <w:t xml:space="preserve">Sideshow Nation, Sideshow Gallery, Brooklyn</w:t>
      </w:r>
    </w:p>
    <w:p>
      <w:pPr>
        <w:pStyle w:val="BodyText"/>
      </w:pPr>
      <w:r>
        <w:t xml:space="preserve">2013 —</w:t>
      </w:r>
      <w:r>
        <w:t xml:space="preserve"> </w:t>
      </w:r>
      <w:r>
        <w:t xml:space="preserve">Howard Gardens Gallery, Cardiff, Wales</w:t>
      </w:r>
    </w:p>
    <w:p>
      <w:pPr>
        <w:pStyle w:val="BodyText"/>
      </w:pPr>
      <w:r>
        <w:t xml:space="preserve">2011 —</w:t>
      </w:r>
      <w:r>
        <w:t xml:space="preserve"> </w:t>
      </w:r>
      <w:r>
        <w:t xml:space="preserve">Zone Imaginaria, Buenos Aires, Argentina</w:t>
      </w:r>
    </w:p>
    <w:p>
      <w:pPr>
        <w:pStyle w:val="BodyText"/>
      </w:pPr>
      <w:r>
        <w:t xml:space="preserve">2011 —</w:t>
      </w:r>
      <w:r>
        <w:t xml:space="preserve"> </w:t>
      </w:r>
      <w:r>
        <w:t xml:space="preserve">Japan Now, Camel Arts, Brooklyn</w:t>
      </w:r>
    </w:p>
    <w:p>
      <w:pPr>
        <w:pStyle w:val="BodyText"/>
      </w:pPr>
      <w:r>
        <w:t xml:space="preserve">2010 —</w:t>
      </w:r>
      <w:r>
        <w:t xml:space="preserve"> </w:t>
      </w:r>
      <w:r>
        <w:t xml:space="preserve">New York Emergentes, UNC Cordoba, Argentina</w:t>
      </w:r>
    </w:p>
    <w:p>
      <w:pPr>
        <w:pStyle w:val="BodyText"/>
      </w:pPr>
      <w:r>
        <w:t xml:space="preserve">2010 —</w:t>
      </w:r>
      <w:r>
        <w:t xml:space="preserve"> </w:t>
      </w:r>
      <w:r>
        <w:t xml:space="preserve">Paper Trails, Whitecliffe College, New Zealand</w:t>
      </w:r>
    </w:p>
    <w:p>
      <w:pPr>
        <w:pStyle w:val="BodyText"/>
      </w:pPr>
      <w:r>
        <w:t xml:space="preserve">2009 —</w:t>
      </w:r>
      <w:r>
        <w:t xml:space="preserve"> </w:t>
      </w:r>
      <w:r>
        <w:t xml:space="preserve">Emerging Photographers, Sol Mednick Gallery, UArts, Philadelphia, PA</w:t>
      </w:r>
    </w:p>
    <w:p>
      <w:pPr>
        <w:pStyle w:val="BodyText"/>
      </w:pPr>
      <w:r>
        <w:t xml:space="preserve">2009 —</w:t>
      </w:r>
      <w:r>
        <w:t xml:space="preserve"> </w:t>
      </w:r>
      <w:r>
        <w:t xml:space="preserve">Global Impact, Bing-Davis Gallery, Upper Iowa University, Iowa</w:t>
      </w:r>
    </w:p>
    <w:p>
      <w:pPr>
        <w:pStyle w:val="BodyText"/>
      </w:pPr>
      <w:r>
        <w:t xml:space="preserve">2008 —</w:t>
      </w:r>
      <w:r>
        <w:t xml:space="preserve"> </w:t>
      </w:r>
      <w:r>
        <w:t xml:space="preserve">Fotografi Emergenti, Palazzo San Vitale, Parma, Italy</w:t>
      </w:r>
    </w:p>
    <w:p>
      <w:pPr>
        <w:pStyle w:val="BodyText"/>
      </w:pPr>
      <w:r>
        <w:t xml:space="preserve">2008 —</w:t>
      </w:r>
      <w:r>
        <w:t xml:space="preserve"> </w:t>
      </w:r>
      <w:r>
        <w:t xml:space="preserve">Not the Westside Highway, PCNJ, Sommerville, NJ</w:t>
      </w:r>
    </w:p>
    <w:p>
      <w:pPr>
        <w:pStyle w:val="BodyText"/>
      </w:pPr>
      <w:r>
        <w:t xml:space="preserve">2007 —</w:t>
      </w:r>
      <w:r>
        <w:t xml:space="preserve"> </w:t>
      </w:r>
      <w:r>
        <w:t xml:space="preserve">Time Sensitive Material, Adamson-Eric Museum, Talinn, Estonia</w:t>
      </w:r>
    </w:p>
    <w:p>
      <w:pPr>
        <w:pStyle w:val="BodyText"/>
      </w:pPr>
      <w:r>
        <w:t xml:space="preserve">2007 —</w:t>
      </w:r>
      <w:r>
        <w:t xml:space="preserve"> </w:t>
      </w:r>
      <w:r>
        <w:t xml:space="preserve">Gyeongnam International Art Festival, Gyeongnam Art Museum, South Korea</w:t>
      </w:r>
    </w:p>
    <w:p>
      <w:pPr>
        <w:pStyle w:val="BodyText"/>
      </w:pPr>
      <w:r>
        <w:t xml:space="preserve">2007 —</w:t>
      </w:r>
      <w:r>
        <w:t xml:space="preserve"> </w:t>
      </w:r>
      <w:r>
        <w:t xml:space="preserve">Poetry Books: Reading Books, Enschede, The Netherlands</w:t>
      </w:r>
    </w:p>
    <w:p>
      <w:pPr>
        <w:pStyle w:val="BodyText"/>
      </w:pPr>
      <w:r>
        <w:t xml:space="preserve">2006 —</w:t>
      </w:r>
      <w:r>
        <w:t xml:space="preserve"> </w:t>
      </w:r>
      <w:r>
        <w:t xml:space="preserve">Book marks I, II, III, Stewart Center Gallery, Purdue University, IN</w:t>
      </w:r>
    </w:p>
    <w:p>
      <w:pPr>
        <w:pStyle w:val="BodyText"/>
      </w:pPr>
      <w:r>
        <w:t xml:space="preserve">2006 —</w:t>
      </w:r>
      <w:r>
        <w:t xml:space="preserve"> </w:t>
      </w:r>
      <w:r>
        <w:t xml:space="preserve">New Pages, UIAH, Helsinki, Finland</w:t>
      </w:r>
    </w:p>
    <w:p>
      <w:pPr>
        <w:pStyle w:val="BodyText"/>
      </w:pPr>
      <w:r>
        <w:t xml:space="preserve">2005 —</w:t>
      </w:r>
      <w:r>
        <w:t xml:space="preserve"> </w:t>
      </w:r>
      <w:r>
        <w:t xml:space="preserve">Faculty Show, MSU, NJ</w:t>
      </w:r>
    </w:p>
    <w:p>
      <w:pPr>
        <w:pStyle w:val="BodyText"/>
      </w:pPr>
      <w:r>
        <w:t xml:space="preserve">2005 —</w:t>
      </w:r>
      <w:r>
        <w:t xml:space="preserve"> </w:t>
      </w:r>
      <w:r>
        <w:t xml:space="preserve">Icon-Data, online invitational show as part of the Polish Print Triennial, Kracow, Poland</w:t>
      </w:r>
    </w:p>
    <w:p>
      <w:pPr>
        <w:pStyle w:val="BodyText"/>
      </w:pPr>
      <w:r>
        <w:t xml:space="preserve">2005 —</w:t>
      </w:r>
      <w:r>
        <w:t xml:space="preserve"> </w:t>
      </w:r>
      <w:r>
        <w:t xml:space="preserve">Dangen Art, Nashville, TN</w:t>
      </w:r>
    </w:p>
    <w:p>
      <w:pPr>
        <w:pStyle w:val="BodyText"/>
      </w:pPr>
      <w:r>
        <w:t xml:space="preserve">2005 —</w:t>
      </w:r>
      <w:r>
        <w:t xml:space="preserve"> </w:t>
      </w:r>
      <w:r>
        <w:t xml:space="preserve">Hand to Mouse, Royal West of England Academy, Bristol, UK</w:t>
      </w:r>
    </w:p>
    <w:p>
      <w:pPr>
        <w:pStyle w:val="BodyText"/>
      </w:pPr>
      <w:r>
        <w:t xml:space="preserve">2005 —</w:t>
      </w:r>
      <w:r>
        <w:t xml:space="preserve"> </w:t>
      </w:r>
      <w:r>
        <w:t xml:space="preserve">Broekhuis Boekhandel, Enschede, The Netherlands</w:t>
      </w:r>
    </w:p>
    <w:p>
      <w:pPr>
        <w:pStyle w:val="BodyText"/>
      </w:pPr>
      <w:r>
        <w:t xml:space="preserve">2005 —</w:t>
      </w:r>
      <w:r>
        <w:t xml:space="preserve"> </w:t>
      </w:r>
      <w:r>
        <w:t xml:space="preserve">Book show at University of Tennessee at Chattanooga</w:t>
      </w:r>
    </w:p>
    <w:p>
      <w:pPr>
        <w:pStyle w:val="BodyText"/>
      </w:pPr>
      <w:r>
        <w:t xml:space="preserve">2005 —</w:t>
      </w:r>
      <w:r>
        <w:t xml:space="preserve"> </w:t>
      </w:r>
      <w:r>
        <w:t xml:space="preserve">Member's Show, CEPA Gallery, Buffalo</w:t>
      </w:r>
    </w:p>
    <w:p>
      <w:pPr>
        <w:pStyle w:val="BodyText"/>
      </w:pPr>
      <w:r>
        <w:t xml:space="preserve">2005 —</w:t>
      </w:r>
      <w:r>
        <w:t xml:space="preserve"> </w:t>
      </w:r>
      <w:r>
        <w:t xml:space="preserve">Boxing Clever, University of the West of England and the Royal West of England Academy, Bristol, UK</w:t>
      </w:r>
    </w:p>
    <w:p>
      <w:pPr>
        <w:pStyle w:val="BodyText"/>
      </w:pPr>
      <w:r>
        <w:t xml:space="preserve">2004 —</w:t>
      </w:r>
      <w:r>
        <w:t xml:space="preserve"> </w:t>
      </w:r>
      <w:r>
        <w:t xml:space="preserve">13th Print Triennial, Tallinn, Estonia</w:t>
      </w:r>
    </w:p>
    <w:p>
      <w:pPr>
        <w:pStyle w:val="BodyText"/>
      </w:pPr>
      <w:r>
        <w:t xml:space="preserve">2004 —</w:t>
      </w:r>
      <w:r>
        <w:t xml:space="preserve"> </w:t>
      </w:r>
      <w:r>
        <w:t xml:space="preserve">Solo show, Prema Arts Centre, Uley, UK</w:t>
      </w:r>
    </w:p>
    <w:p>
      <w:pPr>
        <w:pStyle w:val="BodyText"/>
      </w:pPr>
      <w:r>
        <w:t xml:space="preserve">2004 —</w:t>
      </w:r>
      <w:r>
        <w:t xml:space="preserve"> </w:t>
      </w:r>
      <w:r>
        <w:t xml:space="preserve">New Directions in Printmaking, Miskolc Gallery of Fine Arts, Hungary</w:t>
      </w:r>
    </w:p>
    <w:p>
      <w:pPr>
        <w:pStyle w:val="BodyText"/>
      </w:pPr>
      <w:r>
        <w:t xml:space="preserve">2004 —</w:t>
      </w:r>
      <w:r>
        <w:t xml:space="preserve"> </w:t>
      </w:r>
      <w:r>
        <w:t xml:space="preserve">Artists' Book show, University of Tennessee</w:t>
      </w:r>
    </w:p>
    <w:p>
      <w:pPr>
        <w:pStyle w:val="BodyText"/>
      </w:pPr>
      <w:r>
        <w:t xml:space="preserve">2004 —</w:t>
      </w:r>
      <w:r>
        <w:t xml:space="preserve"> </w:t>
      </w:r>
      <w:r>
        <w:t xml:space="preserve">Artists' Book show, HouseRoom, Bath, UK</w:t>
      </w:r>
    </w:p>
    <w:p>
      <w:pPr>
        <w:pStyle w:val="BodyText"/>
      </w:pPr>
      <w:r>
        <w:t xml:space="preserve">2004 —</w:t>
      </w:r>
      <w:r>
        <w:t xml:space="preserve"> </w:t>
      </w:r>
      <w:r>
        <w:t xml:space="preserve">Altered Images, Digital Interpretations Inspired by Geo. Cartlidge's Portrait Tiles, The Potteries Museum and Gallery, Stoke-on-Trent, UK</w:t>
      </w:r>
    </w:p>
    <w:p>
      <w:pPr>
        <w:pStyle w:val="BodyText"/>
      </w:pPr>
      <w:r>
        <w:t xml:space="preserve">2004 —</w:t>
      </w:r>
      <w:r>
        <w:t xml:space="preserve"> </w:t>
      </w:r>
      <w:r>
        <w:t xml:space="preserve">Bookmarks Project, UWE, UK</w:t>
      </w:r>
    </w:p>
    <w:p>
      <w:pPr>
        <w:pStyle w:val="BodyText"/>
      </w:pPr>
      <w:r>
        <w:t xml:space="preserve">2003 —</w:t>
      </w:r>
      <w:r>
        <w:t xml:space="preserve"> </w:t>
      </w:r>
      <w:r>
        <w:t xml:space="preserve">International Graphic Art Biennial, Split, Croatia</w:t>
      </w:r>
    </w:p>
    <w:p>
      <w:pPr>
        <w:pStyle w:val="BodyText"/>
      </w:pPr>
      <w:r>
        <w:t xml:space="preserve">2003 —</w:t>
      </w:r>
      <w:r>
        <w:t xml:space="preserve"> </w:t>
      </w:r>
      <w:r>
        <w:t xml:space="preserve">Macedonian Print Triennial, Bitola, Macedonia</w:t>
      </w:r>
    </w:p>
    <w:p>
      <w:pPr>
        <w:pStyle w:val="BodyText"/>
      </w:pPr>
      <w:r>
        <w:t xml:space="preserve">2003 —</w:t>
      </w:r>
      <w:r>
        <w:t xml:space="preserve"> </w:t>
      </w:r>
      <w:r>
        <w:t xml:space="preserve">Gravat.olot, Olot, Spain</w:t>
      </w:r>
    </w:p>
    <w:p>
      <w:pPr>
        <w:pStyle w:val="BodyText"/>
      </w:pPr>
      <w:r>
        <w:t xml:space="preserve">2003 —</w:t>
      </w:r>
      <w:r>
        <w:t xml:space="preserve"> </w:t>
      </w:r>
      <w:r>
        <w:t xml:space="preserve">Gravat, Häsinglands Museum of Hudiksvall, Sweden</w:t>
      </w:r>
    </w:p>
    <w:p>
      <w:pPr>
        <w:pStyle w:val="BodyText"/>
      </w:pPr>
      <w:r>
        <w:t xml:space="preserve">2003 —</w:t>
      </w:r>
      <w:r>
        <w:t xml:space="preserve"> </w:t>
      </w:r>
      <w:r>
        <w:t xml:space="preserve">Portraits, University of Montana</w:t>
      </w:r>
    </w:p>
    <w:p>
      <w:pPr>
        <w:pStyle w:val="BodyText"/>
      </w:pPr>
      <w:r>
        <w:t xml:space="preserve">2003 —</w:t>
      </w:r>
      <w:r>
        <w:t xml:space="preserve"> </w:t>
      </w:r>
      <w:r>
        <w:t xml:space="preserve">International Print Biennial, Varna, Bulgaria</w:t>
      </w:r>
    </w:p>
    <w:p>
      <w:pPr>
        <w:pStyle w:val="BodyText"/>
      </w:pPr>
      <w:r>
        <w:t xml:space="preserve">2003 —</w:t>
      </w:r>
      <w:r>
        <w:t xml:space="preserve"> </w:t>
      </w:r>
      <w:r>
        <w:t xml:space="preserve">Masereel: 10 Years of Prints, Edinburgh Printmakers, Edinburgh, UK</w:t>
      </w:r>
    </w:p>
    <w:p>
      <w:pPr>
        <w:pStyle w:val="BodyText"/>
      </w:pPr>
      <w:r>
        <w:t xml:space="preserve">2003 —</w:t>
      </w:r>
      <w:r>
        <w:t xml:space="preserve"> </w:t>
      </w:r>
      <w:r>
        <w:t xml:space="preserve">International Print Biennial, Beijing, China</w:t>
      </w:r>
    </w:p>
    <w:p>
      <w:pPr>
        <w:pStyle w:val="BodyText"/>
      </w:pPr>
      <w:r>
        <w:t xml:space="preserve">2003 —</w:t>
      </w:r>
      <w:r>
        <w:t xml:space="preserve"> </w:t>
      </w:r>
      <w:r>
        <w:t xml:space="preserve">Featured Artist, Center for Book Arts, New York</w:t>
      </w:r>
    </w:p>
    <w:p>
      <w:pPr>
        <w:pStyle w:val="BodyText"/>
      </w:pPr>
      <w:r>
        <w:t xml:space="preserve">2003 —</w:t>
      </w:r>
      <w:r>
        <w:t xml:space="preserve"> </w:t>
      </w:r>
      <w:r>
        <w:t xml:space="preserve">Curtains, Manhattan Graphics Center, New York</w:t>
      </w:r>
    </w:p>
    <w:p>
      <w:pPr>
        <w:pStyle w:val="BodyText"/>
      </w:pPr>
      <w:r>
        <w:t xml:space="preserve">2003 —</w:t>
      </w:r>
      <w:r>
        <w:t xml:space="preserve"> </w:t>
      </w:r>
      <w:r>
        <w:t xml:space="preserve">The history book that never was, Boston</w:t>
      </w:r>
    </w:p>
    <w:p>
      <w:pPr>
        <w:pStyle w:val="BodyText"/>
      </w:pPr>
      <w:r>
        <w:t xml:space="preserve">2003 —</w:t>
      </w:r>
      <w:r>
        <w:t xml:space="preserve"> </w:t>
      </w:r>
      <w:r>
        <w:t xml:space="preserve">Portfolio show, Boston</w:t>
      </w:r>
    </w:p>
    <w:p>
      <w:pPr>
        <w:pStyle w:val="BodyText"/>
      </w:pPr>
      <w:r>
        <w:t xml:space="preserve">2003 —</w:t>
      </w:r>
      <w:r>
        <w:t xml:space="preserve"> </w:t>
      </w:r>
      <w:r>
        <w:t xml:space="preserve">25 years of The Frans Masereel Centrum, Belgium</w:t>
      </w:r>
    </w:p>
    <w:p>
      <w:pPr>
        <w:pStyle w:val="BodyText"/>
      </w:pPr>
      <w:r>
        <w:t xml:space="preserve">2003 —</w:t>
      </w:r>
      <w:r>
        <w:t xml:space="preserve"> </w:t>
      </w:r>
      <w:r>
        <w:t xml:space="preserve">Secrets, University of Tennessee at Chattanooga</w:t>
      </w:r>
    </w:p>
    <w:p>
      <w:pPr>
        <w:pStyle w:val="BodyText"/>
      </w:pPr>
      <w:r>
        <w:t xml:space="preserve">2003 —</w:t>
      </w:r>
      <w:r>
        <w:t xml:space="preserve"> </w:t>
      </w:r>
      <w:r>
        <w:t xml:space="preserve">Mainz Minibuchverlagmesse, Mainz, Germany</w:t>
      </w:r>
    </w:p>
    <w:p>
      <w:pPr>
        <w:pStyle w:val="BodyText"/>
      </w:pPr>
      <w:r>
        <w:t xml:space="preserve">2003 —</w:t>
      </w:r>
      <w:r>
        <w:t xml:space="preserve"> </w:t>
      </w:r>
      <w:r>
        <w:t xml:space="preserve">9th Wexford Artists Book Exhibition, Ireland</w:t>
      </w:r>
    </w:p>
    <w:p>
      <w:pPr>
        <w:pStyle w:val="BodyText"/>
      </w:pPr>
      <w:r>
        <w:t xml:space="preserve">2002 —</w:t>
      </w:r>
      <w:r>
        <w:t xml:space="preserve"> </w:t>
      </w:r>
      <w:r>
        <w:t xml:space="preserve">Artists Book Show, Sherborne, UK</w:t>
      </w:r>
    </w:p>
    <w:p>
      <w:pPr>
        <w:pStyle w:val="BodyText"/>
      </w:pPr>
      <w:r>
        <w:t xml:space="preserve">2002 —</w:t>
      </w:r>
      <w:r>
        <w:t xml:space="preserve"> </w:t>
      </w:r>
      <w:r>
        <w:t xml:space="preserve">20:20, Hereford College, UK</w:t>
      </w:r>
    </w:p>
    <w:p>
      <w:pPr>
        <w:pStyle w:val="BodyText"/>
      </w:pPr>
      <w:r>
        <w:t xml:space="preserve">2002 —</w:t>
      </w:r>
      <w:r>
        <w:t xml:space="preserve"> </w:t>
      </w:r>
      <w:r>
        <w:t xml:space="preserve">here here there there, University of Dundee and UWE, UK</w:t>
      </w:r>
    </w:p>
    <w:p>
      <w:pPr>
        <w:pStyle w:val="BodyText"/>
      </w:pPr>
      <w:r>
        <w:t xml:space="preserve">2002 —</w:t>
      </w:r>
      <w:r>
        <w:t xml:space="preserve"> </w:t>
      </w:r>
      <w:r>
        <w:t xml:space="preserve">7è Concurs Internacional de Gravat Premi, Girona, Spain</w:t>
      </w:r>
    </w:p>
    <w:p>
      <w:pPr>
        <w:pStyle w:val="BodyText"/>
      </w:pPr>
      <w:r>
        <w:t xml:space="preserve">2001 —</w:t>
      </w:r>
      <w:r>
        <w:t xml:space="preserve"> </w:t>
      </w:r>
      <w:r>
        <w:t xml:space="preserve">Curtains and first international Miniprint Show, Gittins Gallery, University of Utah, Salt Lake City</w:t>
      </w:r>
    </w:p>
    <w:p>
      <w:pPr>
        <w:pStyle w:val="BodyText"/>
      </w:pPr>
      <w:r>
        <w:t xml:space="preserve">2001 —</w:t>
      </w:r>
      <w:r>
        <w:t xml:space="preserve"> </w:t>
      </w:r>
      <w:r>
        <w:t xml:space="preserve">7th Wexford Artists Book Exhibition, Ireland</w:t>
      </w:r>
    </w:p>
    <w:p>
      <w:pPr>
        <w:pStyle w:val="BodyText"/>
      </w:pPr>
      <w:r>
        <w:t xml:space="preserve">2001 —</w:t>
      </w:r>
      <w:r>
        <w:t xml:space="preserve"> </w:t>
      </w:r>
      <w:r>
        <w:t xml:space="preserve">Feat of Clay, V&amp;A Museum, London</w:t>
      </w:r>
    </w:p>
    <w:p>
      <w:pPr>
        <w:pStyle w:val="BodyText"/>
      </w:pPr>
      <w:r>
        <w:t xml:space="preserve">2001 —</w:t>
      </w:r>
      <w:r>
        <w:t xml:space="preserve"> </w:t>
      </w:r>
      <w:r>
        <w:t xml:space="preserve">Tallinn Print Triennial, Tallinn, Estonia</w:t>
      </w:r>
    </w:p>
    <w:p>
      <w:pPr>
        <w:pStyle w:val="BodyText"/>
      </w:pPr>
      <w:r>
        <w:t xml:space="preserve">2001 —</w:t>
      </w:r>
      <w:r>
        <w:t xml:space="preserve"> </w:t>
      </w:r>
      <w:r>
        <w:t xml:space="preserve">Photomechanical print survey, CADE, Glasgow School of Art</w:t>
      </w:r>
    </w:p>
    <w:p>
      <w:pPr>
        <w:pStyle w:val="BodyText"/>
      </w:pPr>
      <w:r>
        <w:t xml:space="preserve">2001 —</w:t>
      </w:r>
      <w:r>
        <w:t xml:space="preserve"> </w:t>
      </w:r>
      <w:r>
        <w:t xml:space="preserve">Society of Graphic Art, Hotbath Gallery, Bath</w:t>
      </w:r>
    </w:p>
    <w:p>
      <w:pPr>
        <w:pStyle w:val="BodyText"/>
      </w:pPr>
      <w:r>
        <w:t xml:space="preserve">2001 —</w:t>
      </w:r>
      <w:r>
        <w:t xml:space="preserve"> </w:t>
      </w:r>
      <w:r>
        <w:t xml:space="preserve">SGC Conference, Austin, Texas</w:t>
      </w:r>
    </w:p>
    <w:p>
      <w:pPr>
        <w:pStyle w:val="BodyText"/>
      </w:pPr>
      <w:r>
        <w:t xml:space="preserve">2001 —</w:t>
      </w:r>
      <w:r>
        <w:t xml:space="preserve"> </w:t>
      </w:r>
      <w:r>
        <w:t xml:space="preserve">A Tale of Two Cities, Center for Book Arts, New York and Off-Centre Gallery, Bristol</w:t>
      </w:r>
    </w:p>
    <w:p>
      <w:pPr>
        <w:pStyle w:val="BodyText"/>
      </w:pPr>
      <w:r>
        <w:t xml:space="preserve">2000 —</w:t>
      </w:r>
      <w:r>
        <w:t xml:space="preserve"> </w:t>
      </w:r>
      <w:r>
        <w:t xml:space="preserve">Chongqing Print Festival, Chongqing, China</w:t>
      </w:r>
    </w:p>
    <w:p>
      <w:pPr>
        <w:pStyle w:val="BodyText"/>
      </w:pPr>
      <w:r>
        <w:t xml:space="preserve">2000 —</w:t>
      </w:r>
      <w:r>
        <w:t xml:space="preserve"> </w:t>
      </w:r>
      <w:r>
        <w:t xml:space="preserve">Photomechanical print survey, Create Centre, Bristol</w:t>
      </w:r>
    </w:p>
    <w:p>
      <w:pPr>
        <w:pStyle w:val="BodyText"/>
      </w:pPr>
      <w:r>
        <w:t xml:space="preserve">1999 —</w:t>
      </w:r>
      <w:r>
        <w:t xml:space="preserve"> </w:t>
      </w:r>
      <w:r>
        <w:t xml:space="preserve">Impact print conference, Bristol: Artists' Books 1989–1999, flexography and 'Mind the Gap' shows</w:t>
      </w:r>
    </w:p>
    <w:p>
      <w:pPr>
        <w:pStyle w:val="BodyText"/>
      </w:pPr>
      <w:r>
        <w:t xml:space="preserve">1999 —</w:t>
      </w:r>
      <w:r>
        <w:t xml:space="preserve"> </w:t>
      </w:r>
      <w:r>
        <w:t xml:space="preserve">Indiana University print exchange, Bloomington, IA</w:t>
      </w:r>
    </w:p>
    <w:p>
      <w:pPr>
        <w:pStyle w:val="BodyText"/>
      </w:pPr>
      <w:r>
        <w:t xml:space="preserve">1997 —</w:t>
      </w:r>
      <w:r>
        <w:t xml:space="preserve"> </w:t>
      </w:r>
      <w:r>
        <w:t xml:space="preserve">10 years of the Miniprint, Bankside gallery, London; Ohio SU; Rhodes uni; S. Africa; Uni of So. Illinois; Kent SU; Cleveland Institute; AKI, Enschede, Holland</w:t>
      </w:r>
    </w:p>
    <w:p>
      <w:pPr>
        <w:pStyle w:val="BodyText"/>
      </w:pPr>
      <w:r>
        <w:t xml:space="preserve">1997 —</w:t>
      </w:r>
      <w:r>
        <w:t xml:space="preserve"> </w:t>
      </w:r>
      <w:r>
        <w:t xml:space="preserve">Booksy, group show, Newcastle-upon-Tyne</w:t>
      </w:r>
    </w:p>
    <w:p>
      <w:pPr>
        <w:pStyle w:val="BodyText"/>
      </w:pPr>
      <w:r>
        <w:t xml:space="preserve">1997 —</w:t>
      </w:r>
      <w:r>
        <w:t xml:space="preserve"> </w:t>
      </w:r>
      <w:r>
        <w:t xml:space="preserve">Imbue, group show, The Old Leadworks, Bristol</w:t>
      </w:r>
    </w:p>
    <w:p>
      <w:pPr>
        <w:pStyle w:val="BodyText"/>
      </w:pPr>
      <w:r>
        <w:t xml:space="preserve">1996–2003 —</w:t>
      </w:r>
      <w:r>
        <w:t xml:space="preserve"> </w:t>
      </w:r>
      <w:r>
        <w:t xml:space="preserve">Miniprint Shows, Bristol</w:t>
      </w:r>
    </w:p>
    <w:p>
      <w:pPr>
        <w:pStyle w:val="BodyText"/>
      </w:pPr>
      <w:r>
        <w:t xml:space="preserve">1997–2003 —</w:t>
      </w:r>
      <w:r>
        <w:t xml:space="preserve"> </w:t>
      </w:r>
      <w:r>
        <w:t xml:space="preserve">Artist's Book Fair, Barbican, London</w:t>
      </w:r>
    </w:p>
    <w:p>
      <w:pPr>
        <w:pStyle w:val="BodyText"/>
      </w:pPr>
      <w:r>
        <w:t xml:space="preserve">1998–2004 —</w:t>
      </w:r>
      <w:r>
        <w:t xml:space="preserve"> </w:t>
      </w:r>
      <w:r>
        <w:t xml:space="preserve">Halifax Book Fair, Dean Clough Gallery</w:t>
      </w:r>
    </w:p>
    <w:bookmarkEnd w:id="41"/>
    <w:bookmarkStart w:id="42" w:name="workshops-lectures-presentations"/>
    <w:p>
      <w:pPr>
        <w:pStyle w:val="Heading2"/>
      </w:pPr>
      <w:r>
        <w:t xml:space="preserve">Workshops, Lectures &amp; Presentations</w:t>
      </w:r>
    </w:p>
    <w:p>
      <w:pPr>
        <w:pStyle w:val="FirstParagraph"/>
      </w:pPr>
      <w:r>
        <w:t xml:space="preserve">2022 —</w:t>
      </w:r>
      <w:r>
        <w:t xml:space="preserve"> </w:t>
      </w:r>
      <w:r>
        <w:t xml:space="preserve">Harbor Six, Ocean Memory Project, Online</w:t>
      </w:r>
    </w:p>
    <w:p>
      <w:pPr>
        <w:pStyle w:val="BodyText"/>
      </w:pPr>
      <w:r>
        <w:t xml:space="preserve">2017 —</w:t>
      </w:r>
      <w:r>
        <w:t xml:space="preserve"> </w:t>
      </w:r>
      <w:r>
        <w:t xml:space="preserve">Artist PhD presentation for Volta Art Fair, New York</w:t>
      </w:r>
    </w:p>
    <w:p>
      <w:pPr>
        <w:pStyle w:val="BodyText"/>
      </w:pPr>
      <w:r>
        <w:t xml:space="preserve">2013 —</w:t>
      </w:r>
      <w:r>
        <w:t xml:space="preserve"> </w:t>
      </w:r>
      <w:r>
        <w:t xml:space="preserve">Visiting Critic for BFA Photography, NYU, NY</w:t>
      </w:r>
    </w:p>
    <w:p>
      <w:pPr>
        <w:pStyle w:val="BodyText"/>
      </w:pPr>
      <w:r>
        <w:t xml:space="preserve">2012 —</w:t>
      </w:r>
      <w:r>
        <w:t xml:space="preserve"> </w:t>
      </w:r>
      <w:r>
        <w:t xml:space="preserve">Visiting Lecturer and External Assessor, Whitecliffe College, Auckland, NZ</w:t>
      </w:r>
    </w:p>
    <w:p>
      <w:pPr>
        <w:pStyle w:val="BodyText"/>
      </w:pPr>
      <w:r>
        <w:t xml:space="preserve">2008 —</w:t>
      </w:r>
      <w:r>
        <w:t xml:space="preserve"> </w:t>
      </w:r>
      <w:r>
        <w:t xml:space="preserve">Visiting Critic for BFA Photography, Pratt College of Art, Brooklyn</w:t>
      </w:r>
    </w:p>
    <w:p>
      <w:pPr>
        <w:pStyle w:val="BodyText"/>
      </w:pPr>
      <w:r>
        <w:t xml:space="preserve">2008 —</w:t>
      </w:r>
      <w:r>
        <w:t xml:space="preserve"> </w:t>
      </w:r>
      <w:r>
        <w:t xml:space="preserve">'Giuseppe Morandi And The Lega Cultura Di Piadena Practicing Contemporary Neo-realism, ' Hawaii International Conference on Arts and Humanities, University of Louisville, Honolulu, HI</w:t>
      </w:r>
    </w:p>
    <w:p>
      <w:pPr>
        <w:pStyle w:val="BodyText"/>
      </w:pPr>
      <w:r>
        <w:t xml:space="preserve">2005 —</w:t>
      </w:r>
      <w:r>
        <w:t xml:space="preserve"> </w:t>
      </w:r>
      <w:r>
        <w:t xml:space="preserve">'Interstitial Languages: photography and printmaking, ' Impact 4 Conference, Poznan Museum, Poland</w:t>
      </w:r>
    </w:p>
    <w:p>
      <w:pPr>
        <w:pStyle w:val="BodyText"/>
      </w:pPr>
      <w:r>
        <w:t xml:space="preserve">2004 —</w:t>
      </w:r>
      <w:r>
        <w:t xml:space="preserve"> </w:t>
      </w:r>
      <w:r>
        <w:t xml:space="preserve">Polymergravure demonstration, University of Delaware, Newark</w:t>
      </w:r>
    </w:p>
    <w:p>
      <w:pPr>
        <w:pStyle w:val="BodyText"/>
      </w:pPr>
      <w:r>
        <w:t xml:space="preserve">2004 —</w:t>
      </w:r>
      <w:r>
        <w:t xml:space="preserve"> </w:t>
      </w:r>
      <w:r>
        <w:t xml:space="preserve">Artist's talk, University of Delaware, Newark</w:t>
      </w:r>
    </w:p>
    <w:p>
      <w:pPr>
        <w:pStyle w:val="BodyText"/>
      </w:pPr>
      <w:r>
        <w:t xml:space="preserve">2004 —</w:t>
      </w:r>
      <w:r>
        <w:t xml:space="preserve"> </w:t>
      </w:r>
      <w:r>
        <w:t xml:space="preserve">'A history of Woodburytypes, ' University of Delaware, Newark</w:t>
      </w:r>
    </w:p>
    <w:p>
      <w:pPr>
        <w:pStyle w:val="BodyText"/>
      </w:pPr>
      <w:r>
        <w:t xml:space="preserve">2004 —</w:t>
      </w:r>
      <w:r>
        <w:t xml:space="preserve"> </w:t>
      </w:r>
      <w:r>
        <w:t xml:space="preserve">Artist's talk, Drexel University, Philadelphia</w:t>
      </w:r>
    </w:p>
    <w:p>
      <w:pPr>
        <w:pStyle w:val="BodyText"/>
      </w:pPr>
      <w:r>
        <w:t xml:space="preserve">2004 —</w:t>
      </w:r>
      <w:r>
        <w:t xml:space="preserve"> </w:t>
      </w:r>
      <w:r>
        <w:t xml:space="preserve">'The development of early photographic reproduction processes, ' University of Virginia, Charlottesville</w:t>
      </w:r>
    </w:p>
    <w:p>
      <w:pPr>
        <w:pStyle w:val="BodyText"/>
      </w:pPr>
      <w:r>
        <w:t xml:space="preserve">2003 —</w:t>
      </w:r>
      <w:r>
        <w:t xml:space="preserve"> </w:t>
      </w:r>
      <w:r>
        <w:t xml:space="preserve">Artist's talk, Center for Book Arts, New York</w:t>
      </w:r>
    </w:p>
    <w:p>
      <w:pPr>
        <w:pStyle w:val="BodyText"/>
      </w:pPr>
      <w:r>
        <w:t xml:space="preserve">2003 —</w:t>
      </w:r>
      <w:r>
        <w:t xml:space="preserve"> </w:t>
      </w:r>
      <w:r>
        <w:t xml:space="preserve">'Investigating the problems of empirical research through the work of Joan Fontcuberta, ' paper for CADE 2003, Hull, UK</w:t>
      </w:r>
    </w:p>
    <w:p>
      <w:pPr>
        <w:pStyle w:val="BodyText"/>
      </w:pPr>
      <w:r>
        <w:t xml:space="preserve">2003 —</w:t>
      </w:r>
      <w:r>
        <w:t xml:space="preserve"> </w:t>
      </w:r>
      <w:r>
        <w:t xml:space="preserve">'Continuous Tone Alternatives to the Halftone Model Through Historical Reflection, ' Paper at PICS digital imaging conference, Rochester NY</w:t>
      </w:r>
    </w:p>
    <w:p>
      <w:pPr>
        <w:pStyle w:val="BodyText"/>
      </w:pPr>
      <w:r>
        <w:t xml:space="preserve">2003 —</w:t>
      </w:r>
      <w:r>
        <w:t xml:space="preserve"> </w:t>
      </w:r>
      <w:r>
        <w:t xml:space="preserve">Artist talk, Glasgow School of Art</w:t>
      </w:r>
    </w:p>
    <w:p>
      <w:pPr>
        <w:pStyle w:val="BodyText"/>
      </w:pPr>
      <w:r>
        <w:t xml:space="preserve">2003 —</w:t>
      </w:r>
      <w:r>
        <w:t xml:space="preserve"> </w:t>
      </w:r>
      <w:r>
        <w:t xml:space="preserve">Member of library users group, University of the West of England</w:t>
      </w:r>
    </w:p>
    <w:p>
      <w:pPr>
        <w:pStyle w:val="BodyText"/>
      </w:pPr>
      <w:r>
        <w:t xml:space="preserve">2002 —</w:t>
      </w:r>
      <w:r>
        <w:t xml:space="preserve"> </w:t>
      </w:r>
      <w:r>
        <w:t xml:space="preserve">Regional Ph.D seminar, 'Empirical research and critical practice,' University of the West of England</w:t>
      </w:r>
    </w:p>
    <w:p>
      <w:pPr>
        <w:pStyle w:val="BodyText"/>
      </w:pPr>
      <w:r>
        <w:t xml:space="preserve">2001 —</w:t>
      </w:r>
      <w:r>
        <w:t xml:space="preserve"> </w:t>
      </w:r>
      <w:r>
        <w:t xml:space="preserve">'Ongoing Ph.D research' at Research Colloquium, Winchester School of Art</w:t>
      </w:r>
    </w:p>
    <w:p>
      <w:pPr>
        <w:pStyle w:val="BodyText"/>
      </w:pPr>
      <w:r>
        <w:t xml:space="preserve">2000 —</w:t>
      </w:r>
      <w:r>
        <w:t xml:space="preserve"> </w:t>
      </w:r>
      <w:r>
        <w:t xml:space="preserve">Fine print research for development of flexography for fine print and tests on new waterwashable inks for relief printing, University of the West of England</w:t>
      </w:r>
    </w:p>
    <w:p>
      <w:pPr>
        <w:pStyle w:val="BodyText"/>
      </w:pPr>
      <w:r>
        <w:t xml:space="preserve">2000 —</w:t>
      </w:r>
      <w:r>
        <w:t xml:space="preserve"> </w:t>
      </w:r>
      <w:r>
        <w:t xml:space="preserve">Member of Faculty research committee, University of the West of England</w:t>
      </w:r>
    </w:p>
    <w:p>
      <w:pPr>
        <w:pStyle w:val="BodyText"/>
      </w:pPr>
      <w:r>
        <w:t xml:space="preserve">1999 —</w:t>
      </w:r>
      <w:r>
        <w:t xml:space="preserve"> </w:t>
      </w:r>
      <w:r>
        <w:t xml:space="preserve">Artists' talk during show on 'Picasso and post-war printmaking in Paris, ' Arnolfini Gallery, Bristol</w:t>
      </w:r>
    </w:p>
    <w:p>
      <w:pPr>
        <w:pStyle w:val="BodyText"/>
      </w:pPr>
      <w:r>
        <w:t xml:space="preserve">1999 —</w:t>
      </w:r>
      <w:r>
        <w:t xml:space="preserve"> </w:t>
      </w:r>
      <w:r>
        <w:t xml:space="preserve">'CAB' urban spaces projects. Collaborative screen printed installation for UWE &amp; Lloyd's Bank</w:t>
      </w:r>
    </w:p>
    <w:bookmarkEnd w:id="42"/>
    <w:bookmarkStart w:id="43" w:name="artist-residencies"/>
    <w:p>
      <w:pPr>
        <w:pStyle w:val="Heading2"/>
      </w:pPr>
      <w:r>
        <w:t xml:space="preserve">Artist Residencies</w:t>
      </w:r>
    </w:p>
    <w:p>
      <w:pPr>
        <w:pStyle w:val="FirstParagraph"/>
      </w:pPr>
      <w:r>
        <w:t xml:space="preserve">2003 —</w:t>
      </w:r>
      <w:r>
        <w:t xml:space="preserve"> </w:t>
      </w:r>
      <w:r>
        <w:t xml:space="preserve">Gravat.olot, Olot, Spain</w:t>
      </w:r>
      <w:r>
        <w:t xml:space="preserve"> </w:t>
      </w:r>
      <w:r>
        <w:rPr>
          <w:iCs/>
          <w:i/>
        </w:rPr>
        <w:t xml:space="preserve">(Awarded gold prize)</w:t>
      </w:r>
    </w:p>
    <w:p>
      <w:pPr>
        <w:pStyle w:val="BodyText"/>
      </w:pPr>
      <w:r>
        <w:t xml:space="preserve">2003 —</w:t>
      </w:r>
      <w:r>
        <w:t xml:space="preserve"> </w:t>
      </w:r>
      <w:r>
        <w:t xml:space="preserve">Sally R. Bishop Fellowship and residency, Center for Book Arts, NY</w:t>
      </w:r>
    </w:p>
    <w:p>
      <w:pPr>
        <w:pStyle w:val="BodyText"/>
      </w:pPr>
      <w:r>
        <w:t xml:space="preserve">2003 —</w:t>
      </w:r>
      <w:r>
        <w:t xml:space="preserve"> </w:t>
      </w:r>
      <w:r>
        <w:t xml:space="preserve">Artist in Residence, Glasgow School of Art, UK</w:t>
      </w:r>
    </w:p>
    <w:p>
      <w:pPr>
        <w:pStyle w:val="BodyText"/>
      </w:pPr>
      <w:r>
        <w:t xml:space="preserve">2002 —</w:t>
      </w:r>
      <w:r>
        <w:t xml:space="preserve"> </w:t>
      </w:r>
      <w:r>
        <w:t xml:space="preserve">Residency, Frans Masereel Centrum, Kasterlee, Belgium</w:t>
      </w:r>
    </w:p>
    <w:bookmarkEnd w:id="43"/>
    <w:bookmarkStart w:id="44" w:name="grants"/>
    <w:p>
      <w:pPr>
        <w:pStyle w:val="Heading2"/>
      </w:pPr>
      <w:r>
        <w:t xml:space="preserve">Grants</w:t>
      </w:r>
    </w:p>
    <w:p>
      <w:pPr>
        <w:pStyle w:val="FirstParagraph"/>
      </w:pPr>
      <w:r>
        <w:t xml:space="preserve">2025 —</w:t>
      </w:r>
      <w:r>
        <w:t xml:space="preserve"> </w:t>
      </w:r>
      <w:r>
        <w:t xml:space="preserve">Ocean Memory Project, Nuuk Research Trip, $2,000</w:t>
      </w:r>
    </w:p>
    <w:p>
      <w:pPr>
        <w:pStyle w:val="BodyText"/>
      </w:pPr>
      <w:r>
        <w:t xml:space="preserve">2023 —</w:t>
      </w:r>
      <w:r>
        <w:t xml:space="preserve"> </w:t>
      </w:r>
      <w:r>
        <w:t xml:space="preserve">Ocean Memory Project, The Architectural Memory of Sea Ice, $10,000</w:t>
      </w:r>
    </w:p>
    <w:p>
      <w:pPr>
        <w:pStyle w:val="BodyText"/>
      </w:pPr>
      <w:r>
        <w:t xml:space="preserve">2022 —</w:t>
      </w:r>
      <w:r>
        <w:t xml:space="preserve"> </w:t>
      </w:r>
      <w:r>
        <w:t xml:space="preserve">American Philosophical Association, $5,000, Institute for Advancement of Philosophy for Children Book Prototype</w:t>
      </w:r>
    </w:p>
    <w:p>
      <w:pPr>
        <w:pStyle w:val="BodyText"/>
      </w:pPr>
      <w:r>
        <w:t xml:space="preserve">2022 —</w:t>
      </w:r>
      <w:r>
        <w:t xml:space="preserve"> </w:t>
      </w:r>
      <w:r>
        <w:t xml:space="preserve">Ocean Memory Project, Senses Sensing, $9,000</w:t>
      </w:r>
    </w:p>
    <w:p>
      <w:pPr>
        <w:pStyle w:val="BodyText"/>
      </w:pPr>
      <w:r>
        <w:t xml:space="preserve">2008 —</w:t>
      </w:r>
      <w:r>
        <w:t xml:space="preserve"> </w:t>
      </w:r>
      <w:r>
        <w:t xml:space="preserve">Global Education grant, MSU, $4,000 — Emerging Photographers Exhibition</w:t>
      </w:r>
    </w:p>
    <w:p>
      <w:pPr>
        <w:pStyle w:val="BodyText"/>
      </w:pPr>
      <w:r>
        <w:t xml:space="preserve">2007 —</w:t>
      </w:r>
      <w:r>
        <w:t xml:space="preserve"> </w:t>
      </w:r>
      <w:r>
        <w:t xml:space="preserve">Global Education grant, MSU, $2,000 — Developing the Italian Sense of Place Conference</w:t>
      </w:r>
    </w:p>
    <w:bookmarkEnd w:id="44"/>
    <w:bookmarkStart w:id="45" w:name="collections"/>
    <w:p>
      <w:pPr>
        <w:pStyle w:val="Heading2"/>
      </w:pPr>
      <w:r>
        <w:t xml:space="preserve">Collections</w:t>
      </w:r>
    </w:p>
    <w:p>
      <w:pPr>
        <w:pStyle w:val="FirstParagraph"/>
      </w:pPr>
      <w:r>
        <w:t xml:space="preserve">Manchester Metropolitan University Library, UK</w:t>
      </w:r>
    </w:p>
    <w:p>
      <w:pPr>
        <w:pStyle w:val="BodyText"/>
      </w:pPr>
      <w:r>
        <w:t xml:space="preserve">Frans Masereel Centrum, Kasterlee, Belgium</w:t>
      </w:r>
    </w:p>
    <w:p>
      <w:pPr>
        <w:pStyle w:val="BodyText"/>
      </w:pPr>
      <w:r>
        <w:t xml:space="preserve">Museum for Fine Arts, Antwerp, Belgium</w:t>
      </w:r>
    </w:p>
    <w:p>
      <w:pPr>
        <w:pStyle w:val="BodyText"/>
      </w:pPr>
      <w:r>
        <w:t xml:space="preserve">KUMU (The Art Museum of Estonia), Tallinn, Estonia</w:t>
      </w:r>
    </w:p>
    <w:p>
      <w:pPr>
        <w:pStyle w:val="BodyText"/>
      </w:pPr>
      <w:r>
        <w:t xml:space="preserve">Utah Museum of Fine Arts, Salt Lake City, Utah</w:t>
      </w:r>
    </w:p>
    <w:p>
      <w:pPr>
        <w:pStyle w:val="BodyText"/>
      </w:pPr>
      <w:r>
        <w:t xml:space="preserve">Gravat.Olot, Olot, Spain</w:t>
      </w:r>
    </w:p>
    <w:p>
      <w:pPr>
        <w:pStyle w:val="BodyText"/>
      </w:pPr>
      <w:r>
        <w:t xml:space="preserve">Center for Book Arts, New York</w:t>
      </w:r>
    </w:p>
    <w:bookmarkEnd w:id="45"/>
    <w:p>
      <w:pPr>
        <w:pStyle w:val="BodyText"/>
      </w:pPr>
      <w:r>
        <w:t xml:space="preserve">updated: 9 May 2026</w:t>
      </w:r>
    </w:p>
    <w:sectPr>
      <w:pgMar w:bottom="1440" w:left="1417" w:right="1417"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rFonts w:ascii="Calibri" w:cs="Calibri" w:hAnsi="Calibri"/>
    <w:name w:val="Normal"/>
    <w:qFormat/>
    <w:pPr>
      <w:spacing w:after="60" w:before="0" w:line="336" w:lineRule="auto"/>
      <w:widowControl w:val="0"/>
      <w:pageBreakBefore w:val="0"/>
    </w:pPr>
    <w:rPr>
      <w:rFonts w:ascii="Calibri" w:hAnsi="Calibri"/>
      <w:b w:val="0"/>
      <w:color w:val="444444"/>
      <w:sz w:val="20"/>
    </w:rPr>
  </w:style>
  <w:style w:styleId="BodyText" w:type="paragraph">
    <w:rFonts w:ascii="Calibri" w:cs="Calibri" w:hAnsi="Calibri"/>
    <w:name w:val="Body Text"/>
    <w:basedOn w:val="Normal"/>
    <w:link w:val="BodyTextChar"/>
    <w:pPr>
      <w:spacing w:after="60" w:before="0" w:line="336" w:lineRule="auto"/>
      <w:widowControl w:val="0"/>
      <w:pageBreakBefore w:val="0"/>
    </w:pPr>
    <w:qFormat/>
    <w:rPr>
      <w:rFonts w:ascii="Calibri" w:hAnsi="Calibri"/>
      <w:b w:val="0"/>
      <w:color w:val="444444"/>
      <w:sz w:val="20"/>
    </w:rPr>
  </w:style>
  <w:style w:customStyle="1" w:styleId="FirstParagraph" w:type="paragraph">
    <w:rFonts w:ascii="Calibri" w:cs="Calibri" w:hAnsi="Calibri"/>
    <w:name w:val="First Paragraph"/>
    <w:basedOn w:val="BodyText"/>
    <w:next w:val="BodyText"/>
    <w:qFormat/>
    <w:pPr>
      <w:spacing w:after="60" w:before="0" w:line="336" w:lineRule="auto"/>
      <w:widowControl w:val="0"/>
      <w:pageBreakBefore w:val="0"/>
    </w:pPr>
    <w:rPr>
      <w:rFonts w:ascii="Calibri" w:hAnsi="Calibri"/>
      <w:b w:val="0"/>
      <w:color w:val="444444"/>
      <w:sz w:val="20"/>
    </w:rPr>
  </w:style>
  <w:style w:customStyle="1" w:styleId="Compact" w:type="paragraph">
    <w:rFonts w:ascii="Calibri" w:cs="Calibri" w:hAnsi="Calibri"/>
    <w:name w:val="Compact"/>
    <w:basedOn w:val="BodyText"/>
    <w:qFormat/>
    <w:pPr>
      <w:spacing w:after="60" w:before="0" w:line="336" w:lineRule="auto"/>
      <w:widowControl w:val="0"/>
      <w:pageBreakBefore w:val="0"/>
    </w:pPr>
    <w:rPr>
      <w:rFonts w:ascii="Calibri" w:hAnsi="Calibri"/>
      <w:b w:val="0"/>
      <w:color w:val="444444"/>
      <w:sz w:val="20"/>
    </w:rPr>
  </w:style>
  <w:style w:styleId="Title" w:type="paragraph">
    <w:name w:val="Title"/>
    <w:basedOn w:val="Normal"/>
    <w:next w:val="BodyText"/>
    <w:qFormat/>
    <w:pPr>
      <w:keepNext/>
      <w:keepLines/>
      <w:spacing w:after="0" w:before="0" w:line="312" w:lineRule="auto"/>
      <w:jc w:val="center"/>
    </w:pPr>
    <w:rPr>
      <w:rFonts w:asciiTheme="majorHAnsi" w:cstheme="majorBidi" w:eastAsiaTheme="majorEastAsia" w:hAnsiTheme="majorHAnsi"/>
      <w:b/>
      <w:bCs/>
      <w:color w:themeColor="accent1" w:themeShade="B5" w:val="345A8A"/>
      <w:sz w:val="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rFonts w:ascii="Georgia" w:cs="Georgia" w:hAnsi="Georgia"/>
    <w:name w:val="Heading 1"/>
    <w:basedOn w:val="Normal"/>
    <w:next w:val="BodyText"/>
    <w:uiPriority w:val="9"/>
    <w:qFormat/>
    <w:pPr>
      <w:keepNext w:val="1"/>
      <w:keepLines/>
      <w:spacing w:after="160" w:before="0" w:line="264" w:lineRule="auto"/>
      <w:outlineLvl w:val="0"/>
      <w:widowControl w:val="0"/>
      <w:pageBreakBefore w:val="0"/>
    </w:pPr>
    <w:rPr>
      <w:rFonts w:ascii="Georgia" w:asciiTheme="majorHAnsi" w:cstheme="majorBidi" w:eastAsiaTheme="majorEastAsia" w:hAnsi="Georgia" w:hAnsiTheme="majorHAnsi"/>
      <w:b w:val="0"/>
      <w:bCs/>
      <w:i w:val="0"/>
      <w:caps w:val="0"/>
      <w:color w:val="1A1A1A"/>
      <w:sz w:val="44"/>
      <w:szCs w:val="32"/>
    </w:rPr>
  </w:style>
  <w:style w:styleId="Heading2" w:type="paragraph">
    <w:rFonts w:ascii="Calibri" w:cs="Calibri" w:hAnsi="Calibri"/>
    <w:name w:val="Heading 2"/>
    <w:basedOn w:val="Normal"/>
    <w:next w:val="BodyText"/>
    <w:uiPriority w:val="9"/>
    <w:unhideWhenUsed/>
    <w:qFormat/>
    <w:pPr>
      <w:keepNext w:val="1"/>
      <w:keepLines/>
      <w:spacing w:after="80" w:before="280" w:line="240" w:lineRule="auto"/>
      <w:outlineLvl w:val="1"/>
      <w:pBdr>
        <w:top w:color="cccccc" w:space="4" w:sz="4" w:val="single"/>
      </w:pBdr>
      <w:widowControl w:val="0"/>
      <w:pageBreakBefore w:val="0"/>
    </w:pPr>
    <w:rPr>
      <w:rFonts w:ascii="Calibri" w:asciiTheme="majorHAnsi" w:cstheme="majorBidi" w:eastAsiaTheme="majorEastAsia" w:hAnsi="Calibri" w:hAnsiTheme="majorHAnsi"/>
      <w:b w:val="0"/>
      <w:bCs/>
      <w:i w:val="0"/>
      <w:caps/>
      <w:color w:val="999999"/>
      <w:sz w:val="24"/>
      <w:szCs w:val="28"/>
    </w:rPr>
  </w:style>
  <w:style w:styleId="Heading3" w:type="paragraph">
    <w:rFonts w:ascii="Calibri" w:cs="Calibri" w:hAnsi="Calibri"/>
    <w:name w:val="Heading 3"/>
    <w:basedOn w:val="Normal"/>
    <w:next w:val="BodyText"/>
    <w:uiPriority w:val="9"/>
    <w:unhideWhenUsed/>
    <w:qFormat/>
    <w:pPr>
      <w:keepNext w:val="1"/>
      <w:keepLines/>
      <w:spacing w:after="60" w:before="200" w:line="240" w:lineRule="auto"/>
      <w:outlineLvl w:val="2"/>
      <w:widowControl w:val="0"/>
      <w:pageBreakBefore w:val="0"/>
    </w:pPr>
    <w:rPr>
      <w:rFonts w:ascii="Calibri" w:asciiTheme="majorHAnsi" w:cstheme="majorBidi" w:eastAsiaTheme="majorEastAsia" w:hAnsi="Calibri" w:hAnsiTheme="majorHAnsi"/>
      <w:b w:val="0"/>
      <w:bCs/>
      <w:i w:val="0"/>
      <w:caps/>
      <w:color w:val="999999"/>
      <w:sz w:val="21"/>
      <w:szCs w:val="24"/>
    </w:rPr>
  </w:style>
  <w:style w:styleId="Heading4" w:type="paragraph">
    <w:rFonts w:ascii="Calibri" w:cs="Calibri" w:hAnsi="Calibri"/>
    <w:name w:val="Heading 4"/>
    <w:basedOn w:val="Normal"/>
    <w:next w:val="BodyText"/>
    <w:uiPriority w:val="9"/>
    <w:unhideWhenUsed/>
    <w:qFormat/>
    <w:pPr>
      <w:keepNext w:val="1"/>
      <w:keepLines/>
      <w:spacing w:after="20" w:before="120" w:line="312" w:lineRule="auto"/>
      <w:outlineLvl w:val="3"/>
      <w:widowControl w:val="0"/>
      <w:pageBreakBefore w:val="0"/>
    </w:pPr>
    <w:rPr>
      <w:rFonts w:ascii="Calibri" w:asciiTheme="majorHAnsi" w:cstheme="majorBidi" w:eastAsiaTheme="majorEastAsia" w:hAnsi="Calibri" w:hAnsiTheme="majorHAnsi"/>
      <w:i w:val="0"/>
      <w:b/>
      <w:bCs/>
      <w:caps w:val="0"/>
      <w:color w:val="1A1A1A"/>
      <w:sz w:val="20"/>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555555"/>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hyperlink" Target="http://www.andrewatkinson.net" TargetMode="External"/><Relationship Id="rId35" Type="http://schemas.openxmlformats.org/officeDocument/2006/relationships/hyperlink" Target="https://doi.org/10.1162/leon_a_02644" TargetMode="External"/><Relationship Id="rId40" Type="http://schemas.openxmlformats.org/officeDocument/2006/relationships/hyperlink" Target="https://vimeo.com/553111781?share=copy#t=424" TargetMode="External"/><Relationship Id="rId23" Type="http://schemas.openxmlformats.org/officeDocument/2006/relationships/hyperlink" Target="https://www.linkedin.com/in/andrewpeteratkinson/" TargetMode="External"/><Relationship Id="rId20" Type="http://schemas.openxmlformats.org/officeDocument/2006/relationships/hyperlink" Target="mailto:blind.sam@gmail.com" TargetMode="External"/><Relationship Id="rId21" Type="http://schemas.openxmlformats.org/officeDocument/2006/relationships/hyperlink" Target="tel:6462435179"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www.andrewatkinson.net" TargetMode="External"/><Relationship Id="rId35" Type="http://schemas.openxmlformats.org/officeDocument/2006/relationships/hyperlink" Target="https://doi.org/10.1162/leon_a_02644" TargetMode="External"/><Relationship Id="rId40" Type="http://schemas.openxmlformats.org/officeDocument/2006/relationships/hyperlink" Target="https://vimeo.com/553111781?share=copy#t=424" TargetMode="External"/><Relationship Id="rId23" Type="http://schemas.openxmlformats.org/officeDocument/2006/relationships/hyperlink" Target="https://www.linkedin.com/in/andrewpeteratkinson/" TargetMode="External"/><Relationship Id="rId20" Type="http://schemas.openxmlformats.org/officeDocument/2006/relationships/hyperlink" Target="mailto:blind.sam@gmail.com" TargetMode="External"/><Relationship Id="rId21" Type="http://schemas.openxmlformats.org/officeDocument/2006/relationships/hyperlink" Target="tel:6462435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Andrew Atkinson — CV</dc:title>
  <dc:creator/>
  <dc:language>en</dc:language>
  <cp:keywords/>
  <dcterms:created xsi:type="dcterms:W3CDTF">2026-05-10T01:04:17Z</dcterms:created>
  <dcterms:modified xsi:type="dcterms:W3CDTF">2026-05-10T01:04:17Z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