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pStyle w:val="FirstParagraph"/>
      </w:pPr>
      <w:r>
        <w:t xml:space="preserve">2022 —</w:t>
      </w:r>
      <w:r>
        <w:t xml:space="preserve"> </w:t>
      </w:r>
      <w:hyperlink r:id="rId26">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2017</w:t>
            </w:r>
          </w:p>
        </w:tc>
        <w:tc>
          <w:tcPr/>
          <w:p>
            <w:pPr>
              <w:pStyle w:val="Compact"/>
              <w:jc w:val="left"/>
            </w:pPr>
            <w:r>
              <w:t xml:space="preserve">Fullstack Academy, New York</w:t>
            </w:r>
          </w:p>
        </w:tc>
        <w:tc>
          <w:tcPr/>
          <w:p>
            <w:pPr>
              <w:pStyle w:val="Compact"/>
            </w:pPr>
          </w:p>
        </w:tc>
      </w:tr>
      <w:tr>
        <w:tc>
          <w:tcPr/>
          <w:p>
            <w:pPr>
              <w:pStyle w:val="Compact"/>
              <w:jc w:val="left"/>
            </w:pPr>
            <w:r>
              <w:t xml:space="preserve">2000–04</w:t>
            </w:r>
          </w:p>
        </w:tc>
        <w:tc>
          <w:tcPr/>
          <w:p>
            <w:pPr>
              <w:pStyle w:val="Compact"/>
              <w:jc w:val="left"/>
            </w:pPr>
            <w:r>
              <w:t xml:space="preserve">University of the West of England, Bristol</w:t>
            </w:r>
          </w:p>
        </w:tc>
        <w:tc>
          <w:tcPr/>
          <w:p>
            <w:pPr>
              <w:pStyle w:val="Compact"/>
              <w:jc w:val="left"/>
            </w:pPr>
            <w:r>
              <w:t xml:space="preserve">Ph.D. — "The creation of digital fine art print through the Woodburytype model"</w:t>
            </w:r>
          </w:p>
        </w:tc>
      </w:tr>
      <w:tr>
        <w:tc>
          <w:tcPr/>
          <w:p>
            <w:pPr>
              <w:pStyle w:val="Compact"/>
              <w:jc w:val="left"/>
            </w:pPr>
            <w:r>
              <w:t xml:space="preserve">1999–2000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1993–96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pStyle w:val="FirstParagraph"/>
      </w:pPr>
      <w:r>
        <w:t xml:space="preserve">2008–2010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pStyle w:val="FirstParagraph"/>
      </w:pPr>
      <w:r>
        <w:t xml:space="preserve">2025 —</w:t>
      </w:r>
      <w:r>
        <w:t xml:space="preserve"> </w:t>
      </w:r>
      <w:r>
        <w:t xml:space="preserve">Jody W. Deming;</w:t>
      </w:r>
      <w:r>
        <w:t xml:space="preserve"> </w:t>
      </w:r>
      <w:hyperlink r:id="rId31">
        <w:r>
          <w:rPr>
            <w:rStyle w:val="Hyperlink"/>
          </w:rPr>
          <w:t xml:space="preserve">Ocean Memory: Unimagined Perspectives. Leonardo 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 Hawaii International Conference on Arts and Humanities, University of Louisville, Honolulu, HI</w:t>
      </w:r>
    </w:p>
    <w:p>
      <w:pPr>
        <w:pStyle w:val="BodyText"/>
      </w:pPr>
      <w:r>
        <w:t xml:space="preserve">2005 —</w:t>
      </w:r>
      <w:r>
        <w:t xml:space="preserve"> </w:t>
      </w:r>
      <w:r>
        <w:t xml:space="preserve">'Interstitial Languages: photography and printmaking, '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 paper for CADE 2003, Hull, UK</w:t>
      </w:r>
    </w:p>
    <w:p>
      <w:pPr>
        <w:pStyle w:val="BodyText"/>
      </w:pPr>
      <w:r>
        <w:t xml:space="preserve">2003 —</w:t>
      </w:r>
      <w:r>
        <w:t xml:space="preserve"> </w:t>
      </w:r>
      <w:r>
        <w:t xml:space="preserve">'Continuous Tone Alternatives to the Halftone Model Through Historical Reflection, '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 Arnolfini Gallery, Bristol</w:t>
      </w:r>
    </w:p>
    <w:p>
      <w:pPr>
        <w:pStyle w:val="BodyTex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35"/>
    <w:p>
      <w:pPr>
        <w:pStyle w:val="BodyText"/>
      </w:pPr>
      <w:r>
        <w:t xml:space="preserve">updated: 9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2026-05-10T01:04:14Z</dcterms:created>
  <dcterms:modified xsi:type="dcterms:W3CDTF">2026-05-10T01:04:14Z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