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3.png" ContentType="image/png"/>
  <Override PartName="/word/media/rId63.jpg" ContentType="image/jpeg"/>
  <Override PartName="/word/media/rId67.jpg" ContentType="image/jpeg"/>
  <Override PartName="/word/media/rId70.png" ContentType="image/png"/>
  <Override PartName="/word/media/rId87.jpg" ContentType="image/jpeg"/>
  <Override PartName="/word/media/rId89.png" ContentType="image/png"/>
  <Override PartName="/word/media/rId92.jpg" ContentType="image/jpeg"/>
  <Override PartName="/word/media/rId30.jpg" ContentType="image/jpeg"/>
  <Override PartName="/word/media/rId74.jpg" ContentType="image/jpeg"/>
  <Override PartName="/word/media/rId77.png" ContentType="image/png"/>
  <Override PartName="/word/media/rId81.png" ContentType="image/png"/>
  <Override PartName="/word/media/rId83.png" ContentType="image/png"/>
  <Override PartName="/word/media/rId36.jpg" ContentType="image/jpeg"/>
  <Override PartName="/word/media/rId47.png" ContentType="image/png"/>
  <Override PartName="/word/media/rId51.jpg" ContentType="image/jpeg"/>
  <Override PartName="/word/media/rId53.jpg" ContentType="image/jpeg"/>
  <Override PartName="/word/media/rId55.jpg" ContentType="image/jpeg"/>
  <Override PartName="/word/media/rId57.jpg" ContentType="image/jpeg"/>
  <Override PartName="/word/media/rId59.jpg" ContentType="image/jpeg"/>
  <Override PartName="/word/media/rId106.png" ContentType="image/png"/>
  <Override PartName="/word/media/rId109.png" ContentType="image/png"/>
  <Override PartName="/word/media/rId126.png" ContentType="image/png"/>
  <Override PartName="/word/media/rId127.png" ContentType="image/png"/>
  <Override PartName="/word/media/rId116.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1"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p>
      <w:pPr>
        <w:pStyle w:val="BodyText"/>
      </w:pPr>
      <w:hyperlink r:id="rId20">
        <w:r>
          <w:rPr>
            <w:rStyle w:val="Hyperlink"/>
          </w:rPr>
          <w:t xml:space="preserve">https://mccoy-lab.org/</w:t>
        </w:r>
      </w:hyperlink>
    </w:p>
    <w:bookmarkEnd w:id="21"/>
    <w:bookmarkStart w:id="22" w:name="class-hours"/>
    <w:p>
      <w:pPr>
        <w:pStyle w:val="Heading4"/>
      </w:pPr>
      <w:r>
        <w:rPr>
          <w:rStyle w:val="SectionNumber"/>
        </w:rPr>
        <w:t xml:space="preserve">1.0.0.2</w:t>
      </w:r>
      <w:r>
        <w:tab/>
      </w:r>
      <w:r>
        <w:t xml:space="preserve">Class Hours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p>
    <w:bookmarkEnd w:id="22"/>
    <w:bookmarkStart w:id="24" w:name="course-description"/>
    <w:p>
      <w:pPr>
        <w:pStyle w:val="Heading2"/>
      </w:pPr>
      <w:r>
        <w:rPr>
          <w:rStyle w:val="SectionNumber"/>
        </w:rPr>
        <w:t xml:space="preserve">1.1</w:t>
      </w:r>
      <w:r>
        <w:tab/>
      </w:r>
      <w:r>
        <w:t xml:space="preserve">Course Description</w:t>
      </w:r>
    </w:p>
    <w:p>
      <w:pPr>
        <w:pStyle w:val="FirstParagraph"/>
      </w:pPr>
      <w:r>
        <w:t xml:space="preserve">The Human Genome Variation course exposes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3" w:name="educational-objectives"/>
    <w:p>
      <w:pPr>
        <w:pStyle w:val="Heading3"/>
      </w:pPr>
      <w:r>
        <w:rPr>
          <w:rStyle w:val="SectionNumber"/>
        </w:rPr>
        <w:t xml:space="preserve">1.1.1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3"/>
    <w:bookmarkEnd w:id="24"/>
    <w:bookmarkStart w:id="27" w:name="posit-cloud"/>
    <w:p>
      <w:pPr>
        <w:pStyle w:val="Heading2"/>
      </w:pPr>
      <w:r>
        <w:rPr>
          <w:rStyle w:val="SectionNumber"/>
        </w:rPr>
        <w:t xml:space="preserve">1.2</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6" w:name="making-a-posit-cloud-account"/>
    <w:p>
      <w:pPr>
        <w:pStyle w:val="Heading3"/>
      </w:pPr>
      <w:r>
        <w:rPr>
          <w:rStyle w:val="SectionNumber"/>
        </w:rPr>
        <w:t xml:space="preserve">1.2.1</w:t>
      </w:r>
      <w:r>
        <w:tab/>
      </w:r>
      <w:r>
        <w:t xml:space="preserve">Making a Posit Cloud account</w:t>
      </w:r>
    </w:p>
    <w:p>
      <w:pPr>
        <w:pStyle w:val="FirstParagraph"/>
      </w:pPr>
      <w:r>
        <w:t xml:space="preserve">Go to the</w:t>
      </w:r>
      <w:r>
        <w:t xml:space="preserve"> </w:t>
      </w:r>
      <w:hyperlink r:id="rId25">
        <w:r>
          <w:rPr>
            <w:rStyle w:val="Hyperlink"/>
          </w:rPr>
          <w:t xml:space="preserve">Posit Cloud website</w:t>
        </w:r>
      </w:hyperlink>
      <w:r>
        <w:t xml:space="preserve"> </w:t>
      </w:r>
      <w:r>
        <w:t xml:space="preserve">and sign up for an account, using your JHU email.</w:t>
      </w:r>
    </w:p>
    <w:bookmarkEnd w:id="26"/>
    <w:bookmarkEnd w:id="27"/>
    <w:bookmarkEnd w:id="28"/>
    <w:bookmarkStart w:id="104"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29"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2"/>
        </w:numPr>
        <w:pStyle w:val="Compact"/>
      </w:pPr>
      <w:r>
        <w:t xml:space="preserve">Explain why a reference genome is an important resource for genomics research.</w:t>
      </w:r>
    </w:p>
    <w:p>
      <w:pPr>
        <w:numPr>
          <w:ilvl w:val="0"/>
          <w:numId w:val="1002"/>
        </w:numPr>
        <w:pStyle w:val="Compact"/>
      </w:pPr>
      <w:r>
        <w:t xml:space="preserve">Use the UCSC genome browser to find genomic features in a region of interest.</w:t>
      </w:r>
    </w:p>
    <w:p>
      <w:pPr>
        <w:numPr>
          <w:ilvl w:val="0"/>
          <w:numId w:val="1002"/>
        </w:numPr>
        <w:pStyle w:val="Compact"/>
      </w:pPr>
      <w:r>
        <w:t xml:space="preserve">Describe the data contained in a file of sequencing reads.</w:t>
      </w:r>
    </w:p>
    <w:p>
      <w:pPr>
        <w:numPr>
          <w:ilvl w:val="0"/>
          <w:numId w:val="1002"/>
        </w:numPr>
        <w:pStyle w:val="Compact"/>
      </w:pPr>
      <w:r>
        <w:t xml:space="preserve">Load and interpret sequencing data in IGV.</w:t>
      </w:r>
    </w:p>
    <w:bookmarkEnd w:id="29"/>
    <w:bookmarkStart w:id="33"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3"/>
        </w:numPr>
        <w:pStyle w:val="Compact"/>
      </w:pPr>
      <w:r>
        <w:t xml:space="preserve">Extract DNA</w:t>
      </w:r>
    </w:p>
    <w:p>
      <w:pPr>
        <w:numPr>
          <w:ilvl w:val="0"/>
          <w:numId w:val="1003"/>
        </w:numPr>
        <w:pStyle w:val="Compact"/>
      </w:pPr>
      <w:r>
        <w:t xml:space="preserve">Fragment DNA</w:t>
      </w:r>
    </w:p>
    <w:p>
      <w:pPr>
        <w:numPr>
          <w:ilvl w:val="0"/>
          <w:numId w:val="1003"/>
        </w:numPr>
        <w:pStyle w:val="Compact"/>
      </w:pPr>
      <w:r>
        <w:t xml:space="preserve">Prepare for sequencer (add adapters, etc.)</w:t>
      </w:r>
    </w:p>
    <w:p>
      <w:pPr>
        <w:numPr>
          <w:ilvl w:val="0"/>
          <w:numId w:val="1003"/>
        </w:numPr>
        <w:pStyle w:val="Compact"/>
      </w:pPr>
      <w:r>
        <w:t xml:space="preserve">Amplify DNA</w:t>
      </w:r>
    </w:p>
    <w:p>
      <w:pPr>
        <w:numPr>
          <w:ilvl w:val="0"/>
          <w:numId w:val="1003"/>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0"/>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1" w:name="fig1"/>
      <w:r>
        <w:t xml:space="preserve">Figure </w:t>
      </w:r>
      <w:fldSimple w:instr="SEQ Figure \* ARABIC ">
        <w:r>
          <w:t>1</w:t>
        </w:r>
      </w:fldSimple>
      <w:r>
        <w:t xml:space="preserve">:</w:t>
      </w:r>
      <w:r>
        <w:t xml:space="preserve"> </w:t>
      </w:r>
      <w:bookmarkEnd w:id="31"/>
      <w:r>
        <w:rPr>
          <w:bCs/>
          <w:b/>
        </w:rPr>
        <w:t xml:space="preserve">Fig. 1 (</w:t>
      </w:r>
      <w:hyperlink r:id="rId32">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4"/>
        </w:numPr>
        <w:pStyle w:val="Compact"/>
      </w:pPr>
      <w:r>
        <w:t xml:space="preserve">Because of the fragmentation step, the resulting sequencing reads are extremely short (~150 bp).</w:t>
      </w:r>
    </w:p>
    <w:p>
      <w:pPr>
        <w:numPr>
          <w:ilvl w:val="0"/>
          <w:numId w:val="1004"/>
        </w:numPr>
        <w:pStyle w:val="Compact"/>
      </w:pPr>
      <w:r>
        <w:t xml:space="preserve">We don’t know where in the genome the sequencing reads came from. (This is a limitation common to nearly every sequencing experiment.)</w:t>
      </w:r>
    </w:p>
    <w:p>
      <w:pPr>
        <w:pStyle w:val="FirstParagraph"/>
      </w:pPr>
    </w:p>
    <w:bookmarkEnd w:id="33"/>
    <w:bookmarkStart w:id="41"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4"/>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5" w:name="fig2"/>
      <w:r>
        <w:t xml:space="preserve">Figure </w:t>
      </w:r>
      <w:fldSimple w:instr="SEQ Figure \* ARABIC ">
        <w:r>
          <w:t>2</w:t>
        </w:r>
      </w:fldSimple>
      <w:r>
        <w:t xml:space="preserve">:</w:t>
      </w:r>
      <w:r>
        <w:t xml:space="preserve"> </w:t>
      </w:r>
      <w:bookmarkEnd w:id="35"/>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6"/>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7" w:name="fig3"/>
      <w:r>
        <w:t xml:space="preserve">Figure </w:t>
      </w:r>
      <w:fldSimple w:instr="SEQ Figure \* ARABIC ">
        <w:r>
          <w:t>3</w:t>
        </w:r>
      </w:fldSimple>
      <w:r>
        <w:t xml:space="preserve">:</w:t>
      </w:r>
      <w:r>
        <w:t xml:space="preserve"> </w:t>
      </w:r>
      <w:bookmarkEnd w:id="37"/>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8">
        <w:r>
          <w:rPr>
            <w:rStyle w:val="Hyperlink"/>
          </w:rPr>
          <w:t xml:space="preserve">PacBio</w:t>
        </w:r>
      </w:hyperlink>
      <w:r>
        <w:t xml:space="preserve"> </w:t>
      </w:r>
      <w:r>
        <w:t xml:space="preserve">and</w:t>
      </w:r>
      <w:r>
        <w:t xml:space="preserve"> </w:t>
      </w:r>
      <w:hyperlink r:id="rId39">
        <w:r>
          <w:rPr>
            <w:rStyle w:val="Hyperlink"/>
          </w:rPr>
          <w:t xml:space="preserve">Nanopore</w:t>
        </w:r>
      </w:hyperlink>
      <w:r>
        <w:t xml:space="preserve"> </w:t>
      </w:r>
      <w:r>
        <w:t xml:space="preserve">sequencing), the</w:t>
      </w:r>
      <w:r>
        <w:t xml:space="preserve"> </w:t>
      </w:r>
      <w:hyperlink r:id="rId40">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1"/>
    <w:bookmarkStart w:id="45"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2">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3"/>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4" w:name="fig4"/>
      <w:r>
        <w:t xml:space="preserve">Figure </w:t>
      </w:r>
      <w:fldSimple w:instr="SEQ Figure \* ARABIC ">
        <w:r>
          <w:t>4</w:t>
        </w:r>
      </w:fldSimple>
      <w:r>
        <w:t xml:space="preserve">:</w:t>
      </w:r>
      <w:r>
        <w:t xml:space="preserve"> </w:t>
      </w:r>
      <w:bookmarkEnd w:id="44"/>
      <w:r>
        <w:rPr>
          <w:bCs/>
          <w:b/>
        </w:rPr>
        <w:t xml:space="preserve">Fig. 4.</w:t>
      </w:r>
      <w:r>
        <w:t xml:space="preserve"> </w:t>
      </w:r>
      <w:r>
        <w:t xml:space="preserve">Sample composition of the human reference genome.</w:t>
      </w:r>
    </w:p>
    <w:p>
      <w:r>
        <w:pict>
          <v:rect style="width:0;height:1.5pt" o:hralign="center" o:hrstd="t" o:hr="t"/>
        </w:pict>
      </w:r>
    </w:p>
    <w:bookmarkEnd w:id="45"/>
    <w:bookmarkStart w:id="50"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6">
        <w:r>
          <w:rPr>
            <w:rStyle w:val="Hyperlink"/>
            <w:bCs/>
            <w:b/>
          </w:rPr>
          <w:t xml:space="preserve">UCSC genome browser</w:t>
        </w:r>
      </w:hyperlink>
      <w:r>
        <w:t xml:space="preserve">.</w:t>
      </w:r>
    </w:p>
    <w:bookmarkStart w:id="49"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5"/>
        </w:numPr>
        <w:pStyle w:val="Compact"/>
      </w:pPr>
      <w:r>
        <w:rPr>
          <w:rStyle w:val="VerbatimChar"/>
        </w:rPr>
        <w:t xml:space="preserve">Browse/Select Species</w:t>
      </w:r>
      <w:r>
        <w:t xml:space="preserve"> </w:t>
      </w:r>
      <w:r>
        <w:t xml:space="preserve">– choose the species</w:t>
      </w:r>
    </w:p>
    <w:p>
      <w:pPr>
        <w:numPr>
          <w:ilvl w:val="0"/>
          <w:numId w:val="1005"/>
        </w:numPr>
        <w:pStyle w:val="Compact"/>
      </w:pPr>
      <w:r>
        <w:rPr>
          <w:rStyle w:val="VerbatimChar"/>
        </w:rPr>
        <w:t xml:space="preserve">Human Assembly</w:t>
      </w:r>
      <w:r>
        <w:t xml:space="preserve"> </w:t>
      </w:r>
      <w:r>
        <w:t xml:space="preserve">– choose the version of the human reference genome</w:t>
      </w:r>
    </w:p>
    <w:p>
      <w:pPr>
        <w:numPr>
          <w:ilvl w:val="0"/>
          <w:numId w:val="1005"/>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7"/>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8" w:name="fig5"/>
      <w:r>
        <w:t xml:space="preserve">Figure </w:t>
      </w:r>
      <w:fldSimple w:instr="SEQ Figure \* ARABIC ">
        <w:r>
          <w:t>5</w:t>
        </w:r>
      </w:fldSimple>
      <w:r>
        <w:t xml:space="preserve">:</w:t>
      </w:r>
      <w:r>
        <w:t xml:space="preserve"> </w:t>
      </w:r>
      <w:bookmarkEnd w:id="48"/>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49"/>
    <w:bookmarkEnd w:id="50"/>
    <w:bookmarkStart w:id="61"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1"/>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6"/>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6"/>
        </w:numPr>
        <w:pStyle w:val="Compact"/>
      </w:pPr>
      <w:r>
        <w:rPr>
          <w:bCs/>
          <w:b/>
        </w:rPr>
        <w:t xml:space="preserve">Position</w:t>
      </w:r>
      <w:r>
        <w:t xml:space="preserve">: Current position on the chromosome; current base pair position</w:t>
      </w:r>
    </w:p>
    <w:p>
      <w:pPr>
        <w:numPr>
          <w:ilvl w:val="0"/>
          <w:numId w:val="1006"/>
        </w:numPr>
        <w:pStyle w:val="Compact"/>
      </w:pPr>
      <w:r>
        <w:rPr>
          <w:bCs/>
          <w:b/>
        </w:rPr>
        <w:t xml:space="preserve">Genes</w:t>
      </w:r>
      <w:r>
        <w:t xml:space="preserve">: Gene annotations; gene expression by tissue; gene regulatory elements (CREs)</w:t>
      </w:r>
    </w:p>
    <w:p>
      <w:pPr>
        <w:numPr>
          <w:ilvl w:val="0"/>
          <w:numId w:val="1006"/>
        </w:numPr>
        <w:pStyle w:val="Compact"/>
      </w:pPr>
      <w:r>
        <w:rPr>
          <w:bCs/>
          <w:b/>
        </w:rPr>
        <w:t xml:space="preserve">Species comparison</w:t>
      </w:r>
      <w:r>
        <w:t xml:space="preserve">: DNA sequence conservation across vertebrates; regions that align with the genomes of other vertebrates</w:t>
      </w:r>
    </w:p>
    <w:p>
      <w:pPr>
        <w:numPr>
          <w:ilvl w:val="0"/>
          <w:numId w:val="1006"/>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3"/>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4" w:name="fig7"/>
      <w:r>
        <w:t xml:space="preserve">Figure </w:t>
      </w:r>
      <w:fldSimple w:instr="SEQ Figure \* ARABIC ">
        <w:r>
          <w:t>7</w:t>
        </w:r>
      </w:fldSimple>
      <w:r>
        <w:t xml:space="preserve">:</w:t>
      </w:r>
      <w:r>
        <w:t xml:space="preserve"> </w:t>
      </w:r>
      <w:bookmarkEnd w:id="54"/>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5"/>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6" w:name="fig8"/>
      <w:r>
        <w:t xml:space="preserve">Figure </w:t>
      </w:r>
      <w:fldSimple w:instr="SEQ Figure \* ARABIC ">
        <w:r>
          <w:t>8</w:t>
        </w:r>
      </w:fldSimple>
      <w:r>
        <w:t xml:space="preserve">:</w:t>
      </w:r>
      <w:r>
        <w:t xml:space="preserve"> </w:t>
      </w:r>
      <w:bookmarkEnd w:id="56"/>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7"/>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8" w:name="fig9"/>
      <w:r>
        <w:t xml:space="preserve">Figure </w:t>
      </w:r>
      <w:fldSimple w:instr="SEQ Figure \* ARABIC ">
        <w:r>
          <w:t>9</w:t>
        </w:r>
      </w:fldSimple>
      <w:r>
        <w:t xml:space="preserve">:</w:t>
      </w:r>
      <w:r>
        <w:t xml:space="preserve"> </w:t>
      </w:r>
      <w:bookmarkEnd w:id="58"/>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59"/>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0" w:name="fig10"/>
      <w:r>
        <w:t xml:space="preserve">Figure </w:t>
      </w:r>
      <w:fldSimple w:instr="SEQ Figure \* ARABIC ">
        <w:r>
          <w:t>10</w:t>
        </w:r>
      </w:fldSimple>
      <w:r>
        <w:t xml:space="preserve">:</w:t>
      </w:r>
      <w:r>
        <w:t xml:space="preserve"> </w:t>
      </w:r>
      <w:bookmarkEnd w:id="60"/>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1"/>
    <w:bookmarkStart w:id="66"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2">
        <w:r>
          <w:rPr>
            <w:rStyle w:val="Hyperlink"/>
          </w:rPr>
          <w:t xml:space="preserve">IGV web app</w:t>
        </w:r>
      </w:hyperlink>
      <w:r>
        <w:t xml:space="preserve">.</w:t>
      </w:r>
    </w:p>
    <w:bookmarkStart w:id="65"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7"/>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7"/>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3"/>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4" w:name="fig11"/>
      <w:r>
        <w:t xml:space="preserve">Figure </w:t>
      </w:r>
      <w:fldSimple w:instr="SEQ Figure \* ARABIC ">
        <w:r>
          <w:t>11</w:t>
        </w:r>
      </w:fldSimple>
      <w:r>
        <w:t xml:space="preserve">:</w:t>
      </w:r>
      <w:r>
        <w:t xml:space="preserve"> </w:t>
      </w:r>
      <w:bookmarkEnd w:id="64"/>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5"/>
    <w:bookmarkEnd w:id="66"/>
    <w:bookmarkStart w:id="69"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7"/>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8" w:name="fig12"/>
      <w:r>
        <w:t xml:space="preserve">Figure </w:t>
      </w:r>
      <w:fldSimple w:instr="SEQ Figure \* ARABIC ">
        <w:r>
          <w:t>12</w:t>
        </w:r>
      </w:fldSimple>
      <w:r>
        <w:t xml:space="preserve">:</w:t>
      </w:r>
      <w:r>
        <w:t xml:space="preserve"> </w:t>
      </w:r>
      <w:bookmarkEnd w:id="68"/>
      <w:r>
        <w:rPr>
          <w:bCs/>
          <w:b/>
        </w:rPr>
        <w:t xml:space="preserve">Fig. 12.</w:t>
      </w:r>
      <w:r>
        <w:t xml:space="preserve"> </w:t>
      </w:r>
      <w:r>
        <w:t xml:space="preserve">Viewing a gene in IGV.</w:t>
      </w:r>
    </w:p>
    <w:bookmarkEnd w:id="69"/>
    <w:bookmarkStart w:id="72"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0"/>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1" w:name="fig13"/>
      <w:r>
        <w:t xml:space="preserve">Figure </w:t>
      </w:r>
      <w:fldSimple w:instr="SEQ Figure \* ARABIC ">
        <w:r>
          <w:t>13</w:t>
        </w:r>
      </w:fldSimple>
      <w:r>
        <w:t xml:space="preserve">:</w:t>
      </w:r>
      <w:r>
        <w:t xml:space="preserve"> </w:t>
      </w:r>
      <w:bookmarkEnd w:id="71"/>
      <w:r>
        <w:rPr>
          <w:bCs/>
          <w:b/>
        </w:rPr>
        <w:t xml:space="preserve">Fig. 13.</w:t>
      </w:r>
      <w:r>
        <w:t xml:space="preserve"> </w:t>
      </w:r>
      <w:r>
        <w:t xml:space="preserve">Loading reads from a 1000 Genomes sample.</w:t>
      </w:r>
    </w:p>
    <w:bookmarkEnd w:id="72"/>
    <w:bookmarkStart w:id="80"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3">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4"/>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6">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7"/>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8" w:name="fig15"/>
      <w:r>
        <w:t xml:space="preserve">Figure </w:t>
      </w:r>
      <w:fldSimple w:instr="SEQ Figure \* ARABIC ">
        <w:r>
          <w:t>15</w:t>
        </w:r>
      </w:fldSimple>
      <w:r>
        <w:t xml:space="preserve">:</w:t>
      </w:r>
      <w:r>
        <w:t xml:space="preserve"> </w:t>
      </w:r>
      <w:bookmarkEnd w:id="78"/>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79">
        <w:r>
          <w:rPr>
            <w:rStyle w:val="Hyperlink"/>
            <w:bCs/>
            <w:b/>
          </w:rPr>
          <w:t xml:space="preserve">Sequence Read Archive (SRA)</w:t>
        </w:r>
      </w:hyperlink>
      <w:r>
        <w:t xml:space="preserve">.</w:t>
      </w:r>
    </w:p>
    <w:bookmarkEnd w:id="80"/>
    <w:bookmarkStart w:id="86"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1"/>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2" w:name="fig16"/>
      <w:r>
        <w:t xml:space="preserve">Figure </w:t>
      </w:r>
      <w:fldSimple w:instr="SEQ Figure \* ARABIC ">
        <w:r>
          <w:t>16</w:t>
        </w:r>
      </w:fldSimple>
      <w:r>
        <w:t xml:space="preserve">:</w:t>
      </w:r>
      <w:r>
        <w:t xml:space="preserve"> </w:t>
      </w:r>
      <w:bookmarkEnd w:id="82"/>
      <w:r>
        <w:rPr>
          <w:bCs/>
          <w:b/>
        </w:rPr>
        <w:t xml:space="preserve">Fig. 16.</w:t>
      </w:r>
      <w:r>
        <w:t xml:space="preserve"> </w:t>
      </w:r>
      <w:r>
        <w:t xml:space="preserve">Finding sequencing data in SRA.</w:t>
      </w:r>
    </w:p>
    <w:bookmarkStart w:id="85"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3"/>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4" w:name="fig17"/>
      <w:r>
        <w:t xml:space="preserve">Figure </w:t>
      </w:r>
      <w:fldSimple w:instr="SEQ Figure \* ARABIC ">
        <w:r>
          <w:t>17</w:t>
        </w:r>
      </w:fldSimple>
      <w:r>
        <w:t xml:space="preserve">:</w:t>
      </w:r>
      <w:r>
        <w:t xml:space="preserve"> </w:t>
      </w:r>
      <w:bookmarkEnd w:id="84"/>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5"/>
    <w:bookmarkEnd w:id="86"/>
    <w:bookmarkStart w:id="91"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7"/>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8" w:name="fig18"/>
      <w:r>
        <w:t xml:space="preserve">Figure </w:t>
      </w:r>
      <w:fldSimple w:instr="SEQ Figure \* ARABIC ">
        <w:r>
          <w:t>18</w:t>
        </w:r>
      </w:fldSimple>
      <w:r>
        <w:t xml:space="preserve">:</w:t>
      </w:r>
      <w:r>
        <w:t xml:space="preserve"> </w:t>
      </w:r>
      <w:bookmarkEnd w:id="88"/>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8"/>
        </w:numPr>
        <w:pStyle w:val="Compact"/>
      </w:pPr>
      <w:r>
        <w:t xml:space="preserve">The exact position it aligns to</w:t>
      </w:r>
    </w:p>
    <w:p>
      <w:pPr>
        <w:numPr>
          <w:ilvl w:val="0"/>
          <w:numId w:val="1008"/>
        </w:numPr>
        <w:pStyle w:val="Compact"/>
      </w:pPr>
      <w:r>
        <w:t xml:space="preserve">The mapping quality (a score indicating how uniquely it aligns to this position)</w:t>
      </w:r>
    </w:p>
    <w:p>
      <w:pPr>
        <w:numPr>
          <w:ilvl w:val="0"/>
          <w:numId w:val="1008"/>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89"/>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0" w:name="fig19"/>
      <w:r>
        <w:t xml:space="preserve">Figure </w:t>
      </w:r>
      <w:fldSimple w:instr="SEQ Figure \* ARABIC ">
        <w:r>
          <w:t>19</w:t>
        </w:r>
      </w:fldSimple>
      <w:r>
        <w:t xml:space="preserve">:</w:t>
      </w:r>
      <w:r>
        <w:t xml:space="preserve"> </w:t>
      </w:r>
      <w:bookmarkEnd w:id="90"/>
      <w:r>
        <w:rPr>
          <w:bCs/>
          <w:b/>
        </w:rPr>
        <w:t xml:space="preserve">Fig. 19.</w:t>
      </w:r>
      <w:r>
        <w:t xml:space="preserve"> </w:t>
      </w:r>
      <w:r>
        <w:t xml:space="preserve">Viewing additional info for one sequencing read.</w:t>
      </w:r>
    </w:p>
    <w:p>
      <w:r>
        <w:pict>
          <v:rect style="width:0;height:1.5pt" o:hralign="center" o:hrstd="t" o:hr="t"/>
        </w:pict>
      </w:r>
    </w:p>
    <w:bookmarkEnd w:id="91"/>
    <w:bookmarkStart w:id="95"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2"/>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3" w:name="fig20"/>
      <w:r>
        <w:t xml:space="preserve">Figure </w:t>
      </w:r>
      <w:fldSimple w:instr="SEQ Figure \* ARABIC ">
        <w:r>
          <w:t>20</w:t>
        </w:r>
      </w:fldSimple>
      <w:r>
        <w:t xml:space="preserve">:</w:t>
      </w:r>
      <w:r>
        <w:t xml:space="preserve"> </w:t>
      </w:r>
      <w:bookmarkEnd w:id="93"/>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4">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5"/>
    <w:bookmarkStart w:id="99"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7" w:name="genome-browsers-1"/>
    <w:p>
      <w:pPr>
        <w:pStyle w:val="Heading4"/>
      </w:pPr>
      <w:r>
        <w:rPr>
          <w:rStyle w:val="SectionNumber"/>
        </w:rPr>
        <w:t xml:space="preserve">2.13.0.1</w:t>
      </w:r>
      <w:r>
        <w:tab/>
      </w:r>
      <w:r>
        <w:t xml:space="preserve">Genome browsers</w:t>
      </w:r>
    </w:p>
    <w:p>
      <w:pPr>
        <w:numPr>
          <w:ilvl w:val="0"/>
          <w:numId w:val="1009"/>
        </w:numPr>
        <w:pStyle w:val="Compact"/>
      </w:pPr>
      <w:hyperlink r:id="rId96">
        <w:r>
          <w:rPr>
            <w:rStyle w:val="Hyperlink"/>
            <w:bCs/>
            <w:b/>
          </w:rPr>
          <w:t xml:space="preserve">UCSC genome browser</w:t>
        </w:r>
      </w:hyperlink>
      <w:r>
        <w:t xml:space="preserve">: Used to explore features of the human genome</w:t>
      </w:r>
    </w:p>
    <w:p>
      <w:pPr>
        <w:numPr>
          <w:ilvl w:val="1"/>
          <w:numId w:val="1010"/>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09"/>
        </w:numPr>
        <w:pStyle w:val="Compact"/>
      </w:pPr>
      <w:hyperlink r:id="rId62">
        <w:r>
          <w:rPr>
            <w:rStyle w:val="Hyperlink"/>
            <w:bCs/>
            <w:b/>
          </w:rPr>
          <w:t xml:space="preserve">IGV</w:t>
        </w:r>
      </w:hyperlink>
      <w:r>
        <w:t xml:space="preserve">: Used to visualize sequencing data</w:t>
      </w:r>
    </w:p>
    <w:p>
      <w:pPr>
        <w:numPr>
          <w:ilvl w:val="1"/>
          <w:numId w:val="1011"/>
        </w:numPr>
        <w:pStyle w:val="Compact"/>
      </w:pPr>
      <w:r>
        <w:t xml:space="preserve">It’s common practice to look at your sequencing reads in IGV to check alignment quality, verify that SNPs look like real variants and not errors, etc.</w:t>
      </w:r>
    </w:p>
    <w:bookmarkEnd w:id="97"/>
    <w:bookmarkStart w:id="98" w:name="data-repositories"/>
    <w:p>
      <w:pPr>
        <w:pStyle w:val="Heading4"/>
      </w:pPr>
      <w:r>
        <w:rPr>
          <w:rStyle w:val="SectionNumber"/>
        </w:rPr>
        <w:t xml:space="preserve">2.13.0.2</w:t>
      </w:r>
      <w:r>
        <w:tab/>
      </w:r>
      <w:r>
        <w:t xml:space="preserve">Data repositories</w:t>
      </w:r>
    </w:p>
    <w:p>
      <w:pPr>
        <w:numPr>
          <w:ilvl w:val="0"/>
          <w:numId w:val="1012"/>
        </w:numPr>
        <w:pStyle w:val="Compact"/>
      </w:pPr>
      <w:hyperlink r:id="rId76">
        <w:r>
          <w:rPr>
            <w:rStyle w:val="Hyperlink"/>
            <w:bCs/>
            <w:b/>
          </w:rPr>
          <w:t xml:space="preserve">1000 Genomes Project</w:t>
        </w:r>
      </w:hyperlink>
      <w:r>
        <w:t xml:space="preserve">: One of the largest and most diverse datasets of human sequencing data</w:t>
      </w:r>
    </w:p>
    <w:p>
      <w:pPr>
        <w:numPr>
          <w:ilvl w:val="1"/>
          <w:numId w:val="1013"/>
        </w:numPr>
        <w:pStyle w:val="Compact"/>
      </w:pPr>
      <w:r>
        <w:t xml:space="preserve">Data from 1000 Genomes is frequently used in human genetics studies</w:t>
      </w:r>
      <w:r>
        <w:t xml:space="preserve"> </w:t>
      </w:r>
    </w:p>
    <w:p>
      <w:pPr>
        <w:numPr>
          <w:ilvl w:val="0"/>
          <w:numId w:val="1012"/>
        </w:numPr>
        <w:pStyle w:val="Compact"/>
      </w:pPr>
      <w:hyperlink r:id="rId79">
        <w:r>
          <w:rPr>
            <w:rStyle w:val="Hyperlink"/>
            <w:bCs/>
            <w:b/>
          </w:rPr>
          <w:t xml:space="preserve">SRA</w:t>
        </w:r>
      </w:hyperlink>
      <w:r>
        <w:t xml:space="preserve">: A repository for publicly available sequencing data</w:t>
      </w:r>
    </w:p>
    <w:p>
      <w:pPr>
        <w:numPr>
          <w:ilvl w:val="1"/>
          <w:numId w:val="1014"/>
        </w:numPr>
        <w:pStyle w:val="Compact"/>
      </w:pPr>
      <w:r>
        <w:t xml:space="preserve">Genetics studies deposit their data in SRA if it can be made publicly available (i.e., if it has no identifiable information)</w:t>
      </w:r>
    </w:p>
    <w:bookmarkEnd w:id="98"/>
    <w:bookmarkEnd w:id="99"/>
    <w:bookmarkStart w:id="103" w:name="homework"/>
    <w:p>
      <w:pPr>
        <w:pStyle w:val="Heading2"/>
      </w:pPr>
      <w:r>
        <w:rPr>
          <w:rStyle w:val="SectionNumber"/>
        </w:rPr>
        <w:t xml:space="preserve">2.14</w:t>
      </w:r>
      <w:r>
        <w:tab/>
      </w:r>
      <w:r>
        <w:t xml:space="preserve">Homework</w:t>
      </w:r>
    </w:p>
    <w:bookmarkStart w:id="100"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0"/>
    <w:bookmarkStart w:id="102"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1">
        <w:r>
          <w:rPr>
            <w:rStyle w:val="Hyperlink"/>
          </w:rPr>
          <w:t xml:space="preserve">here</w:t>
        </w:r>
      </w:hyperlink>
      <w:r>
        <w:t xml:space="preserve"> </w:t>
      </w:r>
      <w:r>
        <w:t xml:space="preserve">to create a Posit Cloud account and join the HGV workspace.</w:t>
      </w:r>
    </w:p>
    <w:bookmarkEnd w:id="102"/>
    <w:bookmarkEnd w:id="103"/>
    <w:bookmarkEnd w:id="104"/>
    <w:bookmarkStart w:id="130"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5"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5"/>
        </w:numPr>
        <w:pStyle w:val="Compact"/>
      </w:pPr>
      <w:r>
        <w:t xml:space="preserve">Create plots to visualize the relationship between two variables.</w:t>
      </w:r>
    </w:p>
    <w:p>
      <w:pPr>
        <w:numPr>
          <w:ilvl w:val="0"/>
          <w:numId w:val="1015"/>
        </w:numPr>
        <w:pStyle w:val="Compact"/>
      </w:pPr>
      <w:r>
        <w:t xml:space="preserve">Interpret the results of a linear model.</w:t>
      </w:r>
    </w:p>
    <w:p>
      <w:pPr>
        <w:numPr>
          <w:ilvl w:val="0"/>
          <w:numId w:val="1015"/>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5"/>
        </w:numPr>
        <w:pStyle w:val="Compact"/>
      </w:pPr>
      <w:r>
        <w:t xml:space="preserve">Explain what a confidence interval is and why it’s useful.</w:t>
      </w:r>
    </w:p>
    <w:bookmarkEnd w:id="105"/>
    <w:bookmarkStart w:id="108"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6"/>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7" w:name="fig21"/>
      <w:r>
        <w:t xml:space="preserve">Figure </w:t>
      </w:r>
      <w:fldSimple w:instr="SEQ Figure \* ARABIC ">
        <w:r>
          <w:t>21</w:t>
        </w:r>
      </w:fldSimple>
      <w:r>
        <w:t xml:space="preserve">:</w:t>
      </w:r>
      <w:r>
        <w:t xml:space="preserve"> </w:t>
      </w:r>
      <w:bookmarkEnd w:id="107"/>
      <w:r>
        <w:rPr>
          <w:bCs/>
          <w:b/>
        </w:rPr>
        <w:t xml:space="preserve">Fig. 1.</w:t>
      </w:r>
      <w:r>
        <w:t xml:space="preserve"> </w:t>
      </w:r>
      <w:r>
        <w:t xml:space="preserve">Sources of DNMs in gametogenesis.</w:t>
      </w:r>
    </w:p>
    <w:bookmarkEnd w:id="108"/>
    <w:bookmarkStart w:id="111"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because they ensure proper homologous chromosome pairing and segregation (although there are exceptions in some organisms, like male fruit flies).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png" id="0" name="Picture"/>
                    <pic:cNvPicPr>
                      <a:picLocks noChangeArrowheads="1" noChangeAspect="1"/>
                    </pic:cNvPicPr>
                  </pic:nvPicPr>
                  <pic:blipFill>
                    <a:blip r:embed="rId109"/>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0" w:name="fig22"/>
      <w:r>
        <w:t xml:space="preserve">Figure </w:t>
      </w:r>
      <w:fldSimple w:instr="SEQ Figure \* ARABIC ">
        <w:r>
          <w:t>22</w:t>
        </w:r>
      </w:fldSimple>
      <w:r>
        <w:t xml:space="preserve">:</w:t>
      </w:r>
      <w:r>
        <w:t xml:space="preserve"> </w:t>
      </w:r>
      <w:bookmarkEnd w:id="110"/>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1"/>
    <w:bookmarkStart w:id="115"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2"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2"/>
    <w:bookmarkStart w:id="114"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3">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6"/>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6"/>
        </w:numPr>
        <w:pStyle w:val="Compact"/>
      </w:pPr>
      <w:r>
        <w:rPr>
          <w:rStyle w:val="VerbatimChar"/>
        </w:rPr>
        <w:t xml:space="preserve">n_paternal_dnm</w:t>
      </w:r>
      <w:r>
        <w:t xml:space="preserve">: Number of DNMs (carried by the child) that came from the father</w:t>
      </w:r>
    </w:p>
    <w:p>
      <w:pPr>
        <w:numPr>
          <w:ilvl w:val="0"/>
          <w:numId w:val="1016"/>
        </w:numPr>
        <w:pStyle w:val="Compact"/>
      </w:pPr>
      <w:r>
        <w:rPr>
          <w:rStyle w:val="VerbatimChar"/>
        </w:rPr>
        <w:t xml:space="preserve">n_maternal_dnm</w:t>
      </w:r>
      <w:r>
        <w:t xml:space="preserve">: Number of DNMs that came from the mother</w:t>
      </w:r>
    </w:p>
    <w:p>
      <w:pPr>
        <w:numPr>
          <w:ilvl w:val="0"/>
          <w:numId w:val="1016"/>
        </w:numPr>
        <w:pStyle w:val="Compact"/>
      </w:pPr>
      <w:r>
        <w:rPr>
          <w:rStyle w:val="VerbatimChar"/>
        </w:rPr>
        <w:t xml:space="preserve">n_na_dnm</w:t>
      </w:r>
      <w:r>
        <w:t xml:space="preserve">: Number of DNMs whose parental origin can’t be determined</w:t>
      </w:r>
    </w:p>
    <w:p>
      <w:pPr>
        <w:numPr>
          <w:ilvl w:val="0"/>
          <w:numId w:val="1016"/>
        </w:numPr>
        <w:pStyle w:val="Compact"/>
      </w:pPr>
      <w:r>
        <w:rPr>
          <w:rStyle w:val="VerbatimChar"/>
        </w:rPr>
        <w:t xml:space="preserve">Father_age</w:t>
      </w:r>
      <w:r>
        <w:t xml:space="preserve">: Father’s age at proband’s birth</w:t>
      </w:r>
    </w:p>
    <w:p>
      <w:pPr>
        <w:numPr>
          <w:ilvl w:val="0"/>
          <w:numId w:val="1016"/>
        </w:numPr>
        <w:pStyle w:val="Compact"/>
      </w:pPr>
      <w:r>
        <w:rPr>
          <w:rStyle w:val="VerbatimChar"/>
        </w:rPr>
        <w:t xml:space="preserve">Mother_age</w:t>
      </w:r>
      <w:r>
        <w:t xml:space="preserve">: Mother’s age at proband’s birth</w:t>
      </w:r>
    </w:p>
    <w:bookmarkEnd w:id="114"/>
    <w:bookmarkEnd w:id="115"/>
    <w:bookmarkStart w:id="118"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8"/>
    <w:bookmarkStart w:id="119"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7"/>
        </w:numPr>
        <w:pStyle w:val="Compact"/>
      </w:pPr>
      <w:r>
        <w:t xml:space="preserve">The formula or equation it’s evaluating</w:t>
      </w:r>
    </w:p>
    <w:p>
      <w:pPr>
        <w:numPr>
          <w:ilvl w:val="0"/>
          <w:numId w:val="1017"/>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19"/>
    <w:bookmarkStart w:id="120"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8"/>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19"/>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0"/>
    <w:bookmarkStart w:id="121"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range of values for which, for some probability, the interval will contain the true value of the slope.</w:t>
      </w:r>
    </w:p>
    <w:p>
      <w:pPr>
        <w:pStyle w:val="BodyText"/>
      </w:pPr>
      <w:r>
        <w:t xml:space="preserve">So, a 95% CI contains the true value of the slope 95% of the time.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0"/>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0"/>
        </w:numPr>
        <w:pStyle w:val="Compact"/>
      </w:pPr>
      <w:r>
        <w:t xml:space="preserve">The parameter we want a CI for (</w:t>
      </w:r>
      <w:r>
        <w:rPr>
          <w:rStyle w:val="VerbatimChar"/>
        </w:rPr>
        <w:t xml:space="preserve">Father_age</w:t>
      </w:r>
      <w:r>
        <w:t xml:space="preserve">)</w:t>
      </w:r>
    </w:p>
    <w:p>
      <w:pPr>
        <w:numPr>
          <w:ilvl w:val="0"/>
          <w:numId w:val="1020"/>
        </w:numPr>
        <w:pStyle w:val="Compact"/>
      </w:pPr>
      <w:r>
        <w:t xml:space="preserve">The CI’s probability (typically 95%)</w:t>
      </w:r>
    </w:p>
    <w:bookmarkEnd w:id="121"/>
    <w:bookmarkStart w:id="122"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2"/>
    <w:bookmarkStart w:id="123"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1"/>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1"/>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1"/>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3"/>
    <w:bookmarkStart w:id="125" w:name="homework-1"/>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3">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4"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2"/>
        </w:numPr>
        <w:pStyle w:val="Compact"/>
      </w:pPr>
      <w:r>
        <w:t xml:space="preserve">Required homework: Practice visualizing data with</w:t>
      </w:r>
      <w:r>
        <w:t xml:space="preserve"> </w:t>
      </w:r>
      <w:r>
        <w:rPr>
          <w:rStyle w:val="VerbatimChar"/>
        </w:rPr>
        <w:t xml:space="preserve">ggplot2</w:t>
      </w:r>
    </w:p>
    <w:p>
      <w:pPr>
        <w:numPr>
          <w:ilvl w:val="0"/>
          <w:numId w:val="1022"/>
        </w:numPr>
        <w:pStyle w:val="Compact"/>
      </w:pPr>
      <w:r>
        <w:t xml:space="preserve">Optional homework: Practice interpreting linear models</w:t>
      </w:r>
    </w:p>
    <w:bookmarkEnd w:id="124"/>
    <w:bookmarkEnd w:id="125"/>
    <w:bookmarkStart w:id="128"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3"/>
        </w:numPr>
        <w:pStyle w:val="Compact"/>
      </w:pPr>
      <w:r>
        <w:rPr>
          <w:rStyle w:val="VerbatimChar"/>
        </w:rPr>
        <w:t xml:space="preserve">Proband_id</w:t>
      </w:r>
      <w:r>
        <w:t xml:space="preserve">: ID of the child</w:t>
      </w:r>
    </w:p>
    <w:p>
      <w:pPr>
        <w:numPr>
          <w:ilvl w:val="0"/>
          <w:numId w:val="1023"/>
        </w:numPr>
        <w:pStyle w:val="Compact"/>
      </w:pPr>
      <w:r>
        <w:rPr>
          <w:rStyle w:val="VerbatimChar"/>
        </w:rPr>
        <w:t xml:space="preserve">n_pat_xover</w:t>
      </w:r>
      <w:r>
        <w:t xml:space="preserve">: Number of crossovers (carried by the child) that occurred in the paternal gametes</w:t>
      </w:r>
    </w:p>
    <w:p>
      <w:pPr>
        <w:numPr>
          <w:ilvl w:val="0"/>
          <w:numId w:val="1023"/>
        </w:numPr>
        <w:pStyle w:val="Compact"/>
      </w:pPr>
      <w:r>
        <w:rPr>
          <w:rStyle w:val="VerbatimChar"/>
        </w:rPr>
        <w:t xml:space="preserve">n_mat_xover</w:t>
      </w:r>
      <w:r>
        <w:t xml:space="preserve">: Number of crossovers that occurred in the maternal gametes</w:t>
      </w:r>
    </w:p>
    <w:p>
      <w:pPr>
        <w:numPr>
          <w:ilvl w:val="0"/>
          <w:numId w:val="1023"/>
        </w:numPr>
        <w:pStyle w:val="Compact"/>
      </w:pPr>
      <w:r>
        <w:rPr>
          <w:rStyle w:val="VerbatimChar"/>
        </w:rPr>
        <w:t xml:space="preserve">Father_age</w:t>
      </w:r>
      <w:r>
        <w:t xml:space="preserve">: Father’s age at proband’s birth</w:t>
      </w:r>
    </w:p>
    <w:p>
      <w:pPr>
        <w:numPr>
          <w:ilvl w:val="0"/>
          <w:numId w:val="1023"/>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8"/>
    <w:bookmarkStart w:id="129"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29"/>
    <w:bookmarkEnd w:id="130"/>
    <w:bookmarkStart w:id="137"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
              <w:r>
                <w:rPr>
                  <w:rStyle w:val="Hyperlink"/>
                </w:rPr>
                <w:t xml:space="preserve">Rajiv McCoy</w:t>
              </w:r>
            </w:hyperlink>
          </w:p>
        </w:tc>
      </w:tr>
      <w:tr>
        <w:tc>
          <w:tcPr/>
          <w:p>
            <w:pPr>
              <w:pStyle w:val="Compact"/>
              <w:jc w:val="left"/>
            </w:pPr>
            <w:r>
              <w:t xml:space="preserve">Content Author</w:t>
            </w:r>
          </w:p>
        </w:tc>
        <w:tc>
          <w:tcPr/>
          <w:p>
            <w:pPr>
              <w:pStyle w:val="Compact"/>
              <w:jc w:val="left"/>
            </w:pPr>
            <w:hyperlink r:id="rId131">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2">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3">
              <w:r>
                <w:rPr>
                  <w:rStyle w:val="Hyperlink"/>
                </w:rPr>
                <w:t xml:space="preserve">Jeff Leek</w:t>
              </w:r>
            </w:hyperlink>
            <w:r>
              <w:t xml:space="preserve"> </w:t>
            </w:r>
            <w:r>
              <w:t xml:space="preserve">&amp;</w:t>
            </w:r>
            <w:r>
              <w:t xml:space="preserve"> </w:t>
            </w:r>
            <w:hyperlink r:id="rId134">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5">
              <w:r>
                <w:rPr>
                  <w:rStyle w:val="Hyperlink"/>
                </w:rPr>
                <w:t xml:space="preserve">Ali Madooei</w:t>
              </w:r>
            </w:hyperlink>
            <w:r>
              <w:t xml:space="preserve"> </w:t>
            </w:r>
            <w:r>
              <w:t xml:space="preserve">&amp;</w:t>
            </w:r>
            <w:r>
              <w:t xml:space="preserve"> </w:t>
            </w:r>
            <w:hyperlink r:id="rId136">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3" Target="media/rId43.pn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0" Target="media/rId70.png" /><Relationship Type="http://schemas.openxmlformats.org/officeDocument/2006/relationships/image" Id="rId87" Target="media/rId87.jpg" /><Relationship Type="http://schemas.openxmlformats.org/officeDocument/2006/relationships/image" Id="rId89" Target="media/rId89.png" /><Relationship Type="http://schemas.openxmlformats.org/officeDocument/2006/relationships/image" Id="rId92" Target="media/rId92.jpg" /><Relationship Type="http://schemas.openxmlformats.org/officeDocument/2006/relationships/image" Id="rId30" Target="media/rId30.jpg" /><Relationship Type="http://schemas.openxmlformats.org/officeDocument/2006/relationships/image" Id="rId74" Target="media/rId74.jp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36" Target="media/rId36.jpg" /><Relationship Type="http://schemas.openxmlformats.org/officeDocument/2006/relationships/image" Id="rId47" Target="media/rId47.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hyperlink" Id="rId136" Target="https://cs226sp22.github.io/" TargetMode="External" /><Relationship Type="http://schemas.openxmlformats.org/officeDocument/2006/relationships/hyperlink" Id="rId135"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34" Target="https://jhudatascience.org/index.html" TargetMode="External" /><Relationship Type="http://schemas.openxmlformats.org/officeDocument/2006/relationships/hyperlink" Id="rId133" Target="https://jtleek.com/" TargetMode="External" /><Relationship Type="http://schemas.openxmlformats.org/officeDocument/2006/relationships/hyperlink" Id="rId132"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13" Target="https://science.sciencemag.org/content/363/6425/eaau1043" TargetMode="External" /><Relationship Type="http://schemas.openxmlformats.org/officeDocument/2006/relationships/hyperlink" Id="rId131"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6" Target="https://cs226sp22.github.io/" TargetMode="External" /><Relationship Type="http://schemas.openxmlformats.org/officeDocument/2006/relationships/hyperlink" Id="rId135"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34" Target="https://jhudatascience.org/index.html" TargetMode="External" /><Relationship Type="http://schemas.openxmlformats.org/officeDocument/2006/relationships/hyperlink" Id="rId133" Target="https://jtleek.com/" TargetMode="External" /><Relationship Type="http://schemas.openxmlformats.org/officeDocument/2006/relationships/hyperlink" Id="rId132"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13" Target="https://science.sciencemag.org/content/363/6425/eaau1043" TargetMode="External" /><Relationship Type="http://schemas.openxmlformats.org/officeDocument/2006/relationships/hyperlink" Id="rId131"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2023-01-25T19:46:32Z</dcterms:created>
  <dcterms:modified xsi:type="dcterms:W3CDTF">2023-01-25T19:46:32Z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