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6" w:name="the-unix-shell"/>
    <w:p>
      <w:pPr>
        <w:pStyle w:val="Heading1"/>
      </w:pPr>
      <w:r>
        <w:rPr>
          <w:rStyle w:val="SectionNumber"/>
        </w:rPr>
        <w:t xml:space="preserve">2</w:t>
      </w:r>
      <w:r>
        <w:tab/>
      </w:r>
      <w:r>
        <w:t xml:space="preserve">The Unix Shell</w:t>
      </w:r>
    </w:p>
    <w:bookmarkStart w:id="23" w:name="introducing-the-shell"/>
    <w:p>
      <w:pPr>
        <w:pStyle w:val="Heading2"/>
      </w:pPr>
      <w:r>
        <w:rPr>
          <w:rStyle w:val="SectionNumber"/>
        </w:rPr>
        <w:t xml:space="preserve">2.1</w:t>
      </w:r>
      <w:r>
        <w:tab/>
      </w:r>
      <w:r>
        <w:t xml:space="preserve">Introducing the Shell</w:t>
      </w:r>
    </w:p>
    <w:bookmarkEnd w:id="23"/>
    <w:bookmarkStart w:id="24" w:name="navigating-files-and-directories"/>
    <w:p>
      <w:pPr>
        <w:pStyle w:val="Heading2"/>
      </w:pPr>
      <w:r>
        <w:rPr>
          <w:rStyle w:val="SectionNumber"/>
        </w:rPr>
        <w:t xml:space="preserve">2.2</w:t>
      </w:r>
      <w:r>
        <w:tab/>
      </w:r>
      <w:r>
        <w:t xml:space="preserve">Navigating Files and Directories</w:t>
      </w:r>
    </w:p>
    <w:bookmarkEnd w:id="24"/>
    <w:bookmarkStart w:id="25" w:name="working-with-files-and-directories"/>
    <w:p>
      <w:pPr>
        <w:pStyle w:val="Heading2"/>
      </w:pPr>
      <w:r>
        <w:rPr>
          <w:rStyle w:val="SectionNumber"/>
        </w:rPr>
        <w:t xml:space="preserve">2.3</w:t>
      </w:r>
      <w:r>
        <w:tab/>
      </w:r>
      <w:r>
        <w:t xml:space="preserve">Working with Files and Directories</w:t>
      </w:r>
    </w:p>
    <w:bookmarkEnd w:id="25"/>
    <w:bookmarkEnd w:id="26"/>
    <w:bookmarkStart w:id="62" w:name="python"/>
    <w:p>
      <w:pPr>
        <w:pStyle w:val="Heading1"/>
      </w:pPr>
      <w:r>
        <w:rPr>
          <w:rStyle w:val="SectionNumber"/>
        </w:rPr>
        <w:t xml:space="preserve">3</w:t>
      </w:r>
      <w:r>
        <w:tab/>
      </w:r>
      <w:r>
        <w:t xml:space="preserve">Python</w:t>
      </w:r>
    </w:p>
    <w:bookmarkStart w:id="27"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1"/>
        </w:numPr>
        <w:pStyle w:val="Compact"/>
      </w:pPr>
      <w:r>
        <w:rPr>
          <w:rStyle w:val="VerbatimChar"/>
        </w:rPr>
        <w:t xml:space="preserve">2</w:t>
      </w:r>
    </w:p>
    <w:p>
      <w:pPr>
        <w:numPr>
          <w:ilvl w:val="0"/>
          <w:numId w:val="1001"/>
        </w:numPr>
        <w:pStyle w:val="Compact"/>
      </w:pPr>
      <w:r>
        <w:rPr>
          <w:rStyle w:val="VerbatimChar"/>
        </w:rPr>
        <w:t xml:space="preserve">-3</w:t>
      </w:r>
    </w:p>
    <w:p>
      <w:pPr>
        <w:numPr>
          <w:ilvl w:val="0"/>
          <w:numId w:val="1001"/>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2"/>
        </w:numPr>
        <w:pStyle w:val="Compact"/>
      </w:pPr>
      <w:r>
        <w:rPr>
          <w:rStyle w:val="VerbatimChar"/>
        </w:rPr>
        <w:t xml:space="preserve">1.2</w:t>
      </w:r>
    </w:p>
    <w:p>
      <w:pPr>
        <w:numPr>
          <w:ilvl w:val="0"/>
          <w:numId w:val="1002"/>
        </w:numPr>
        <w:pStyle w:val="Compact"/>
      </w:pPr>
      <w:r>
        <w:rPr>
          <w:rStyle w:val="VerbatimChar"/>
        </w:rPr>
        <w:t xml:space="preserve">-3.0</w:t>
      </w:r>
    </w:p>
    <w:p>
      <w:pPr>
        <w:numPr>
          <w:ilvl w:val="0"/>
          <w:numId w:val="1002"/>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3"/>
        </w:numPr>
        <w:pStyle w:val="Compact"/>
      </w:pPr>
      <w:r>
        <w:rPr>
          <w:rStyle w:val="VerbatimChar"/>
        </w:rPr>
        <w:t xml:space="preserve">"My Grandpa's deck has no pathetic cards"</w:t>
      </w:r>
    </w:p>
    <w:p>
      <w:pPr>
        <w:numPr>
          <w:ilvl w:val="0"/>
          <w:numId w:val="1003"/>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27"/>
    <w:bookmarkStart w:id="29"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4"/>
        </w:numPr>
        <w:pStyle w:val="Compact"/>
      </w:pPr>
      <w:r>
        <w:rPr>
          <w:rStyle w:val="VerbatimChar"/>
        </w:rPr>
        <w:t xml:space="preserve">composer = "buxtehude"</w:t>
      </w:r>
    </w:p>
    <w:p>
      <w:pPr>
        <w:numPr>
          <w:ilvl w:val="0"/>
          <w:numId w:val="1004"/>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05"/>
        </w:numPr>
        <w:pStyle w:val="Compact"/>
      </w:pPr>
      <w:r>
        <w:t xml:space="preserve">The name must start with a letter or underscore</w:t>
      </w:r>
    </w:p>
    <w:p>
      <w:pPr>
        <w:numPr>
          <w:ilvl w:val="0"/>
          <w:numId w:val="1005"/>
        </w:numPr>
        <w:pStyle w:val="Compact"/>
      </w:pPr>
      <w:r>
        <w:t xml:space="preserve">The name can only consist of letters, numbers, or underscores</w:t>
      </w:r>
    </w:p>
    <w:p>
      <w:pPr>
        <w:numPr>
          <w:ilvl w:val="0"/>
          <w:numId w:val="1005"/>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05"/>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28">
        <w:r>
          <w:rPr>
            <w:rStyle w:val="Hyperlink"/>
            <w:bCs/>
            <w:b/>
          </w:rPr>
          <w:t xml:space="preserve">here</w:t>
        </w:r>
      </w:hyperlink>
      <w:r>
        <w:t xml:space="preserve">.</w:t>
      </w:r>
    </w:p>
    <w:bookmarkEnd w:id="29"/>
    <w:bookmarkStart w:id="32" w:name="math"/>
    <w:p>
      <w:pPr>
        <w:pStyle w:val="Heading2"/>
      </w:pPr>
      <w:r>
        <w:rPr>
          <w:rStyle w:val="SectionNumber"/>
        </w:rPr>
        <w:t xml:space="preserve">3.3</w:t>
      </w:r>
      <w:r>
        <w:tab/>
      </w:r>
      <w:r>
        <w:t xml:space="preserve">Math</w:t>
      </w:r>
    </w:p>
    <w:bookmarkStart w:id="30"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06"/>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6"/>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6"/>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0"/>
    <w:bookmarkStart w:id="31"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1"/>
    <w:bookmarkEnd w:id="32"/>
    <w:bookmarkStart w:id="33" w:name="comparisons"/>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0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08"/>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09"/>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09"/>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3"/>
    <w:bookmarkStart w:id="38" w:name="built-in-functions-and-methods"/>
    <w:p>
      <w:pPr>
        <w:pStyle w:val="Heading2"/>
      </w:pPr>
      <w:r>
        <w:rPr>
          <w:rStyle w:val="SectionNumber"/>
        </w:rPr>
        <w:t xml:space="preserve">3.5</w:t>
      </w:r>
      <w:r>
        <w:tab/>
      </w:r>
      <w:r>
        <w:t xml:space="preserve">Built-In Functions and Methods</w:t>
      </w:r>
    </w:p>
    <w:bookmarkStart w:id="34"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34"/>
    <w:bookmarkStart w:id="37"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5"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5"/>
    <w:bookmarkStart w:id="36"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36"/>
    <w:bookmarkEnd w:id="37"/>
    <w:bookmarkEnd w:id="38"/>
    <w:bookmarkStart w:id="39" w:name="type-conversion"/>
    <w:p>
      <w:pPr>
        <w:pStyle w:val="Heading2"/>
      </w:pPr>
      <w:r>
        <w:rPr>
          <w:rStyle w:val="SectionNumber"/>
        </w:rPr>
        <w:t xml:space="preserve">3.6</w:t>
      </w:r>
      <w:r>
        <w:tab/>
      </w:r>
      <w:r>
        <w:t xml:space="preserve">Type Conversion</w:t>
      </w:r>
    </w:p>
    <w:bookmarkEnd w:id="39"/>
    <w:bookmarkStart w:id="44" w:name="string-methods"/>
    <w:p>
      <w:pPr>
        <w:pStyle w:val="Heading2"/>
      </w:pPr>
      <w:r>
        <w:rPr>
          <w:rStyle w:val="SectionNumber"/>
        </w:rPr>
        <w:t xml:space="preserve">3.7</w:t>
      </w:r>
      <w:r>
        <w:tab/>
      </w:r>
      <w:r>
        <w:t xml:space="preserve">String Methods</w:t>
      </w:r>
    </w:p>
    <w:bookmarkStart w:id="40" w:name="upper-and-.lower"/>
    <w:p>
      <w:pPr>
        <w:pStyle w:val="Heading3"/>
      </w:pPr>
      <w:r>
        <w:rPr>
          <w:rStyle w:val="SectionNumber"/>
        </w:rPr>
        <w:t xml:space="preserve">3.7.1</w:t>
      </w:r>
      <w:r>
        <w:tab/>
      </w:r>
      <w:r>
        <w:t xml:space="preserve">.upper() and .lower()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0"/>
    <w:bookmarkStart w:id="41"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1"/>
    <w:bookmarkStart w:id="42"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2"/>
    <w:bookmarkStart w:id="43"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3"/>
    <w:bookmarkEnd w:id="44"/>
    <w:bookmarkStart w:id="48"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0"/>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0"/>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0"/>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0"/>
        </w:numPr>
        <w:pStyle w:val="Compact"/>
      </w:pPr>
      <w:r>
        <w:rPr>
          <w:bCs/>
          <w:b/>
        </w:rPr>
        <w:t xml:space="preserve">Can contain repeat values</w:t>
      </w:r>
      <w:r>
        <w:t xml:space="preserve">:</w:t>
      </w:r>
      <w:r>
        <w:t xml:space="preserve"> </w:t>
      </w:r>
      <w:r>
        <w:rPr>
          <w:rStyle w:val="VerbatimChar"/>
        </w:rPr>
        <w:t xml:space="preserve">["tomato", "tomato", "tomato", "sulfur"]</w:t>
      </w:r>
    </w:p>
    <w:bookmarkStart w:id="46"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1"/>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12"/>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5"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5"/>
    <w:bookmarkEnd w:id="46"/>
    <w:bookmarkStart w:id="47"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47"/>
    <w:bookmarkEnd w:id="48"/>
    <w:bookmarkStart w:id="51"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49"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13"/>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13"/>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49"/>
    <w:bookmarkStart w:id="50"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0"/>
    <w:bookmarkEnd w:id="51"/>
    <w:bookmarkStart w:id="52" w:name="reading-in-data-and-text-parsing"/>
    <w:p>
      <w:pPr>
        <w:pStyle w:val="Heading2"/>
      </w:pPr>
      <w:r>
        <w:rPr>
          <w:rStyle w:val="SectionNumber"/>
        </w:rPr>
        <w:t xml:space="preserve">3.10</w:t>
      </w:r>
      <w:r>
        <w:tab/>
      </w:r>
      <w:r>
        <w:t xml:space="preserve">Reading in Data and Text Parsing</w:t>
      </w:r>
    </w:p>
    <w:p>
      <w:pPr>
        <w:pStyle w:val="FirstParagraph"/>
      </w:pPr>
      <w:r>
        <w:rPr>
          <w:iCs/>
          <w:i/>
          <w:bCs/>
          <w:b/>
        </w:rPr>
        <w:t xml:space="preserve">FILL</w:t>
      </w:r>
    </w:p>
    <w:bookmarkEnd w:id="52"/>
    <w:bookmarkStart w:id="55" w:name="modules"/>
    <w:p>
      <w:pPr>
        <w:pStyle w:val="Heading2"/>
      </w:pPr>
      <w:r>
        <w:rPr>
          <w:rStyle w:val="SectionNumber"/>
        </w:rPr>
        <w:t xml:space="preserve">3.11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3" w:name="module-functions"/>
    <w:p>
      <w:pPr>
        <w:pStyle w:val="Heading3"/>
      </w:pPr>
      <w:r>
        <w:rPr>
          <w:rStyle w:val="SectionNumber"/>
        </w:rPr>
        <w:t xml:space="preserve">3.11.1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3"/>
    <w:bookmarkStart w:id="54" w:name="abbreviating-module-names"/>
    <w:p>
      <w:pPr>
        <w:pStyle w:val="Heading3"/>
      </w:pPr>
      <w:r>
        <w:rPr>
          <w:rStyle w:val="SectionNumber"/>
        </w:rPr>
        <w:t xml:space="preserve">3.11.2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54"/>
    <w:bookmarkEnd w:id="55"/>
    <w:bookmarkStart w:id="61" w:name="numpy"/>
    <w:p>
      <w:pPr>
        <w:pStyle w:val="Heading2"/>
      </w:pPr>
      <w:r>
        <w:rPr>
          <w:rStyle w:val="SectionNumber"/>
        </w:rPr>
        <w:t xml:space="preserve">3.12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57" w:name="reading-in-data"/>
    <w:p>
      <w:pPr>
        <w:pStyle w:val="Heading3"/>
      </w:pPr>
      <w:r>
        <w:rPr>
          <w:rStyle w:val="SectionNumber"/>
        </w:rPr>
        <w:t xml:space="preserve">3.12.1</w:t>
      </w:r>
      <w:r>
        <w:tab/>
      </w:r>
      <w:r>
        <w:t xml:space="preserve">Reading in data</w:t>
      </w:r>
    </w:p>
    <w:p>
      <w:pPr>
        <w:pStyle w:val="FirstParagraph"/>
      </w:pPr>
      <w:r>
        <w:t xml:space="preserve">The function</w:t>
      </w:r>
      <w:r>
        <w:t xml:space="preserve"> </w:t>
      </w:r>
      <w:r>
        <w:rPr>
          <w:rStyle w:val="VerbatimChar"/>
        </w:rPr>
        <w:t xml:space="preserve">np.readtxt()</w:t>
      </w:r>
      <w:r>
        <w:t xml:space="preserve"> </w:t>
      </w:r>
      <w:r>
        <w:t xml:space="preserve">is used to read in text data. The most basic way to run</w:t>
      </w:r>
      <w:r>
        <w:t xml:space="preserve"> </w:t>
      </w:r>
      <w:r>
        <w:rPr>
          <w:rStyle w:val="VerbatimChar"/>
        </w:rPr>
        <w:t xml:space="preserve">np.readtxt()</w:t>
      </w:r>
      <w:r>
        <w:t xml:space="preserve"> </w:t>
      </w:r>
      <w:r>
        <w:t xml:space="preserve">is:</w:t>
      </w:r>
    </w:p>
    <w:p>
      <w:pPr>
        <w:pStyle w:val="SourceCode"/>
      </w:pPr>
      <w:r>
        <w:rPr>
          <w:rStyle w:val="NormalTok"/>
        </w:rPr>
        <w:t xml:space="preserve">np.readtxt(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np.readtxt('numbers.csv')</w:t>
      </w:r>
      <w:r>
        <w:t xml:space="preserve">. However, when we read in data, we typically want to store it in memory for further manipulation, so we usually use</w:t>
      </w:r>
      <w:r>
        <w:t xml:space="preserve"> </w:t>
      </w:r>
      <w:r>
        <w:rPr>
          <w:rStyle w:val="VerbatimChar"/>
        </w:rPr>
        <w:t xml:space="preserve">np.readtxt()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w:t>
      </w:r>
    </w:p>
    <w:p>
      <w:pPr>
        <w:pStyle w:val="FirstParagraph"/>
      </w:pPr>
      <w:r>
        <w:t xml:space="preserve">This creates an array where each contains the full text of the line. For example, a component line could appear as:</w:t>
      </w:r>
      <w:r>
        <w:t xml:space="preserve"> </w:t>
      </w:r>
      <w:r>
        <w:rPr>
          <w:bCs/>
          <w:b/>
        </w:rPr>
        <w:t xml:space="preserve">array([</w:t>
      </w:r>
      <w:r>
        <w:rPr>
          <w:bCs/>
          <w:b/>
        </w:rPr>
        <w:t xml:space="preserve">‘</w:t>
      </w:r>
      <w:r>
        <w:rPr>
          <w:bCs/>
          <w:b/>
        </w:rPr>
        <w:t xml:space="preserve">1,2,3</w:t>
      </w:r>
      <w:r>
        <w:rPr>
          <w:bCs/>
          <w:b/>
        </w:rPr>
        <w:t xml:space="preserve">’</w:t>
      </w:r>
      <w:r>
        <w:rPr>
          <w:bCs/>
          <w:b/>
        </w:rPr>
        <w:t xml:space="preserve">], dtype=</w:t>
      </w:r>
      <w:r>
        <w:rPr>
          <w:bCs/>
          <w:b/>
        </w:rPr>
        <w:t xml:space="preserve">‘</w:t>
      </w:r>
      <w:r>
        <w:rPr>
          <w:bCs/>
          <w:b/>
        </w:rPr>
        <w:t xml:space="preserve">&lt;U5</w:t>
      </w:r>
      <w:r>
        <w:rPr>
          <w:bCs/>
          <w:b/>
        </w:rPr>
        <w:t xml:space="preserve">’</w:t>
      </w:r>
      <w:r>
        <w:rPr>
          <w:bCs/>
          <w:b/>
        </w:rPr>
        <w:t xml:space="preserve">)</w:t>
      </w:r>
      <w:r>
        <w:t xml:space="preserve">, with all variables appearing together as one string. To tell Python that our data is delimited by a comma,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np.readtxt()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np.readtxt()</w:t>
      </w:r>
      <w:r>
        <w:t xml:space="preserve"> </w:t>
      </w:r>
      <w:r>
        <w:t xml:space="preserve">can be found</w:t>
      </w:r>
      <w:r>
        <w:t xml:space="preserve"> </w:t>
      </w:r>
      <w:hyperlink r:id="rId56">
        <w:r>
          <w:rPr>
            <w:rStyle w:val="Hyperlink"/>
          </w:rPr>
          <w:t xml:space="preserve">here</w:t>
        </w:r>
      </w:hyperlink>
    </w:p>
    <w:bookmarkEnd w:id="57"/>
    <w:bookmarkStart w:id="60" w:name="indexing-numpy-arrays"/>
    <w:p>
      <w:pPr>
        <w:pStyle w:val="Heading3"/>
      </w:pPr>
      <w:r>
        <w:rPr>
          <w:rStyle w:val="SectionNumber"/>
        </w:rPr>
        <w:t xml:space="preserve">3.12.2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58" w:name="accessing-single-values"/>
    <w:p>
      <w:pPr>
        <w:pStyle w:val="Heading4"/>
      </w:pPr>
      <w:r>
        <w:rPr>
          <w:rStyle w:val="SectionNumber"/>
        </w:rPr>
        <w:t xml:space="preserve">3.12.2.1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58"/>
    <w:bookmarkStart w:id="59" w:name="accessing-multiple-values"/>
    <w:p>
      <w:pPr>
        <w:pStyle w:val="Heading4"/>
      </w:pPr>
      <w:r>
        <w:rPr>
          <w:rStyle w:val="SectionNumber"/>
        </w:rPr>
        <w:t xml:space="preserve">3.12.2.2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59"/>
    <w:bookmarkEnd w:id="60"/>
    <w:bookmarkEnd w:id="61"/>
    <w:bookmarkEnd w:id="62"/>
    <w:bookmarkStart w:id="65" w:name="math-in-numpy"/>
    <w:p>
      <w:pPr>
        <w:pStyle w:val="Heading1"/>
      </w:pPr>
      <w:r>
        <w:rPr>
          <w:rStyle w:val="SectionNumber"/>
        </w:rPr>
        <w:t xml:space="preserve">4</w:t>
      </w:r>
      <w:r>
        <w:tab/>
      </w:r>
      <w:r>
        <w:t xml:space="preserve">Math in</w:t>
      </w:r>
      <w:r>
        <w:t xml:space="preserve"> </w:t>
      </w:r>
      <w:r>
        <w:rPr>
          <w:rStyle w:val="VerbatimChar"/>
        </w:rPr>
        <w:t xml:space="preserve">numpy</w:t>
      </w:r>
    </w:p>
    <w:bookmarkStart w:id="63" w:name="plotting"/>
    <w:p>
      <w:pPr>
        <w:pStyle w:val="Heading2"/>
      </w:pPr>
      <w:r>
        <w:rPr>
          <w:rStyle w:val="SectionNumber"/>
        </w:rPr>
        <w:t xml:space="preserve">4.1</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3"/>
    <w:bookmarkStart w:id="64" w:name="errors"/>
    <w:p>
      <w:pPr>
        <w:pStyle w:val="Heading2"/>
      </w:pPr>
      <w:r>
        <w:rPr>
          <w:rStyle w:val="SectionNumber"/>
        </w:rPr>
        <w:t xml:space="preserve">4.2</w:t>
      </w:r>
      <w:r>
        <w:tab/>
      </w:r>
      <w:r>
        <w:t xml:space="preserve">Errors</w:t>
      </w:r>
    </w:p>
    <w:bookmarkEnd w:id="64"/>
    <w:bookmarkEnd w:id="65"/>
    <w:bookmarkStart w:id="68" w:name="git"/>
    <w:p>
      <w:pPr>
        <w:pStyle w:val="Heading1"/>
      </w:pPr>
      <w:r>
        <w:rPr>
          <w:rStyle w:val="SectionNumber"/>
        </w:rPr>
        <w:t xml:space="preserve">5</w:t>
      </w:r>
      <w:r>
        <w:tab/>
      </w:r>
      <w:r>
        <w:t xml:space="preserve">Git</w:t>
      </w:r>
    </w:p>
    <w:bookmarkStart w:id="66" w:name="tracking-changes"/>
    <w:p>
      <w:pPr>
        <w:pStyle w:val="Heading2"/>
      </w:pPr>
      <w:r>
        <w:rPr>
          <w:rStyle w:val="SectionNumber"/>
        </w:rPr>
        <w:t xml:space="preserve">5.1</w:t>
      </w:r>
      <w:r>
        <w:tab/>
      </w:r>
      <w:r>
        <w:t xml:space="preserve">Tracking Changes</w:t>
      </w:r>
    </w:p>
    <w:bookmarkEnd w:id="66"/>
    <w:bookmarkStart w:id="67" w:name="ignoring-things"/>
    <w:p>
      <w:pPr>
        <w:pStyle w:val="Heading2"/>
      </w:pPr>
      <w:r>
        <w:rPr>
          <w:rStyle w:val="SectionNumber"/>
        </w:rPr>
        <w:t xml:space="preserve">5.2</w:t>
      </w:r>
      <w:r>
        <w:tab/>
      </w:r>
      <w:r>
        <w:t xml:space="preserve">Ignoring Things</w:t>
      </w:r>
    </w:p>
    <w:bookmarkEnd w:id="67"/>
    <w:bookmarkEnd w:id="68"/>
    <w:bookmarkStart w:id="76"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69">
              <w:r>
                <w:rPr>
                  <w:rStyle w:val="Hyperlink"/>
                </w:rPr>
                <w:t xml:space="preserve">Rajiv McCoy</w:t>
              </w:r>
            </w:hyperlink>
          </w:p>
        </w:tc>
      </w:tr>
      <w:tr>
        <w:tc>
          <w:tcPr/>
          <w:p>
            <w:pPr>
              <w:pStyle w:val="Compact"/>
              <w:jc w:val="left"/>
            </w:pPr>
            <w:r>
              <w:t xml:space="preserve">Content Author</w:t>
            </w:r>
          </w:p>
        </w:tc>
        <w:tc>
          <w:tcPr/>
          <w:p>
            <w:pPr>
              <w:pStyle w:val="Compact"/>
              <w:jc w:val="left"/>
            </w:pPr>
            <w:hyperlink r:id="rId70">
              <w:r>
                <w:rPr>
                  <w:rStyle w:val="Hyperlink"/>
                </w:rPr>
                <w:t xml:space="preserve">Stephanie Yan</w:t>
              </w:r>
            </w:hyperlink>
          </w:p>
        </w:tc>
      </w:tr>
      <w:tr>
        <w:tc>
          <w:tcPr/>
          <w:p>
            <w:pPr>
              <w:pStyle w:val="Compact"/>
              <w:jc w:val="left"/>
            </w:pPr>
            <w:r>
              <w:t xml:space="preserve">Content Author</w:t>
            </w:r>
          </w:p>
        </w:tc>
        <w:tc>
          <w:tcPr/>
          <w:p>
            <w:pPr>
              <w:pStyle w:val="Compact"/>
              <w:jc w:val="left"/>
            </w:pPr>
            <w:hyperlink r:id="rId71">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2">
              <w:r>
                <w:rPr>
                  <w:rStyle w:val="Hyperlink"/>
                </w:rPr>
                <w:t xml:space="preserve">Jeff Leek</w:t>
              </w:r>
            </w:hyperlink>
            <w:r>
              <w:t xml:space="preserve"> </w:t>
            </w:r>
            <w:r>
              <w:t xml:space="preserve">&amp;</w:t>
            </w:r>
            <w:r>
              <w:t xml:space="preserve"> </w:t>
            </w:r>
            <w:hyperlink r:id="rId73">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4">
              <w:r>
                <w:rPr>
                  <w:rStyle w:val="Hyperlink"/>
                </w:rPr>
                <w:t xml:space="preserve">Ali Madooei</w:t>
              </w:r>
            </w:hyperlink>
            <w:r>
              <w:t xml:space="preserve"> </w:t>
            </w:r>
            <w:r>
              <w:t xml:space="preserve">&amp;</w:t>
            </w:r>
            <w:r>
              <w:t xml:space="preserve"> </w:t>
            </w:r>
            <w:hyperlink r:id="rId7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cs226sp22.github.io/" TargetMode="External" /><Relationship Type="http://schemas.openxmlformats.org/officeDocument/2006/relationships/hyperlink" Id="rId74" Target="https://engineering.jhu.edu/faculty/ali-madooei/" TargetMode="External" /><Relationship Type="http://schemas.openxmlformats.org/officeDocument/2006/relationships/hyperlink" Id="rId73" Target="https://jhudatascience.org/index.html" TargetMode="External" /><Relationship Type="http://schemas.openxmlformats.org/officeDocument/2006/relationships/hyperlink" Id="rId72" Target="https://jtleek.com/" TargetMode="External" /><Relationship Type="http://schemas.openxmlformats.org/officeDocument/2006/relationships/hyperlink" Id="rId71" Target="https://kweav.github.io/" TargetMode="External" /><Relationship Type="http://schemas.openxmlformats.org/officeDocument/2006/relationships/hyperlink" Id="rId69" Target="https://mccoy-lab.org/" TargetMode="External" /><Relationship Type="http://schemas.openxmlformats.org/officeDocument/2006/relationships/hyperlink" Id="rId56" Target="https://numpy.org/doc/stable/reference/generated/numpy.loadtxt.html" TargetMode="External" /><Relationship Type="http://schemas.openxmlformats.org/officeDocument/2006/relationships/hyperlink" Id="rId70" Target="https://stephaniemyan.github.io/" TargetMode="External" /><Relationship Type="http://schemas.openxmlformats.org/officeDocument/2006/relationships/hyperlink" Id="rId28"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75" Target="https://cs226sp22.github.io/" TargetMode="External" /><Relationship Type="http://schemas.openxmlformats.org/officeDocument/2006/relationships/hyperlink" Id="rId74" Target="https://engineering.jhu.edu/faculty/ali-madooei/" TargetMode="External" /><Relationship Type="http://schemas.openxmlformats.org/officeDocument/2006/relationships/hyperlink" Id="rId73" Target="https://jhudatascience.org/index.html" TargetMode="External" /><Relationship Type="http://schemas.openxmlformats.org/officeDocument/2006/relationships/hyperlink" Id="rId72" Target="https://jtleek.com/" TargetMode="External" /><Relationship Type="http://schemas.openxmlformats.org/officeDocument/2006/relationships/hyperlink" Id="rId71" Target="https://kweav.github.io/" TargetMode="External" /><Relationship Type="http://schemas.openxmlformats.org/officeDocument/2006/relationships/hyperlink" Id="rId69" Target="https://mccoy-lab.org/" TargetMode="External" /><Relationship Type="http://schemas.openxmlformats.org/officeDocument/2006/relationships/hyperlink" Id="rId56" Target="https://numpy.org/doc/stable/reference/generated/numpy.loadtxt.html" TargetMode="External" /><Relationship Type="http://schemas.openxmlformats.org/officeDocument/2006/relationships/hyperlink" Id="rId70" Target="https://stephaniemyan.github.io/" TargetMode="External" /><Relationship Type="http://schemas.openxmlformats.org/officeDocument/2006/relationships/hyperlink" Id="rId28"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2023-08-15T21:58:15Z</dcterms:created>
  <dcterms:modified xsi:type="dcterms:W3CDTF">2023-08-15T21:58:15Z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