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98"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3" w:name="pandas"/>
    <w:p>
      <w:pPr>
        <w:pStyle w:val="Heading2"/>
      </w:pPr>
      <w:r>
        <w:rPr>
          <w:rStyle w:val="SectionNumber"/>
        </w:rPr>
        <w:t xml:space="preserve">3.17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3"/>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3"/>
        </w:numPr>
        <w:pStyle w:val="Compact"/>
      </w:pPr>
      <w:r>
        <w:t xml:space="preserve">In the top row, we have the</w:t>
      </w:r>
      <w:r>
        <w:t xml:space="preserve"> </w:t>
      </w:r>
      <w:r>
        <w:rPr>
          <w:bCs/>
          <w:b/>
        </w:rPr>
        <w:t xml:space="preserve">column names</w:t>
      </w:r>
      <w:r>
        <w:t xml:space="preserve"> </w:t>
      </w:r>
      <w:r>
        <w:t xml:space="preserve">of our dataframe.</w:t>
      </w:r>
    </w:p>
    <w:p>
      <w:pPr>
        <w:pStyle w:val="FirstParagraph"/>
      </w:pPr>
      <w:r>
        <w:t xml:space="preserve">Also note that the</w:t>
      </w:r>
      <w:r>
        <w:t xml:space="preserve"> </w:t>
      </w:r>
      <w:r>
        <w:rPr>
          <w:rStyle w:val="VerbatimChar"/>
        </w:rPr>
        <w:t xml:space="preserve">Species</w:t>
      </w:r>
      <w:r>
        <w:t xml:space="preserve"> </w:t>
      </w:r>
      <w:r>
        <w:t xml:space="preserve">column consists of strings, while the other columns consist of numeric values. Datasets that mix data types like this are where</w:t>
      </w:r>
      <w:r>
        <w:t xml:space="preserve"> </w:t>
      </w:r>
      <w:r>
        <w:rPr>
          <w:rStyle w:val="VerbatimChar"/>
        </w:rPr>
        <w:t xml:space="preserve">pandas</w:t>
      </w:r>
      <w:r>
        <w:t xml:space="preserve"> </w:t>
      </w:r>
      <w:r>
        <w:t xml:space="preserve">is best used.</w:t>
      </w:r>
    </w:p>
    <w:bookmarkStart w:id="90" w:name="importing-data"/>
    <w:p>
      <w:pPr>
        <w:pStyle w:val="Heading3"/>
      </w:pPr>
      <w:r>
        <w:rPr>
          <w:rStyle w:val="SectionNumber"/>
        </w:rPr>
        <w:t xml:space="preserve">3.17.1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4"/>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4"/>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4"/>
        </w:numPr>
        <w:pStyle w:val="Compact"/>
      </w:pPr>
      <w:r>
        <w:rPr>
          <w:rStyle w:val="VerbatimChar"/>
        </w:rPr>
        <w:t xml:space="preserve">names</w:t>
      </w:r>
      <w:r>
        <w:t xml:space="preserve"> </w:t>
      </w:r>
      <w:r>
        <w:t xml:space="preserve">- this argument allows you to explicitly provide the names of your columns</w:t>
      </w:r>
    </w:p>
    <w:p>
      <w:pPr>
        <w:numPr>
          <w:ilvl w:val="0"/>
          <w:numId w:val="1034"/>
        </w:numPr>
        <w:pStyle w:val="Compact"/>
      </w:pPr>
      <w:r>
        <w:rPr>
          <w:rStyle w:val="VerbatimChar"/>
        </w:rPr>
        <w:t xml:space="preserve">index_col</w:t>
      </w:r>
      <w:r>
        <w:t xml:space="preserve"> </w:t>
      </w:r>
      <w:r>
        <w:t xml:space="preserve">- the column which provides the index</w:t>
      </w:r>
    </w:p>
    <w:p>
      <w:pPr>
        <w:numPr>
          <w:ilvl w:val="0"/>
          <w:numId w:val="1034"/>
        </w:numPr>
        <w:pStyle w:val="Compact"/>
      </w:pPr>
      <w:r>
        <w:rPr>
          <w:rStyle w:val="VerbatimChar"/>
        </w:rPr>
        <w:t xml:space="preserve">usecols</w:t>
      </w:r>
      <w:r>
        <w:t xml:space="preserve"> </w:t>
      </w:r>
      <w:r>
        <w:t xml:space="preserve">- if you only want to read in a subset of your data, this argument lets you specify which columns to use</w:t>
      </w:r>
    </w:p>
    <w:p>
      <w:pPr>
        <w:pStyle w:val="FirstParagraph"/>
      </w:pPr>
      <w:r>
        <w:t xml:space="preserve">The</w:t>
      </w:r>
      <w:r>
        <w:t xml:space="preserve"> </w:t>
      </w:r>
      <w:r>
        <w:rPr>
          <w:rStyle w:val="VerbatimChar"/>
        </w:rPr>
        <w:t xml:space="preserve">iris</w:t>
      </w:r>
      <w:r>
        <w:t xml:space="preserve"> </w:t>
      </w:r>
      <w:r>
        <w:t xml:space="preserve">dataset pictured above is nicely formatted for import with</w:t>
      </w:r>
      <w:r>
        <w:t xml:space="preserve"> </w:t>
      </w:r>
      <w:r>
        <w:rPr>
          <w:rStyle w:val="VerbatimChar"/>
        </w:rPr>
        <w:t xml:space="preserve">pandas</w:t>
      </w:r>
      <w:r>
        <w:t xml:space="preserve">; it can be read in with a simple comand of:</w:t>
      </w:r>
    </w:p>
    <w:p>
      <w:pPr>
        <w:pStyle w:val="SourceCode"/>
      </w:pPr>
      <w:r>
        <w:rPr>
          <w:rStyle w:val="NormalTok"/>
        </w:rPr>
        <w:t xml:space="preserve">iris </w:t>
      </w:r>
      <w:r>
        <w:rPr>
          <w:rStyle w:val="OperatorTok"/>
        </w:rPr>
        <w:t xml:space="preserve">=</w:t>
      </w:r>
      <w:r>
        <w:rPr>
          <w:rStyle w:val="NormalTok"/>
        </w:rPr>
        <w:t xml:space="preserve"> pd.read_csv(</w:t>
      </w:r>
      <w:r>
        <w:rPr>
          <w:rStyle w:val="StringTok"/>
        </w:rPr>
        <w:t xml:space="preserve">'iris.csv'</w:t>
      </w:r>
      <w:r>
        <w:rPr>
          <w:rStyle w:val="NormalTok"/>
        </w:rPr>
        <w:t xml:space="preserve">)</w:t>
      </w:r>
    </w:p>
    <w:bookmarkEnd w:id="90"/>
    <w:bookmarkStart w:id="91" w:name="subsetting-data"/>
    <w:p>
      <w:pPr>
        <w:pStyle w:val="Heading3"/>
      </w:pPr>
      <w:r>
        <w:rPr>
          <w:rStyle w:val="SectionNumber"/>
        </w:rPr>
        <w:t xml:space="preserve">3.17.2</w:t>
      </w:r>
      <w:r>
        <w:tab/>
      </w:r>
      <w:r>
        <w:t xml:space="preserve">Subsetting Data</w:t>
      </w:r>
    </w:p>
    <w:p>
      <w:pPr>
        <w:pStyle w:val="FirstParagraph"/>
      </w:pPr>
      <w:r>
        <w:t xml:space="preserve">To subset</w:t>
      </w:r>
      <w:r>
        <w:t xml:space="preserve"> </w:t>
      </w:r>
      <w:r>
        <w:rPr>
          <w:rStyle w:val="VerbatimChar"/>
        </w:rPr>
        <w:t xml:space="preserve">pandas</w:t>
      </w:r>
      <w:r>
        <w:t xml:space="preserve"> </w:t>
      </w:r>
      <w:r>
        <w:t xml:space="preserve">DataFrames, we use the syntax:</w:t>
      </w:r>
      <w:r>
        <w:t xml:space="preserve"> </w:t>
      </w:r>
      <w:r>
        <w:rPr>
          <w:rStyle w:val="VerbatimChar"/>
        </w:rPr>
        <w:t xml:space="preserve">&lt;DataFrameName&gt;.loc[&lt;rows&gt;, &lt;columns&gt;]</w:t>
      </w:r>
    </w:p>
    <w:p>
      <w:pPr>
        <w:pStyle w:val="BodyText"/>
      </w:pPr>
      <w:r>
        <w:t xml:space="preserve">For example, if we want to find the petal width of the plant in the fifth row, we use the following notation:</w:t>
      </w:r>
    </w:p>
    <w:p>
      <w:pPr>
        <w:pStyle w:val="SourceCode"/>
      </w:pPr>
      <w:r>
        <w:rPr>
          <w:rStyle w:val="NormalTok"/>
        </w:rPr>
        <w:t xml:space="preserve">iris.loc[</w:t>
      </w:r>
      <w:r>
        <w:rPr>
          <w:rStyle w:val="DecValTok"/>
        </w:rPr>
        <w:t xml:space="preserve">4</w:t>
      </w:r>
      <w:r>
        <w:rPr>
          <w:rStyle w:val="NormalTok"/>
        </w:rPr>
        <w:t xml:space="preserve">, </w:t>
      </w:r>
      <w:r>
        <w:rPr>
          <w:rStyle w:val="StringTok"/>
        </w:rPr>
        <w:t xml:space="preserve">'Petal.Width'</w:t>
      </w:r>
      <w:r>
        <w:rPr>
          <w:rStyle w:val="NormalTok"/>
        </w:rPr>
        <w:t xml:space="preserve">]</w:t>
      </w:r>
    </w:p>
    <w:p>
      <w:pPr>
        <w:pStyle w:val="FirstParagraph"/>
      </w:pPr>
    </w:p>
    <w:p>
      <w:pPr>
        <w:pStyle w:val="BodyText"/>
      </w:pPr>
      <w:r>
        <w:t xml:space="preserve">As with lists, we can use a colon to indicate a range of values that we want to subset:</w:t>
      </w:r>
    </w:p>
    <w:p>
      <w:pPr>
        <w:pStyle w:val="SourceCode"/>
      </w:pPr>
      <w:r>
        <w:rPr>
          <w:rStyle w:val="NormalTok"/>
        </w:rPr>
        <w:t xml:space="preserve">iris.loc[</w:t>
      </w:r>
      <w:r>
        <w:rPr>
          <w:rStyle w:val="DecValTok"/>
        </w:rPr>
        <w:t xml:space="preserve">18</w:t>
      </w:r>
      <w:r>
        <w:rPr>
          <w:rStyle w:val="NormalTok"/>
        </w:rPr>
        <w:t xml:space="preserve">:</w:t>
      </w:r>
      <w:r>
        <w:rPr>
          <w:rStyle w:val="DecValTok"/>
        </w:rPr>
        <w:t xml:space="preserve">22</w:t>
      </w:r>
      <w:r>
        <w:rPr>
          <w:rStyle w:val="NormalTok"/>
        </w:rPr>
        <w:t xml:space="preserve">, </w:t>
      </w:r>
      <w:r>
        <w:rPr>
          <w:rStyle w:val="StringTok"/>
        </w:rPr>
        <w:t xml:space="preserve">'Sepal.Width'</w:t>
      </w:r>
      <w:r>
        <w:rPr>
          <w:rStyle w:val="NormalTok"/>
        </w:rPr>
        <w:t xml:space="preserve">]</w:t>
      </w:r>
    </w:p>
    <w:p>
      <w:pPr>
        <w:pStyle w:val="FirstParagraph"/>
      </w:pPr>
    </w:p>
    <w:p>
      <w:pPr>
        <w:pStyle w:val="BodyText"/>
      </w:pPr>
      <w:r>
        <w:t xml:space="preserve">Also as with lists, leaving one side of the colon blank indicates that we want to index to the start/end of the data structure. Therefore, the following notation extracts an entire column:</w:t>
      </w:r>
    </w:p>
    <w:p>
      <w:pPr>
        <w:pStyle w:val="SourceCode"/>
      </w:pPr>
      <w:r>
        <w:rPr>
          <w:rStyle w:val="NormalTok"/>
        </w:rPr>
        <w:t xml:space="preserve">iris.loc[:, </w:t>
      </w:r>
      <w:r>
        <w:rPr>
          <w:rStyle w:val="StringTok"/>
        </w:rPr>
        <w:t xml:space="preserve">'Species'</w:t>
      </w:r>
      <w:r>
        <w:rPr>
          <w:rStyle w:val="NormalTok"/>
        </w:rPr>
        <w:t xml:space="preserve">]</w:t>
      </w:r>
    </w:p>
    <w:p>
      <w:pPr>
        <w:pStyle w:val="FirstParagraph"/>
      </w:pPr>
    </w:p>
    <w:bookmarkEnd w:id="91"/>
    <w:bookmarkStart w:id="92" w:name="boolean-indexing"/>
    <w:p>
      <w:pPr>
        <w:pStyle w:val="Heading3"/>
      </w:pPr>
      <w:r>
        <w:rPr>
          <w:rStyle w:val="SectionNumber"/>
        </w:rPr>
        <w:t xml:space="preserve">3.17.3</w:t>
      </w:r>
      <w:r>
        <w:tab/>
      </w:r>
      <w:r>
        <w:t xml:space="preserve">Boolean Indexing</w:t>
      </w:r>
    </w:p>
    <w:bookmarkEnd w:id="92"/>
    <w:bookmarkEnd w:id="93"/>
    <w:bookmarkStart w:id="97" w:name="dictionaries"/>
    <w:p>
      <w:pPr>
        <w:pStyle w:val="Heading2"/>
      </w:pPr>
      <w:r>
        <w:rPr>
          <w:rStyle w:val="SectionNumber"/>
        </w:rPr>
        <w:t xml:space="preserve">3.18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4" w:name="looking-up-values"/>
    <w:p>
      <w:pPr>
        <w:pStyle w:val="Heading3"/>
      </w:pPr>
      <w:r>
        <w:rPr>
          <w:rStyle w:val="SectionNumber"/>
        </w:rPr>
        <w:t xml:space="preserve">3.18.1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4"/>
    <w:bookmarkStart w:id="95" w:name="adding-to-a-dictionary"/>
    <w:p>
      <w:pPr>
        <w:pStyle w:val="Heading3"/>
      </w:pPr>
      <w:r>
        <w:rPr>
          <w:rStyle w:val="SectionNumber"/>
        </w:rPr>
        <w:t xml:space="preserve">3.18.2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5"/>
    <w:bookmarkStart w:id="96" w:name="looping-through-dictionaries"/>
    <w:p>
      <w:pPr>
        <w:pStyle w:val="Heading3"/>
      </w:pPr>
      <w:r>
        <w:rPr>
          <w:rStyle w:val="SectionNumber"/>
        </w:rPr>
        <w:t xml:space="preserve">3.18.3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96"/>
    <w:bookmarkEnd w:id="97"/>
    <w:bookmarkEnd w:id="98"/>
    <w:bookmarkStart w:id="110" w:name="git"/>
    <w:p>
      <w:pPr>
        <w:pStyle w:val="Heading1"/>
      </w:pPr>
      <w:r>
        <w:rPr>
          <w:rStyle w:val="SectionNumber"/>
        </w:rPr>
        <w:t xml:space="preserve">4</w:t>
      </w:r>
      <w:r>
        <w:tab/>
      </w:r>
      <w:r>
        <w:t xml:space="preserve">Git</w:t>
      </w:r>
    </w:p>
    <w:bookmarkStart w:id="99"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99"/>
    <w:bookmarkStart w:id="100"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100"/>
    <w:bookmarkStart w:id="102"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101">
        <w:r>
          <w:rPr>
            <w:rStyle w:val="Hyperlink"/>
          </w:rPr>
          <w:t xml:space="preserve">here</w:t>
        </w:r>
      </w:hyperlink>
      <w:r>
        <w:t xml:space="preserve">.</w:t>
      </w:r>
    </w:p>
    <w:bookmarkEnd w:id="102"/>
    <w:bookmarkStart w:id="107"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3"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3"/>
    <w:bookmarkStart w:id="104"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4"/>
    <w:bookmarkStart w:id="106"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5"/>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5"/>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5">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5"/>
        </w:numPr>
      </w:pPr>
      <w:r>
        <w:rPr>
          <w:rStyle w:val="VerbatimChar"/>
        </w:rPr>
        <w:t xml:space="preserve">git push</w:t>
      </w:r>
      <w:r>
        <w:t xml:space="preserve"> </w:t>
      </w:r>
      <w:r>
        <w:t xml:space="preserve">This action uploads your commits to GitHub. You can observe the updated files on the GitHub repository page.</w:t>
      </w:r>
    </w:p>
    <w:bookmarkEnd w:id="106"/>
    <w:bookmarkEnd w:id="107"/>
    <w:bookmarkStart w:id="109"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08">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09"/>
    <w:bookmarkEnd w:id="110"/>
    <w:bookmarkStart w:id="118"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11">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2">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3">
              <w:r>
                <w:rPr>
                  <w:rStyle w:val="Hyperlink"/>
                </w:rPr>
                <w:t xml:space="preserve">Jeff Leek</w:t>
              </w:r>
            </w:hyperlink>
            <w:r>
              <w:t xml:space="preserve"> </w:t>
            </w:r>
            <w:r>
              <w:t xml:space="preserve">&amp;</w:t>
            </w:r>
            <w:r>
              <w:t xml:space="preserve"> </w:t>
            </w:r>
            <w:hyperlink r:id="rId114">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5">
              <w:r>
                <w:rPr>
                  <w:rStyle w:val="Hyperlink"/>
                </w:rPr>
                <w:t xml:space="preserve">Stephanie Yan</w:t>
              </w:r>
            </w:hyperlink>
            <w:r>
              <w:t xml:space="preserve"> </w:t>
            </w:r>
            <w:r>
              <w:t xml:space="preserve">&amp;</w:t>
            </w:r>
            <w:r>
              <w:t xml:space="preserve"> </w:t>
            </w:r>
            <w:hyperlink r:id="rId116">
              <w:r>
                <w:rPr>
                  <w:rStyle w:val="Hyperlink"/>
                </w:rPr>
                <w:t xml:space="preserve">Ali Madooei</w:t>
              </w:r>
            </w:hyperlink>
            <w:r>
              <w:t xml:space="preserve"> </w:t>
            </w:r>
            <w:r>
              <w:t xml:space="preserve">&amp;</w:t>
            </w:r>
            <w:r>
              <w:t xml:space="preserve"> </w:t>
            </w:r>
            <w:hyperlink r:id="rId117">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s://andrew-bortvin.github.io/" TargetMode="External" /><Relationship Type="http://schemas.openxmlformats.org/officeDocument/2006/relationships/hyperlink" Id="rId117" Target="https://cs226sp22.github.io/" TargetMode="External" /><Relationship Type="http://schemas.openxmlformats.org/officeDocument/2006/relationships/hyperlink" Id="rId105"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8" Target="https://docs.github.com/en/get-started/quickstart/hello-world" TargetMode="External" /><Relationship Type="http://schemas.openxmlformats.org/officeDocument/2006/relationships/hyperlink" Id="rId116" Target="https://engineering.jhu.edu/faculty/ali-madooei/" TargetMode="External" /><Relationship Type="http://schemas.openxmlformats.org/officeDocument/2006/relationships/hyperlink" Id="rId114" Target="https://jhudatascience.org/index.html" TargetMode="External" /><Relationship Type="http://schemas.openxmlformats.org/officeDocument/2006/relationships/hyperlink" Id="rId113"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2" Target="https://scarioscia.github.io/" TargetMode="External" /><Relationship Type="http://schemas.openxmlformats.org/officeDocument/2006/relationships/hyperlink" Id="rId115"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1"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11" Target="https://andrew-bortvin.github.io/" TargetMode="External" /><Relationship Type="http://schemas.openxmlformats.org/officeDocument/2006/relationships/hyperlink" Id="rId117" Target="https://cs226sp22.github.io/" TargetMode="External" /><Relationship Type="http://schemas.openxmlformats.org/officeDocument/2006/relationships/hyperlink" Id="rId105"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8" Target="https://docs.github.com/en/get-started/quickstart/hello-world" TargetMode="External" /><Relationship Type="http://schemas.openxmlformats.org/officeDocument/2006/relationships/hyperlink" Id="rId116" Target="https://engineering.jhu.edu/faculty/ali-madooei/" TargetMode="External" /><Relationship Type="http://schemas.openxmlformats.org/officeDocument/2006/relationships/hyperlink" Id="rId114" Target="https://jhudatascience.org/index.html" TargetMode="External" /><Relationship Type="http://schemas.openxmlformats.org/officeDocument/2006/relationships/hyperlink" Id="rId113"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2" Target="https://scarioscia.github.io/" TargetMode="External" /><Relationship Type="http://schemas.openxmlformats.org/officeDocument/2006/relationships/hyperlink" Id="rId115"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1"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2023-09-15T04:53:07Z</dcterms:created>
  <dcterms:modified xsi:type="dcterms:W3CDTF">2023-09-15T04:53:07Z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