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47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33" w:name="data-types-variables-math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Data Types, Variables, Math</w:t>
      </w:r>
    </w:p>
    <w:bookmarkStart w:id="27" w:name="types-of-dat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Types of Data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Integers are whole numbers, without a decimal point. For example:</w:t>
      </w:r>
    </w:p>
    <w:p>
      <w:pPr>
        <w:numPr>
          <w:ilvl w:val="0"/>
          <w:numId w:val="1001"/>
        </w:numPr>
        <w:pStyle w:val="Compact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-3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Floats are numbers with a decimal point. For example:</w:t>
      </w:r>
    </w:p>
    <w:p>
      <w:pPr>
        <w:numPr>
          <w:ilvl w:val="0"/>
          <w:numId w:val="1002"/>
        </w:numPr>
        <w:pStyle w:val="Compact"/>
      </w:pPr>
      <w:r>
        <w:t xml:space="preserve">1.2</w:t>
      </w:r>
    </w:p>
    <w:p>
      <w:pPr>
        <w:numPr>
          <w:ilvl w:val="0"/>
          <w:numId w:val="1002"/>
        </w:numPr>
        <w:pStyle w:val="Compact"/>
      </w:pPr>
      <w:r>
        <w:t xml:space="preserve">-3.0</w:t>
      </w:r>
    </w:p>
    <w:p>
      <w:pPr>
        <w:numPr>
          <w:ilvl w:val="0"/>
          <w:numId w:val="1002"/>
        </w:numPr>
        <w:pStyle w:val="Compact"/>
      </w:pPr>
      <w:r>
        <w:t xml:space="preserve">26/3 (This one doesn’t actually have a decimal point written in by me, but is a float because the expression evaluates to 8.666)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Strings are character data enclosed by single ’ or double ” 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My Grandpa’s deck has no pathetic cards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85.3</w:t>
      </w:r>
      <w:r>
        <w:t xml:space="preserve">’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"85.3"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A Boolean has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be expressed interchangeably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, respectively.</w:t>
      </w:r>
    </w:p>
    <w:bookmarkEnd w:id="27"/>
    <w:bookmarkStart w:id="29" w:name="variable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Variables</w:t>
      </w:r>
    </w:p>
    <w:p>
      <w:pPr>
        <w:pStyle w:val="FirstParagraph"/>
      </w:pPr>
      <w:r>
        <w:t xml:space="preserve">A variable is assigned using the equals sign, with this general syntax:</w:t>
      </w:r>
    </w:p>
    <w:p>
      <w:pPr>
        <w:pStyle w:val="BodyText"/>
      </w:pPr>
      <w:r>
        <w:rPr>
          <w:rStyle w:val="VerbatimChar"/>
        </w:rPr>
        <w:t xml:space="preserve">variable_name = value</w:t>
      </w:r>
      <w:r>
        <w:t xml:space="preserve">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composer = "buxtehude"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year = 1637</w:t>
      </w:r>
    </w:p>
    <w:p>
      <w:pPr>
        <w:pStyle w:val="FirstParagraph"/>
      </w:pPr>
      <w:r>
        <w:t xml:space="preserve">The data name can be almost anything. Here are the rules to consider when naming a variable:</w:t>
      </w:r>
    </w:p>
    <w:p>
      <w:pPr>
        <w:numPr>
          <w:ilvl w:val="0"/>
          <w:numId w:val="1005"/>
        </w:numPr>
        <w:pStyle w:val="Compact"/>
      </w:pPr>
      <w:r>
        <w:t xml:space="preserve">A variable name must start with a letter or underscore</w:t>
      </w:r>
    </w:p>
    <w:p>
      <w:pPr>
        <w:numPr>
          <w:ilvl w:val="0"/>
          <w:numId w:val="1005"/>
        </w:numPr>
        <w:pStyle w:val="Compact"/>
      </w:pPr>
      <w:r>
        <w:t xml:space="preserve">A variable name can only consist of letters, numbers, or underscores</w:t>
      </w:r>
    </w:p>
    <w:p>
      <w:pPr>
        <w:numPr>
          <w:ilvl w:val="0"/>
          <w:numId w:val="1005"/>
        </w:numPr>
        <w:pStyle w:val="Compact"/>
      </w:pPr>
      <w:r>
        <w:t xml:space="preserve">Variables are case sensitive (i.e. Python would interpret my_number, MY_NUMBER, and My_Number as different variables)</w:t>
      </w:r>
    </w:p>
    <w:p>
      <w:pPr>
        <w:numPr>
          <w:ilvl w:val="0"/>
          <w:numId w:val="1005"/>
        </w:numPr>
        <w:pStyle w:val="Compact"/>
      </w:pPr>
      <w:r>
        <w:t xml:space="preserve">Python has a set of</w:t>
      </w:r>
      <w:r>
        <w:t xml:space="preserve"> </w:t>
      </w:r>
      <w:r>
        <w:t xml:space="preserve">“</w:t>
      </w:r>
      <w:r>
        <w:t xml:space="preserve">reserved words</w:t>
      </w:r>
      <w:r>
        <w:t xml:space="preserve">”</w:t>
      </w:r>
      <w:r>
        <w:t xml:space="preserve"> </w:t>
      </w:r>
      <w:r>
        <w:t xml:space="preserve">that cannot be used as variable names. These are words that already have a set meaning in Python, such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. A full list can be found here:</w:t>
      </w:r>
      <w:r>
        <w:t xml:space="preserve"> </w:t>
      </w:r>
      <w:hyperlink r:id="rId28">
        <w:r>
          <w:rPr>
            <w:rStyle w:val="Hyperlink"/>
          </w:rPr>
          <w:t xml:space="preserve">https://www.programiz.com/python-programming/keywords-identifier</w:t>
        </w:r>
      </w:hyperlink>
    </w:p>
    <w:bookmarkEnd w:id="29"/>
    <w:bookmarkStart w:id="30" w:name="mathematical-operation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Mathematical Operations</w:t>
      </w:r>
    </w:p>
    <w:p>
      <w:pPr>
        <w:pStyle w:val="FirstParagraph"/>
      </w:pPr>
      <w:r>
        <w:t xml:space="preserve">A lot of mathematical operations in Python are straightforward. Here are some of the basic operations we can perform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– addition and subtraction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– multiplication and division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**</w:t>
      </w:r>
      <w:r>
        <w:t xml:space="preserve"> </w:t>
      </w:r>
      <w:r>
        <w:t xml:space="preserve">– Exponentials</w:t>
      </w:r>
    </w:p>
    <w:p>
      <w:pPr>
        <w:pStyle w:val="FirstParagraph"/>
      </w:pPr>
      <w:r>
        <w:t xml:space="preserve">We can perform mathematical operations on values directly: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</w:t>
      </w:r>
    </w:p>
    <w:p>
      <w:pPr>
        <w:pStyle w:val="FirstParagraph"/>
      </w:pPr>
      <w:r>
        <w:t xml:space="preserve">or we can operate on variables:</w:t>
      </w:r>
    </w:p>
    <w:p>
      <w:pPr>
        <w:pStyle w:val="SourceCode"/>
      </w:pPr>
      <w:r>
        <w:rPr>
          <w:rStyle w:val="NormalTok"/>
        </w:rPr>
        <w:t xml:space="preserve">myValue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(myValue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</w:t>
      </w:r>
    </w:p>
    <w:p>
      <w:pPr>
        <w:pStyle w:val="FirstParagraph"/>
      </w:pPr>
      <w:r>
        <w:t xml:space="preserve">Mathematical conversions will automatically convert integers to floats when appropriate: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5.2</w:t>
      </w:r>
    </w:p>
    <w:p>
      <w:pPr>
        <w:pStyle w:val="FirstParagraph"/>
      </w:pPr>
      <w:r>
        <w:t xml:space="preserve">We can save the output of an expression as a variable:</w:t>
      </w:r>
    </w:p>
    <w:p>
      <w:pPr>
        <w:pStyle w:val="SourceCode"/>
      </w:pPr>
      <w:r>
        <w:rPr>
          <w:rStyle w:val="NormalTok"/>
        </w:rPr>
        <w:t xml:space="preserve">my_product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(my_product)</w:t>
      </w:r>
    </w:p>
    <w:p>
      <w:pPr>
        <w:pStyle w:val="SourceCode"/>
      </w:pPr>
      <w:r>
        <w:rPr>
          <w:rStyle w:val="VerbatimChar"/>
        </w:rPr>
        <w:t xml:space="preserve">## 20</w:t>
      </w:r>
    </w:p>
    <w:p>
      <w:pPr>
        <w:pStyle w:val="FirstParagraph"/>
      </w:pPr>
      <w:r>
        <w:t xml:space="preserve">And likewise we can perform mathematical operations on variables, provided these variables store numeric data:</w:t>
      </w:r>
    </w:p>
    <w:p>
      <w:pPr>
        <w:pStyle w:val="SourceCode"/>
      </w:pPr>
      <w:r>
        <w:rPr>
          <w:rStyle w:val="NormalTok"/>
        </w:rPr>
        <w:t xml:space="preserve">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3.5</w:t>
      </w:r>
    </w:p>
    <w:bookmarkEnd w:id="30"/>
    <w:bookmarkStart w:id="31" w:name="order-of-operation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Order of operations</w:t>
      </w:r>
    </w:p>
    <w:p>
      <w:pPr>
        <w:pStyle w:val="FirstParagraph"/>
      </w:pPr>
      <w:r>
        <w:t xml:space="preserve">Python follows the usual mathematical order of operations. And like usual in math, we can use parenthesis () to enforce a specific order.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8</w:t>
      </w:r>
    </w:p>
    <w:bookmarkEnd w:id="31"/>
    <w:bookmarkStart w:id="32" w:name="comparison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Comparisons</w:t>
      </w:r>
    </w:p>
    <w:p>
      <w:pPr>
        <w:pStyle w:val="FirstParagraph"/>
      </w:pPr>
      <w:r>
        <w:t xml:space="preserve">In Python, comparisons will always return a Boolean, i.e. either True or False. We can use the following syntax to compare values: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compare greater than/less than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 </w:t>
      </w:r>
      <w:r>
        <w:t xml:space="preserve">for greater than or equal to/less than or equal to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==</w:t>
      </w:r>
      <w:r>
        <w:t xml:space="preserve"> </w:t>
      </w:r>
      <w:r>
        <w:t xml:space="preserve">checks if two values are equal.</w:t>
      </w:r>
      <w:r>
        <w:t xml:space="preserve"> </w:t>
      </w:r>
      <w:r>
        <w:rPr>
          <w:rStyle w:val="VerbatimChar"/>
        </w:rPr>
        <w:t xml:space="preserve">!=</w:t>
      </w:r>
      <w:r>
        <w:t xml:space="preserve"> </w:t>
      </w:r>
      <w:r>
        <w:t xml:space="preserve">checks that two values are different.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False</w:t>
      </w:r>
    </w:p>
    <w:p>
      <w:pPr>
        <w:pStyle w:val="FirstParagraph"/>
      </w:pPr>
      <w:r>
        <w:t xml:space="preserve">Note that a single equals sign = is used to assign values. So</w:t>
      </w:r>
      <w:r>
        <w:t xml:space="preserve"> </w:t>
      </w:r>
      <w:r>
        <w:rPr>
          <w:rStyle w:val="VerbatimChar"/>
        </w:rPr>
        <w:t xml:space="preserve">var1 = 3</w:t>
      </w:r>
      <w:r>
        <w:t xml:space="preserve"> </w:t>
      </w:r>
      <w:r>
        <w:t xml:space="preserve">is setting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equal to</w:t>
      </w:r>
      <w:r>
        <w:t xml:space="preserve"> </w:t>
      </w:r>
      <w:r>
        <w:rPr>
          <w:rStyle w:val="VerbatimChar"/>
        </w:rPr>
        <w:t xml:space="preserve">3</w:t>
      </w:r>
      <w:r>
        <w:t xml:space="preserve">. However, a double equals sign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is used to compare values.</w:t>
      </w:r>
      <w:r>
        <w:t xml:space="preserve"> </w:t>
      </w:r>
      <w:r>
        <w:rPr>
          <w:rStyle w:val="VerbatimChar"/>
        </w:rPr>
        <w:t xml:space="preserve">var1 == 3</w:t>
      </w:r>
      <w:r>
        <w:t xml:space="preserve"> </w:t>
      </w:r>
      <w:r>
        <w:t xml:space="preserve">is checking if the value of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bookmarkEnd w:id="32"/>
    <w:bookmarkEnd w:id="33"/>
    <w:bookmarkStart w:id="36" w:name="built-in-functions-and-method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Built-In Functions and Methods</w:t>
      </w:r>
    </w:p>
    <w:bookmarkStart w:id="34" w:name="function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Functions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is a block of code that performs a task. Python comes with a substantial set of pre-written functions.</w:t>
      </w:r>
    </w:p>
    <w:p>
      <w:pPr>
        <w:pStyle w:val="BodyText"/>
      </w:pPr>
      <w:r>
        <w:rPr>
          <w:iCs/>
          <w:i/>
          <w:bCs/>
          <w:b/>
        </w:rPr>
        <w:t xml:space="preserve">Text on how a function is formulated - name, parentheses, optionally arguments</w:t>
      </w:r>
    </w:p>
    <w:p>
      <w:pPr>
        <w:pStyle w:val="BodyText"/>
      </w:pPr>
      <w:r>
        <w:rPr>
          <w:iCs/>
          <w:i/>
          <w:bCs/>
          <w:b/>
        </w:rPr>
        <w:t xml:space="preserve">Is it worth talking about named arguments or positional arguments. Be introspective about this</w:t>
      </w:r>
    </w:p>
    <w:p>
      <w:pPr>
        <w:pStyle w:val="BodyText"/>
      </w:pPr>
      <w:r>
        <w:t xml:space="preserve">For example,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displays</w:t>
      </w:r>
      <w:r>
        <w:t xml:space="preserve"> </w:t>
      </w:r>
      <w:r>
        <w:rPr>
          <w:iCs/>
          <w:i/>
          <w:bCs/>
          <w:b/>
        </w:rPr>
        <w:t xml:space="preserve">FINISH ME</w:t>
      </w:r>
    </w:p>
    <w:p>
      <w:pPr>
        <w:pStyle w:val="BodyText"/>
      </w:pPr>
      <w:r>
        <w:rPr>
          <w:iCs/>
          <w:i/>
          <w:bCs/>
          <w:b/>
        </w:rPr>
        <w:t xml:space="preserve">OTHER Built-In FUNCTIONS</w:t>
      </w:r>
      <w:r>
        <w:t xml:space="preserve">’</w:t>
      </w:r>
    </w:p>
    <w:bookmarkEnd w:id="34"/>
    <w:bookmarkStart w:id="35" w:name="methods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Methods</w:t>
      </w:r>
    </w:p>
    <w:p>
      <w:pPr>
        <w:pStyle w:val="FirstParagraph"/>
      </w:pPr>
      <w:r>
        <w:t xml:space="preserve">Every data type that we use in Python (that is, strings, integers, etc.) is associated with a set of functions unique to the data type. These functions are called</w:t>
      </w:r>
      <w:r>
        <w:t xml:space="preserve"> </w:t>
      </w:r>
      <w:r>
        <w:rPr>
          <w:bCs/>
          <w:b/>
        </w:rPr>
        <w:t xml:space="preserve">methods</w:t>
      </w:r>
      <w:r>
        <w:t xml:space="preserve">. The syntax for using a method is as follows:</w:t>
      </w:r>
      <w:r>
        <w:t xml:space="preserve"> </w:t>
      </w:r>
      <w:r>
        <w:rPr>
          <w:rStyle w:val="VerbatimChar"/>
        </w:rPr>
        <w:t xml:space="preserve">&lt;objectName&gt;.&lt;methodName&gt;()</w:t>
      </w:r>
      <w:r>
        <w:t xml:space="preserve">. For example, the method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belongs to strings and is used to convert a string into capital letters. We can use it with any string either directly on the string itself:</w:t>
      </w:r>
    </w:p>
    <w:p>
      <w:pPr>
        <w:pStyle w:val="SourceCode"/>
      </w:pPr>
      <w:r>
        <w:rPr>
          <w:rStyle w:val="CommentTok"/>
        </w:rPr>
        <w:t xml:space="preserve">"Quod est superius est sicut quod inferius"</w:t>
      </w:r>
      <w:r>
        <w:rPr>
          <w:rStyle w:val="NormalTok"/>
        </w:rPr>
        <w:t xml:space="preserve">.upper()</w:t>
      </w:r>
    </w:p>
    <w:p>
      <w:pPr>
        <w:pStyle w:val="SourceCode"/>
      </w:pPr>
      <w:r>
        <w:rPr>
          <w:rStyle w:val="VerbatimChar"/>
        </w:rPr>
        <w:t xml:space="preserve">## 'QUOD EST SUPERIUS EST SICUT QUOD INFERIUS'</w:t>
      </w:r>
    </w:p>
    <w:p>
      <w:pPr>
        <w:pStyle w:val="FirstParagraph"/>
      </w:pPr>
      <w:r>
        <w:t xml:space="preserve">or by operating on a variable: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SourceCode"/>
      </w:pPr>
      <w:r>
        <w:rPr>
          <w:rStyle w:val="VerbatimChar"/>
        </w:rPr>
        <w:t xml:space="preserve">## 'PEPPA'</w:t>
      </w:r>
    </w:p>
    <w:p>
      <w:pPr>
        <w:pStyle w:val="FirstParagraph"/>
      </w:pPr>
      <w:r>
        <w:t xml:space="preserve">Using a method may or not modify the underlying object. For example, the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method shows you the uppercase version of a string but does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modify the actual variable that you are operating on. Observe the following code block: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When we use the upper method on</w:t>
      </w:r>
      <w:r>
        <w:t xml:space="preserve"> </w:t>
      </w:r>
      <w:r>
        <w:rPr>
          <w:rStyle w:val="VerbatimChar"/>
        </w:rPr>
        <w:t xml:space="preserve">pig</w:t>
      </w:r>
      <w:r>
        <w:t xml:space="preserve">, we do not actually make a change to</w:t>
      </w:r>
      <w:r>
        <w:t xml:space="preserve"> </w:t>
      </w:r>
      <w:r>
        <w:rPr>
          <w:rStyle w:val="VerbatimChar"/>
        </w:rPr>
        <w:t xml:space="preserve">pig</w:t>
      </w:r>
      <w:r>
        <w:t xml:space="preserve"> </w:t>
      </w:r>
      <w:r>
        <w:t xml:space="preserve">itself. To save the uppercase version of</w:t>
      </w:r>
      <w:r>
        <w:t xml:space="preserve"> </w:t>
      </w:r>
      <w:r>
        <w:rPr>
          <w:rStyle w:val="VerbatimChar"/>
        </w:rPr>
        <w:t xml:space="preserve">pig</w:t>
      </w:r>
      <w:r>
        <w:t xml:space="preserve">, we need to use variable assignment, for example as such: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pig.upper()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Some methods operate differently. For example, the list</w:t>
      </w:r>
      <w:r>
        <w:t xml:space="preserve"> </w:t>
      </w:r>
      <w:r>
        <w:rPr>
          <w:rStyle w:val="VerbatimChar"/>
        </w:rPr>
        <w:t xml:space="preserve">.append()</w:t>
      </w:r>
      <w:r>
        <w:t xml:space="preserve"> </w:t>
      </w:r>
      <w:r>
        <w:t xml:space="preserve">method which we will learn about</w:t>
      </w:r>
      <w:r>
        <w:t xml:space="preserve"> </w:t>
      </w:r>
      <w:r>
        <w:rPr>
          <w:iCs/>
          <w:i/>
        </w:rPr>
        <w:t xml:space="preserve">does</w:t>
      </w:r>
      <w:r>
        <w:t xml:space="preserve"> </w:t>
      </w:r>
      <w:r>
        <w:t xml:space="preserve">modify the underlying variable, so in the following code block:</w:t>
      </w:r>
    </w:p>
    <w:p>
      <w:pPr>
        <w:pStyle w:val="SourceCode"/>
      </w:pPr>
      <w:r>
        <w:rPr>
          <w:rStyle w:val="NormalTok"/>
        </w:rPr>
        <w:t xml:space="preserve">myList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myList.append(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line</w:t>
      </w:r>
      <w:r>
        <w:t xml:space="preserve"> </w:t>
      </w:r>
      <w:r>
        <w:rPr>
          <w:rStyle w:val="VerbatimChar"/>
        </w:rPr>
        <w:t xml:space="preserve">myList.append('apple')</w:t>
      </w:r>
      <w:r>
        <w:t xml:space="preserve"> </w:t>
      </w:r>
      <w:r>
        <w:t xml:space="preserve">does actually modify</w:t>
      </w:r>
      <w:r>
        <w:t xml:space="preserve"> </w:t>
      </w:r>
      <w:r>
        <w:rPr>
          <w:rStyle w:val="VerbatimChar"/>
        </w:rPr>
        <w:t xml:space="preserve">myList</w:t>
      </w:r>
      <w:r>
        <w:t xml:space="preserve">, so there’s no need to type something like</w:t>
      </w:r>
      <w:r>
        <w:t xml:space="preserve"> </w:t>
      </w:r>
      <w:r>
        <w:rPr>
          <w:rStyle w:val="VerbatimChar"/>
        </w:rPr>
        <w:t xml:space="preserve">myList = myList.append('apple')</w:t>
      </w:r>
      <w:r>
        <w:t xml:space="preserve"> </w:t>
      </w:r>
      <w:r>
        <w:t xml:space="preserve">(this would in fact be an error). This is something you’ll have to keep track of on a case-by-case basis as you learn new methods.</w:t>
      </w:r>
    </w:p>
    <w:bookmarkEnd w:id="35"/>
    <w:bookmarkEnd w:id="36"/>
    <w:bookmarkStart w:id="41" w:name="string-method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String Methods</w:t>
      </w:r>
    </w:p>
    <w:bookmarkStart w:id="37" w:name="upper-and-.lower"/>
    <w:p>
      <w:pPr>
        <w:pStyle w:val="Heading4"/>
      </w:pPr>
      <w:r>
        <w:rPr>
          <w:rStyle w:val="SectionNumber"/>
        </w:rPr>
        <w:t xml:space="preserve">3.3.0.1</w:t>
      </w:r>
      <w:r>
        <w:tab/>
      </w:r>
      <w:r>
        <w:t xml:space="preserve">.upper() and .lower()</w:t>
      </w:r>
    </w:p>
    <w:bookmarkEnd w:id="37"/>
    <w:bookmarkStart w:id="38" w:name="split"/>
    <w:p>
      <w:pPr>
        <w:pStyle w:val="Heading4"/>
      </w:pPr>
      <w:r>
        <w:rPr>
          <w:rStyle w:val="SectionNumber"/>
        </w:rPr>
        <w:t xml:space="preserve">3.3.0.2</w:t>
      </w:r>
      <w:r>
        <w:tab/>
      </w:r>
      <w:r>
        <w:t xml:space="preserve">.split()</w:t>
      </w:r>
    </w:p>
    <w:bookmarkEnd w:id="38"/>
    <w:bookmarkStart w:id="39" w:name="join"/>
    <w:p>
      <w:pPr>
        <w:pStyle w:val="Heading4"/>
      </w:pPr>
      <w:r>
        <w:rPr>
          <w:rStyle w:val="SectionNumber"/>
        </w:rPr>
        <w:t xml:space="preserve">3.3.0.3</w:t>
      </w:r>
      <w:r>
        <w:tab/>
      </w:r>
      <w:r>
        <w:t xml:space="preserve">.join()</w:t>
      </w:r>
    </w:p>
    <w:bookmarkEnd w:id="39"/>
    <w:bookmarkStart w:id="40" w:name="strip"/>
    <w:p>
      <w:pPr>
        <w:pStyle w:val="Heading4"/>
      </w:pPr>
      <w:r>
        <w:rPr>
          <w:rStyle w:val="SectionNumber"/>
        </w:rPr>
        <w:t xml:space="preserve">3.3.0.4</w:t>
      </w:r>
      <w:r>
        <w:tab/>
      </w:r>
      <w:r>
        <w:t xml:space="preserve">.strip()</w:t>
      </w:r>
    </w:p>
    <w:bookmarkEnd w:id="40"/>
    <w:bookmarkEnd w:id="41"/>
    <w:bookmarkStart w:id="42" w:name="list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Lists</w:t>
      </w:r>
    </w:p>
    <w:p>
      <w:pPr>
        <w:pStyle w:val="FirstParagraph"/>
      </w:pPr>
      <w:r>
        <w:rPr>
          <w:bCs/>
          <w:b/>
        </w:rPr>
        <w:t xml:space="preserve">TEST</w:t>
      </w:r>
    </w:p>
    <w:bookmarkEnd w:id="42"/>
    <w:bookmarkStart w:id="43" w:name="for-loop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For Loops</w:t>
      </w:r>
    </w:p>
    <w:bookmarkEnd w:id="43"/>
    <w:bookmarkStart w:id="44" w:name="module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Modules</w:t>
      </w:r>
    </w:p>
    <w:p>
      <w:pPr>
        <w:pStyle w:val="FirstParagraph"/>
      </w:pPr>
      <w:r>
        <w:t xml:space="preserve">Often, we need to make use of functions beyond those that are packaged with Python. To do this, we can import a</w:t>
      </w:r>
      <w:r>
        <w:t xml:space="preserve"> </w:t>
      </w:r>
      <w:r>
        <w:rPr>
          <w:bCs/>
          <w:b/>
        </w:rPr>
        <w:t xml:space="preserve">module</w:t>
      </w:r>
      <w:r>
        <w:t xml:space="preserve">, or a collection of pre-written functions. A module is imported with the following syntax:</w:t>
      </w:r>
      <w:r>
        <w:t xml:space="preserve"> </w:t>
      </w:r>
      <w:r>
        <w:rPr>
          <w:rStyle w:val="VerbatimChar"/>
        </w:rPr>
        <w:t xml:space="preserve">import &lt;module name&gt;</w:t>
      </w:r>
      <w:r>
        <w:t xml:space="preserve">. For example, to import the popular plotting module Matplotlib, we write: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</w:t>
      </w:r>
    </w:p>
    <w:p>
      <w:pPr>
        <w:pStyle w:val="FirstParagraph"/>
      </w:pPr>
      <w:r>
        <w:t xml:space="preserve">To use a function from this module, we need to reference both the package name and the function name, with the general syntax:</w:t>
      </w:r>
      <w:r>
        <w:t xml:space="preserve"> </w:t>
      </w:r>
      <w:r>
        <w:rPr>
          <w:rStyle w:val="VerbatimChar"/>
        </w:rPr>
        <w:t xml:space="preserve">moduleName.functionName()</w:t>
      </w:r>
      <w:r>
        <w:t xml:space="preserve">. To user Matplotlib’s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function, we would write:</w:t>
      </w:r>
    </w:p>
    <w:p>
      <w:pPr>
        <w:pStyle w:val="SourceCode"/>
      </w:pPr>
      <w:r>
        <w:rPr>
          <w:rStyle w:val="NormalTok"/>
        </w:rPr>
        <w:t xml:space="preserve">matplotlib.pyplot.show()</w:t>
      </w:r>
    </w:p>
    <w:p>
      <w:pPr>
        <w:pStyle w:val="FirstParagraph"/>
      </w:pPr>
      <w:r>
        <w:t xml:space="preserve">What if you don’t want to write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in full each time that you run a Matplotlib function? To simplify this, we can give our modules a shorthand name.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FirstParagraph"/>
      </w:pPr>
      <w:r>
        <w:t xml:space="preserve">Now, instead of writing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, we can just write</w:t>
      </w:r>
      <w:r>
        <w:t xml:space="preserve"> </w:t>
      </w:r>
      <w:r>
        <w:rPr>
          <w:rStyle w:val="VerbatimChar"/>
        </w:rPr>
        <w:t xml:space="preserve">plt</w:t>
      </w:r>
      <w:r>
        <w:t xml:space="preserve">. The previous</w:t>
      </w:r>
      <w:r>
        <w:t xml:space="preserve"> </w:t>
      </w:r>
      <w:r>
        <w:rPr>
          <w:rStyle w:val="VerbatimChar"/>
        </w:rPr>
        <w:t xml:space="preserve">matplotlib.pyplot.show()</w:t>
      </w:r>
      <w:r>
        <w:t xml:space="preserve"> </w:t>
      </w:r>
      <w:r>
        <w:t xml:space="preserve">command is shortened to:</w:t>
      </w:r>
    </w:p>
    <w:p>
      <w:pPr>
        <w:pStyle w:val="SourceCode"/>
      </w:pPr>
      <w:r>
        <w:rPr>
          <w:rStyle w:val="NormalTok"/>
        </w:rPr>
        <w:t xml:space="preserve">plt.show()</w:t>
      </w:r>
    </w:p>
    <w:bookmarkEnd w:id="44"/>
    <w:bookmarkStart w:id="45" w:name="plotting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Plotting</w:t>
      </w:r>
    </w:p>
    <w:p>
      <w:pPr>
        <w:pStyle w:val="FirstParagraph"/>
      </w:pPr>
      <w:r>
        <w:t xml:space="preserve">In this course, we will use the library Matplotlib for plotting. For concision, we will import the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module with the name</w:t>
      </w:r>
      <w:r>
        <w:t xml:space="preserve"> </w:t>
      </w:r>
      <w:r>
        <w:rPr>
          <w:rStyle w:val="VerbatimChar"/>
        </w:rPr>
        <w:t xml:space="preserve">plt</w:t>
      </w:r>
      <w:r>
        <w:t xml:space="preserve">, as such: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45"/>
    <w:bookmarkStart w:id="46" w:name="errors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Errors</w:t>
      </w:r>
    </w:p>
    <w:bookmarkEnd w:id="46"/>
    <w:bookmarkEnd w:id="47"/>
    <w:bookmarkStart w:id="50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48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48"/>
    <w:bookmarkStart w:id="49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49"/>
    <w:bookmarkEnd w:id="50"/>
    <w:bookmarkStart w:id="58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here          1.0.1   2020-12-13 [1] CRAN (R 4.0.2)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jsonlite      1.7.1   2020-09-07 [1] RSPM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lattice       0.20-41 2020-04-02 [2] CRAN (R 4.0.2)              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Matrix        1.2-18  2019-11-27 [2]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png           0.1-8   2022-11-29 [1] CRAN (R 4.0.2)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rappdirs      0.3.3   2021-01-31 [1] CRAN (R 4.0.2)                    </w:t>
      </w:r>
      <w:r>
        <w:br/>
      </w:r>
      <w:r>
        <w:rPr>
          <w:rStyle w:val="VerbatimChar"/>
        </w:rPr>
        <w:t xml:space="preserve">##  Rcpp          1.0.10  2023-01-22 [1] CRAN (R 4.0.2)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reticulate    1.28    2023-01-27 [1] CRAN (R 4.0.2)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cs226sp22.github.io/" TargetMode="External" /><Relationship Type="http://schemas.openxmlformats.org/officeDocument/2006/relationships/hyperlink" Id="rId56" Target="https://engineering.jhu.edu/faculty/ali-madooei/" TargetMode="External" /><Relationship Type="http://schemas.openxmlformats.org/officeDocument/2006/relationships/hyperlink" Id="rId55" Target="https://jhudatascience.org/index.html" TargetMode="External" /><Relationship Type="http://schemas.openxmlformats.org/officeDocument/2006/relationships/hyperlink" Id="rId54" Target="https://jtleek.com/" TargetMode="External" /><Relationship Type="http://schemas.openxmlformats.org/officeDocument/2006/relationships/hyperlink" Id="rId53" Target="https://kweav.github.io/" TargetMode="External" /><Relationship Type="http://schemas.openxmlformats.org/officeDocument/2006/relationships/hyperlink" Id="rId51" Target="https://mccoy-lab.org/" TargetMode="External" /><Relationship Type="http://schemas.openxmlformats.org/officeDocument/2006/relationships/hyperlink" Id="rId52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cs226sp22.github.io/" TargetMode="External" /><Relationship Type="http://schemas.openxmlformats.org/officeDocument/2006/relationships/hyperlink" Id="rId56" Target="https://engineering.jhu.edu/faculty/ali-madooei/" TargetMode="External" /><Relationship Type="http://schemas.openxmlformats.org/officeDocument/2006/relationships/hyperlink" Id="rId55" Target="https://jhudatascience.org/index.html" TargetMode="External" /><Relationship Type="http://schemas.openxmlformats.org/officeDocument/2006/relationships/hyperlink" Id="rId54" Target="https://jtleek.com/" TargetMode="External" /><Relationship Type="http://schemas.openxmlformats.org/officeDocument/2006/relationships/hyperlink" Id="rId53" Target="https://kweav.github.io/" TargetMode="External" /><Relationship Type="http://schemas.openxmlformats.org/officeDocument/2006/relationships/hyperlink" Id="rId51" Target="https://mccoy-lab.org/" TargetMode="External" /><Relationship Type="http://schemas.openxmlformats.org/officeDocument/2006/relationships/hyperlink" Id="rId52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2023-08-08T23:02:46Z</dcterms:created>
  <dcterms:modified xsi:type="dcterms:W3CDTF">2023-08-08T23:02:46Z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assets/bootcampLogo.png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