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tentative-schedule"/>
    <w:p>
      <w:pPr>
        <w:pStyle w:val="Heading3"/>
      </w:pPr>
      <w:r>
        <w:rPr>
          <w:rStyle w:val="SectionNumber"/>
        </w:rPr>
        <w:t xml:space="preserve">2.0.4</w:t>
      </w:r>
      <w:r>
        <w:tab/>
      </w:r>
      <w:r>
        <w:t xml:space="preserve">Tentative Schedule</w:t>
      </w:r>
    </w:p>
    <w:p>
      <w:pPr>
        <w:pStyle w:val="FirstParagraph"/>
      </w:pPr>
      <w:r>
        <w:rPr>
          <w:bCs/>
          <w:b/>
        </w:rPr>
        <w:t xml:space="preserve">First Week - Introduction to Population Genetics Modeling</w:t>
      </w:r>
    </w:p>
    <w:p>
      <w:pPr>
        <w:pStyle w:val="BodyText"/>
      </w:pPr>
      <w:r>
        <w:t xml:space="preserve">August 27: Welcome; Course Overview</w:t>
      </w:r>
    </w:p>
    <w:p>
      <w:pPr>
        <w:pStyle w:val="BodyText"/>
      </w:pPr>
      <w:r>
        <w:t xml:space="preserve">August 29: Introduction to R Programming - Working with Data, Plotting</w:t>
      </w:r>
    </w:p>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September 3: The Exponential and Logistic Growth Models</w:t>
      </w:r>
    </w:p>
    <w:p>
      <w:pPr>
        <w:pStyle w:val="BodyText"/>
      </w:pPr>
      <w:r>
        <w:t xml:space="preserve">September 5: Density-Dependent Growth</w:t>
      </w:r>
    </w:p>
    <w:p>
      <w:pPr>
        <w:pStyle w:val="BodyText"/>
      </w:pPr>
      <w:r>
        <w:rPr>
          <w:bCs/>
          <w:b/>
        </w:rPr>
        <w:t xml:space="preserve">Week Three: Multiple Populations</w:t>
      </w:r>
      <w:r>
        <w:br/>
      </w:r>
      <w:r>
        <w:t xml:space="preserve">September 10: Lotka-Volterra dynamics 1: Competition and Cooperation</w:t>
      </w:r>
    </w:p>
    <w:p>
      <w:pPr>
        <w:pStyle w:val="BodyText"/>
      </w:pPr>
      <w:r>
        <w:t xml:space="preserve">September 12: Lotka-Volterra dynamics 2: Predation and Parasitism</w:t>
      </w:r>
    </w:p>
    <w:p>
      <w:pPr>
        <w:pStyle w:val="BodyText"/>
      </w:pPr>
      <w:r>
        <w:rPr>
          <w:bCs/>
          <w:b/>
        </w:rPr>
        <w:t xml:space="preserve">Week Four: Advanced Topics in Population Biology</w:t>
      </w:r>
      <w:r>
        <w:br/>
      </w:r>
      <w:r>
        <w:t xml:space="preserve">September 17: Spatial Models</w:t>
      </w:r>
    </w:p>
    <w:p>
      <w:pPr>
        <w:pStyle w:val="BodyText"/>
      </w:pPr>
      <w:r>
        <w:t xml:space="preserve">September 19: Social Evolution and Game Theory</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w:t>
      </w:r>
      <w:r>
        <w:t xml:space="preserve"> </w:t>
      </w:r>
      <w:r>
        <w:t xml:space="preserve">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w:t>
      </w:r>
      <w:r>
        <w:t xml:space="preserve"> </w:t>
      </w:r>
      <w:r>
        <w:t xml:space="preserve">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7"/>
    <w:bookmarkEnd w:id="28"/>
    <w:bookmarkStart w:id="42" w:name="lecture-notes"/>
    <w:p>
      <w:pPr>
        <w:pStyle w:val="Heading1"/>
      </w:pPr>
      <w:r>
        <w:rPr>
          <w:rStyle w:val="SectionNumber"/>
        </w:rPr>
        <w:t xml:space="preserve">3</w:t>
      </w:r>
      <w:r>
        <w:tab/>
      </w:r>
      <w:r>
        <w:t xml:space="preserve">Lecture Notes</w:t>
      </w:r>
    </w:p>
    <w:bookmarkStart w:id="32" w:name="introduction-to-r"/>
    <w:p>
      <w:pPr>
        <w:pStyle w:val="Heading2"/>
      </w:pPr>
      <w:r>
        <w:rPr>
          <w:rStyle w:val="SectionNumber"/>
        </w:rPr>
        <w:t xml:space="preserve">3.1</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data-import"/>
    <w:p>
      <w:pPr>
        <w:pStyle w:val="Heading3"/>
      </w:pPr>
      <w:r>
        <w:rPr>
          <w:rStyle w:val="SectionNumber"/>
        </w:rPr>
        <w:t xml:space="preserve">3.1.1</w:t>
      </w:r>
      <w:r>
        <w:tab/>
      </w:r>
      <w:r>
        <w:t xml:space="preserve">Data import</w:t>
      </w:r>
    </w:p>
    <w:p>
      <w:pPr>
        <w:pStyle w:val="FirstParagraph"/>
      </w:pPr>
      <w:r>
        <w:t xml:space="preserve">The bread and butter of R is the data frame, a tabular data structure which can contain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0"/>
    <w:bookmarkStart w:id="31" w:name="the-data-frame"/>
    <w:p>
      <w:pPr>
        <w:pStyle w:val="Heading3"/>
      </w:pPr>
      <w:r>
        <w:rPr>
          <w:rStyle w:val="SectionNumber"/>
        </w:rPr>
        <w:t xml:space="preserve">3.1.2</w:t>
      </w:r>
      <w:r>
        <w:tab/>
      </w:r>
      <w:r>
        <w:t xml:space="preserve">The Data Frame</w:t>
      </w:r>
    </w:p>
    <w:p>
      <w:pPr>
        <w:pStyle w:val="FirstParagraph"/>
      </w:pPr>
      <w:r>
        <w:t xml:space="preserve">R has the ability to manipulate multiple different types of data. The primary data types we will use in this course are:</w:t>
      </w:r>
    </w:p>
    <w:bookmarkEnd w:id="31"/>
    <w:bookmarkEnd w:id="32"/>
    <w:bookmarkStart w:id="41" w:name="lecture-notes-1"/>
    <w:p>
      <w:pPr>
        <w:pStyle w:val="Heading2"/>
      </w:pPr>
      <w:r>
        <w:rPr>
          <w:rStyle w:val="SectionNumber"/>
        </w:rPr>
        <w:t xml:space="preserve">3.2</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3.2.1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3.2.2</w:t>
      </w:r>
      <w:r>
        <w:tab/>
      </w:r>
      <w:r>
        <w:t xml:space="preserve">DataFrames</w:t>
      </w:r>
    </w:p>
    <w:bookmarkEnd w:id="37"/>
    <w:bookmarkStart w:id="38" w:name="data-manipulation"/>
    <w:p>
      <w:pPr>
        <w:pStyle w:val="Heading3"/>
      </w:pPr>
      <w:r>
        <w:rPr>
          <w:rStyle w:val="SectionNumber"/>
        </w:rPr>
        <w:t xml:space="preserve">3.2.3</w:t>
      </w:r>
      <w:r>
        <w:tab/>
      </w:r>
      <w:r>
        <w:t xml:space="preserve">Data Manipulation</w:t>
      </w:r>
    </w:p>
    <w:bookmarkEnd w:id="38"/>
    <w:bookmarkStart w:id="39" w:name="subsetting"/>
    <w:p>
      <w:pPr>
        <w:pStyle w:val="Heading3"/>
      </w:pPr>
      <w:r>
        <w:rPr>
          <w:rStyle w:val="SectionNumber"/>
        </w:rPr>
        <w:t xml:space="preserve">3.2.4</w:t>
      </w:r>
      <w:r>
        <w:tab/>
      </w:r>
      <w:r>
        <w:t xml:space="preserve">Subsetting</w:t>
      </w:r>
    </w:p>
    <w:bookmarkEnd w:id="39"/>
    <w:bookmarkStart w:id="40" w:name="logical-subsetting"/>
    <w:p>
      <w:pPr>
        <w:pStyle w:val="Heading3"/>
      </w:pPr>
      <w:r>
        <w:rPr>
          <w:rStyle w:val="SectionNumber"/>
        </w:rPr>
        <w:t xml:space="preserve">3.2.5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86"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3"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3"/>
    <w:bookmarkStart w:id="46"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4">
        <w:r>
          <w:rPr>
            <w:rStyle w:val="Hyperlink"/>
          </w:rPr>
          <w:t xml:space="preserve">here</w:t>
        </w:r>
      </w:hyperlink>
      <w:r>
        <w:t xml:space="preserve">.</w:t>
      </w:r>
      <w:r>
        <w:br/>
      </w:r>
    </w:p>
    <w:bookmarkStart w:id="45"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45"/>
    <w:bookmarkEnd w:id="46"/>
    <w:bookmarkStart w:id="48" w:name="math"/>
    <w:p>
      <w:pPr>
        <w:pStyle w:val="Heading2"/>
      </w:pPr>
      <w:r>
        <w:rPr>
          <w:rStyle w:val="SectionNumber"/>
        </w:rPr>
        <w:t xml:space="preserve">4.3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 + and -: addition and subtraction</w:t>
      </w:r>
      <w:r>
        <w:br/>
      </w:r>
      <w:r>
        <w:t xml:space="preserve">• * and /: multiplication and division</w:t>
      </w:r>
      <w:r>
        <w:br/>
      </w:r>
      <w:r>
        <w:t xml:space="preserve">• **: exponentials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w:t>
      </w:r>
      <w:r>
        <w:rPr>
          <w:rStyle w:val="DecValTok"/>
        </w:rPr>
        <w:t xml:space="preserve">5</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47" w:name="order-of-operations"/>
    <w:p>
      <w:pPr>
        <w:pStyle w:val="Heading3"/>
      </w:pPr>
      <w:r>
        <w:rPr>
          <w:rStyle w:val="SectionNumber"/>
        </w:rPr>
        <w:t xml:space="preserve">4.3.1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47"/>
    <w:bookmarkEnd w:id="48"/>
    <w:bookmarkStart w:id="52" w:name="comparisons"/>
    <w:p>
      <w:pPr>
        <w:pStyle w:val="Heading2"/>
      </w:pPr>
      <w:r>
        <w:rPr>
          <w:rStyle w:val="SectionNumber"/>
        </w:rPr>
        <w:t xml:space="preserve">4.4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 &lt; and &gt;: greater than, less than</w:t>
      </w:r>
      <w:r>
        <w:br/>
      </w:r>
      <w:r>
        <w:t xml:space="preserve">• &lt;= and &gt;=: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 = can be used to assign values. However, a double equals sign == is used to compare values.</w:t>
      </w:r>
    </w:p>
    <w:bookmarkStart w:id="51" w:name="and-and-or"/>
    <w:p>
      <w:pPr>
        <w:pStyle w:val="Heading3"/>
      </w:pPr>
      <w:r>
        <w:rPr>
          <w:rStyle w:val="SectionNumber"/>
        </w:rPr>
        <w:t xml:space="preserve">4.4.1</w:t>
      </w:r>
      <w:r>
        <w:tab/>
      </w:r>
      <w:r>
        <w:t xml:space="preserve">AND and OR</w:t>
      </w:r>
    </w:p>
    <w:p>
      <w:pPr>
        <w:pStyle w:val="FirstParagraph"/>
      </w:pPr>
      <w:r>
        <w:t xml:space="preserve">We can evaluate multiple conditions using the logical AND and OR operators.</w:t>
      </w:r>
    </w:p>
    <w:bookmarkStart w:id="49" w:name="and"/>
    <w:p>
      <w:pPr>
        <w:pStyle w:val="Heading4"/>
      </w:pPr>
      <w:r>
        <w:rPr>
          <w:rStyle w:val="SectionNumber"/>
        </w:rPr>
        <w:t xml:space="preserve">4.4.1.1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49"/>
    <w:bookmarkStart w:id="50" w:name="or"/>
    <w:p>
      <w:pPr>
        <w:pStyle w:val="Heading4"/>
      </w:pPr>
      <w:r>
        <w:rPr>
          <w:rStyle w:val="SectionNumber"/>
        </w:rPr>
        <w:t xml:space="preserve">4.4.1.2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50"/>
    <w:bookmarkEnd w:id="51"/>
    <w:bookmarkEnd w:id="52"/>
    <w:bookmarkStart w:id="57" w:name="vectors"/>
    <w:p>
      <w:pPr>
        <w:pStyle w:val="Heading2"/>
      </w:pPr>
      <w:r>
        <w:rPr>
          <w:rStyle w:val="SectionNumber"/>
        </w:rPr>
        <w:t xml:space="preserve">4.5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Notice that when we print the vector,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53" w:name="indexing"/>
    <w:p>
      <w:pPr>
        <w:pStyle w:val="Heading3"/>
      </w:pPr>
      <w:r>
        <w:rPr>
          <w:rStyle w:val="SectionNumber"/>
        </w:rPr>
        <w:t xml:space="preserve">4.5.1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and so on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53"/>
    <w:bookmarkStart w:id="54" w:name="logical-indexing"/>
    <w:p>
      <w:pPr>
        <w:pStyle w:val="Heading3"/>
      </w:pPr>
      <w:r>
        <w:rPr>
          <w:rStyle w:val="SectionNumber"/>
        </w:rPr>
        <w:t xml:space="preserve">4.5.2</w:t>
      </w:r>
      <w:r>
        <w:tab/>
      </w:r>
      <w:r>
        <w:t xml:space="preserve">Logical Indexing</w:t>
      </w:r>
    </w:p>
    <w:p>
      <w:pPr>
        <w:pStyle w:val="FirstParagraph"/>
      </w:pPr>
      <w:r>
        <w:t xml:space="preserve">We often want to subset our data not by the position of elements, but based on whether or not they meet a certain criterion. For example,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54"/>
    <w:bookmarkStart w:id="55" w:name="modifying-vectors"/>
    <w:p>
      <w:pPr>
        <w:pStyle w:val="Heading3"/>
      </w:pPr>
      <w:r>
        <w:rPr>
          <w:rStyle w:val="SectionNumber"/>
        </w:rPr>
        <w:t xml:space="preserve">4.5.3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55"/>
    <w:bookmarkStart w:id="56" w:name="adding-to-vectors"/>
    <w:p>
      <w:pPr>
        <w:pStyle w:val="Heading3"/>
      </w:pPr>
      <w:r>
        <w:rPr>
          <w:rStyle w:val="SectionNumber"/>
        </w:rPr>
        <w:t xml:space="preserve">4.5.4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56"/>
    <w:bookmarkEnd w:id="57"/>
    <w:bookmarkStart w:id="60" w:name="data-frames"/>
    <w:p>
      <w:pPr>
        <w:pStyle w:val="Heading2"/>
      </w:pPr>
      <w:r>
        <w:rPr>
          <w:rStyle w:val="SectionNumber"/>
        </w:rPr>
        <w:t xml:space="preserve">4.6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58" w:name="subsetting-data-frames"/>
    <w:p>
      <w:pPr>
        <w:pStyle w:val="Heading3"/>
      </w:pPr>
      <w:r>
        <w:rPr>
          <w:rStyle w:val="SectionNumber"/>
        </w:rPr>
        <w:t xml:space="preserve">4.6.1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58"/>
    <w:bookmarkStart w:id="59" w:name="logical-indexing-1"/>
    <w:p>
      <w:pPr>
        <w:pStyle w:val="Heading3"/>
      </w:pPr>
      <w:r>
        <w:rPr>
          <w:rStyle w:val="SectionNumber"/>
        </w:rPr>
        <w:t xml:space="preserve">4.6.2</w:t>
      </w:r>
      <w:r>
        <w:tab/>
      </w:r>
      <w:r>
        <w:t xml:space="preserve">Logical Indexing</w:t>
      </w:r>
    </w:p>
    <w:p>
      <w:pPr>
        <w:pStyle w:val="FirstParagraph"/>
      </w:pPr>
      <w:r>
        <w:t xml:space="preserve">As with vectors, we can use logic and comparison operators to subset data frames. For example, we can subset our data frame just to writers who are poets:</w:t>
      </w:r>
    </w:p>
    <w:p>
      <w:pPr>
        <w:pStyle w:val="SourceCode"/>
      </w:pPr>
      <w:r>
        <w:rPr>
          <w:rStyle w:val="NormalTok"/>
        </w:rPr>
        <w:t xml:space="preserve">poetsVector </w:t>
      </w:r>
      <w:r>
        <w:rPr>
          <w:rStyle w:val="OtherTok"/>
        </w:rPr>
        <w:t xml:space="preserve">&lt;-</w:t>
      </w:r>
      <w:r>
        <w:rPr>
          <w:rStyle w:val="NormalTok"/>
        </w:rPr>
        <w:t xml:space="preserve"> writers</w:t>
      </w:r>
      <w:r>
        <w:rPr>
          <w:rStyle w:val="SpecialCharTok"/>
        </w:rPr>
        <w:t xml:space="preserve">$</w:t>
      </w:r>
      <w:r>
        <w:rPr>
          <w:rStyle w:val="NormalTok"/>
        </w:rPr>
        <w:t xml:space="preserve">Poet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CommentTok"/>
        </w:rPr>
        <w:t xml:space="preserve"># Get the positions of writers who are poets</w:t>
      </w:r>
      <w:r>
        <w:br/>
      </w:r>
      <w:r>
        <w:rPr>
          <w:rStyle w:val="NormalTok"/>
        </w:rPr>
        <w:t xml:space="preserve">writers[poetsVector, ] </w:t>
      </w:r>
      <w:r>
        <w:rPr>
          <w:rStyle w:val="CommentTok"/>
        </w:rPr>
        <w:t xml:space="preserve"># Subset our data</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3             Milton      1608 TRUE</w:t>
      </w:r>
      <w:r>
        <w:br/>
      </w:r>
      <w:r>
        <w:rPr>
          <w:rStyle w:val="VerbatimChar"/>
        </w:rPr>
        <w:t xml:space="preserve">## 5 Farid ud-Din Attar      1145 TRUE</w:t>
      </w:r>
    </w:p>
    <w:p>
      <w:pPr>
        <w:pStyle w:val="FirstParagraph"/>
      </w:pPr>
      <w:r>
        <w:t xml:space="preserve">Notice how here, we save the logical vector as its own variable (</w:t>
      </w:r>
      <w:r>
        <w:rPr>
          <w:rStyle w:val="VerbatimChar"/>
        </w:rPr>
        <w:t xml:space="preserve">poetsVector</w:t>
      </w:r>
      <w:r>
        <w:t xml:space="preserve">). We’re doing the equivalent of</w:t>
      </w:r>
      <w:r>
        <w:t xml:space="preserve"> </w:t>
      </w:r>
      <w:r>
        <w:rPr>
          <w:rStyle w:val="VerbatimChar"/>
        </w:rPr>
        <w:t xml:space="preserve">writers[writers$Poet == TRUE]</w:t>
      </w:r>
      <w:r>
        <w:t xml:space="preserve">, but you may find dividing this process into multiple lines easier, especially as logic gets more complex.</w:t>
      </w:r>
    </w:p>
    <w:bookmarkEnd w:id="59"/>
    <w:bookmarkEnd w:id="60"/>
    <w:bookmarkStart w:id="85" w:name="plotting"/>
    <w:p>
      <w:pPr>
        <w:pStyle w:val="Heading2"/>
      </w:pPr>
      <w:r>
        <w:rPr>
          <w:rStyle w:val="SectionNumber"/>
        </w:rPr>
        <w:t xml:space="preserve">4.7</w:t>
      </w:r>
      <w:r>
        <w:tab/>
      </w:r>
      <w:r>
        <w:t xml:space="preserve">Plotting</w:t>
      </w:r>
    </w:p>
    <w:p>
      <w:pPr>
        <w:pStyle w:val="FirstParagraph"/>
      </w:pPr>
      <w:r>
        <w:t xml:space="preserve">The base R programming language comes with some pretty robust tools for plotting. However, most R users instead use the external library</w:t>
      </w:r>
      <w:r>
        <w:t xml:space="preserve"> </w:t>
      </w:r>
      <w:r>
        <w:rPr>
          <w:rStyle w:val="VerbatimChar"/>
        </w:rPr>
        <w:t xml:space="preserve">ggplot2</w:t>
      </w:r>
      <w:r>
        <w:t xml:space="preserve">, which simplifies plotting and allows for more elaborate data visualization.</w:t>
      </w:r>
    </w:p>
    <w:p>
      <w:pPr>
        <w:pStyle w:val="BodyText"/>
      </w:pPr>
      <w:r>
        <w:t xml:space="preserve">Your Posit cloud accounts have</w:t>
      </w:r>
      <w:r>
        <w:t xml:space="preserve"> </w:t>
      </w:r>
      <w:r>
        <w:rPr>
          <w:rStyle w:val="VerbatimChar"/>
        </w:rPr>
        <w:t xml:space="preserve">ggplot2</w:t>
      </w:r>
      <w:r>
        <w:t xml:space="preserve"> </w:t>
      </w:r>
      <w:r>
        <w:t xml:space="preserve">pre-installed. However, at the start of each script where you plot, you must let R know that you will use an external package with the line:</w:t>
      </w:r>
    </w:p>
    <w:p>
      <w:pPr>
        <w:pStyle w:val="SourceCode"/>
      </w:pPr>
      <w:r>
        <w:rPr>
          <w:rStyle w:val="FunctionTok"/>
        </w:rPr>
        <w:t xml:space="preserve">library</w:t>
      </w:r>
      <w:r>
        <w:rPr>
          <w:rStyle w:val="NormalTok"/>
        </w:rPr>
        <w:t xml:space="preserve">(ggplot2)</w:t>
      </w:r>
    </w:p>
    <w:p>
      <w:pPr>
        <w:pStyle w:val="FirstParagraph"/>
      </w:pPr>
      <w:r>
        <w:t xml:space="preserve">For a simple dataset to plot, I’ve saved the temperature in Fahrenheit in Baltimore, MD and Wommels, Netherlands for the next seven hours:</w:t>
      </w:r>
    </w:p>
    <w:p>
      <w:pPr>
        <w:pStyle w:val="SourceCode"/>
      </w:pPr>
      <w:r>
        <w:rPr>
          <w:rStyle w:val="NormalTok"/>
        </w:rPr>
        <w:t xml:space="preserve">temperatures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hours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temperature =</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"Baltimore"</w:t>
      </w:r>
      <w:r>
        <w:rPr>
          <w:rStyle w:val="NormalTok"/>
        </w:rPr>
        <w:t xml:space="preserve">, </w:t>
      </w:r>
      <w:r>
        <w:rPr>
          <w:rStyle w:val="DecValTok"/>
        </w:rPr>
        <w:t xml:space="preserve">7</w:t>
      </w:r>
      <w:r>
        <w:rPr>
          <w:rStyle w:val="NormalTok"/>
        </w:rPr>
        <w:t xml:space="preserve">), </w:t>
      </w:r>
      <w:r>
        <w:rPr>
          <w:rStyle w:val="FunctionTok"/>
        </w:rPr>
        <w:t xml:space="preserve">rep</w:t>
      </w:r>
      <w:r>
        <w:rPr>
          <w:rStyle w:val="NormalTok"/>
        </w:rPr>
        <w:t xml:space="preserve">(</w:t>
      </w:r>
      <w:r>
        <w:rPr>
          <w:rStyle w:val="StringTok"/>
        </w:rPr>
        <w:t xml:space="preserve">"Wommels"</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FunctionTok"/>
        </w:rPr>
        <w:t xml:space="preserve">head</w:t>
      </w:r>
      <w:r>
        <w:rPr>
          <w:rStyle w:val="NormalTok"/>
        </w:rPr>
        <w:t xml:space="preserve">(temperatures)</w:t>
      </w:r>
    </w:p>
    <w:p>
      <w:pPr>
        <w:pStyle w:val="SourceCode"/>
      </w:pPr>
      <w:r>
        <w:rPr>
          <w:rStyle w:val="VerbatimChar"/>
        </w:rPr>
        <w:t xml:space="preserve">##   hours temperature      city</w:t>
      </w:r>
      <w:r>
        <w:br/>
      </w:r>
      <w:r>
        <w:rPr>
          <w:rStyle w:val="VerbatimChar"/>
        </w:rPr>
        <w:t xml:space="preserve">## 1     1          74 Baltimore</w:t>
      </w:r>
      <w:r>
        <w:br/>
      </w:r>
      <w:r>
        <w:rPr>
          <w:rStyle w:val="VerbatimChar"/>
        </w:rPr>
        <w:t xml:space="preserve">## 2     2          73 Baltimore</w:t>
      </w:r>
      <w:r>
        <w:br/>
      </w:r>
      <w:r>
        <w:rPr>
          <w:rStyle w:val="VerbatimChar"/>
        </w:rPr>
        <w:t xml:space="preserve">## 3     3          72 Baltimore</w:t>
      </w:r>
      <w:r>
        <w:br/>
      </w:r>
      <w:r>
        <w:rPr>
          <w:rStyle w:val="VerbatimChar"/>
        </w:rPr>
        <w:t xml:space="preserve">## 4     4          71 Baltimore</w:t>
      </w:r>
      <w:r>
        <w:br/>
      </w:r>
      <w:r>
        <w:rPr>
          <w:rStyle w:val="VerbatimChar"/>
        </w:rPr>
        <w:t xml:space="preserve">## 5     5          75 Baltimore</w:t>
      </w:r>
      <w:r>
        <w:br/>
      </w:r>
      <w:r>
        <w:rPr>
          <w:rStyle w:val="VerbatimChar"/>
        </w:rPr>
        <w:t xml:space="preserve">## 6     6          79 Baltimore</w:t>
      </w:r>
    </w:p>
    <w:p>
      <w:pPr>
        <w:pStyle w:val="FirstParagraph"/>
      </w:pPr>
      <w:r>
        <w:t xml:space="preserve">We can initialize a blank canvas with a call to the</w:t>
      </w:r>
      <w:r>
        <w:t xml:space="preserve"> </w:t>
      </w:r>
      <w:r>
        <w:rPr>
          <w:rStyle w:val="VerbatimChar"/>
        </w:rPr>
        <w:t xml:space="preserve">ggplot()</w:t>
      </w:r>
      <w:r>
        <w:t xml:space="preserve"> </w:t>
      </w:r>
      <w:r>
        <w:t xml:space="preserve">function. The first argument that this function takes is the dataset you wish to plot, which in our case is</w:t>
      </w:r>
      <w:r>
        <w:t xml:space="preserve"> </w:t>
      </w:r>
      <w:r>
        <w:rPr>
          <w:rStyle w:val="VerbatimChar"/>
        </w:rPr>
        <w:t xml:space="preserve">temperatures</w:t>
      </w:r>
      <w:r>
        <w:t xml:space="preserve">.</w:t>
      </w:r>
    </w:p>
    <w:p>
      <w:pPr>
        <w:pStyle w:val="SourceCode"/>
      </w:pPr>
      <w:r>
        <w:rPr>
          <w:rStyle w:val="FunctionTok"/>
        </w:rPr>
        <w:t xml:space="preserve">ggplot</w:t>
      </w:r>
      <w:r>
        <w:rPr>
          <w:rStyle w:val="NormalTok"/>
        </w:rPr>
        <w:t xml:space="preserve">(temperatures)</w:t>
      </w:r>
    </w:p>
    <w:p>
      <w:pPr>
        <w:pStyle w:val="FirstParagraph"/>
      </w:pPr>
      <w:r>
        <w:drawing>
          <wp:inline>
            <wp:extent cx="4620126" cy="3696101"/>
            <wp:effectExtent b="0" l="0" r="0" t="0"/>
            <wp:docPr descr="" title="" id="62"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58-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have to define the axes, groups of data, and other aesthetics. This is done with the</w:t>
      </w:r>
      <w:r>
        <w:t xml:space="preserve"> </w:t>
      </w:r>
      <w:r>
        <w:rPr>
          <w:rStyle w:val="VerbatimChar"/>
        </w:rPr>
        <w:t xml:space="preserve">aes</w:t>
      </w:r>
      <w:r>
        <w:t xml:space="preserve"> </w:t>
      </w:r>
      <w:r>
        <w:t xml:space="preserve">argument. For our data, it makes sense to have time be the x axis and temperature to be the y axis: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w:t>
      </w:r>
    </w:p>
    <w:p>
      <w:pPr>
        <w:pStyle w:val="FirstParagraph"/>
      </w:pPr>
      <w:r>
        <w:drawing>
          <wp:inline>
            <wp:extent cx="4620126" cy="3696101"/>
            <wp:effectExtent b="0" l="0" r="0" t="0"/>
            <wp:docPr descr="" title="" id="65"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59-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have a blank plot with axes. Notice that the scales of our axes are automatically set by the scales of our data (hours ranges from 0 to 7; temperature ranges approximately from 60 to 90).</w:t>
      </w:r>
    </w:p>
    <w:p>
      <w:pPr>
        <w:pStyle w:val="BodyText"/>
      </w:pPr>
      <w:r>
        <w:t xml:space="preserve">Now to add some data to our plot. Because</w:t>
      </w:r>
      <w:r>
        <w:t xml:space="preserve"> </w:t>
      </w:r>
      <w:r>
        <w:rPr>
          <w:rStyle w:val="VerbatimChar"/>
        </w:rPr>
        <w:t xml:space="preserve">ggplot</w:t>
      </w:r>
      <w:r>
        <w:t xml:space="preserve"> </w:t>
      </w:r>
      <w:r>
        <w:t xml:space="preserve">already knows our input data and how the axes are laid out, all we need to do is to say that type of visualization we want (e.g. points, lines, etc.). Let’s start by adding points to our plot: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68"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0-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plots our data correctly, but notice that we can’t distinguish between the two cities visually. We can group our data points by coloring them differently. To do this, we can add another argument (</w:t>
      </w:r>
      <w:r>
        <w:rPr>
          <w:rStyle w:val="VerbatimChar"/>
        </w:rPr>
        <w:t xml:space="preserve">color</w:t>
      </w:r>
      <w:r>
        <w:t xml:space="preserve">) to our</w:t>
      </w:r>
      <w:r>
        <w:t xml:space="preserve"> </w:t>
      </w:r>
      <w:r>
        <w:rPr>
          <w:rStyle w:val="VerbatimChar"/>
        </w:rPr>
        <w:t xml:space="preserve">aes</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71"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1-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pretty clear, interpretable plot! We can pretty easily make a few changes to make it look nicer, though. First, let’s also add a line by adding a</w:t>
      </w:r>
      <w:r>
        <w:t xml:space="preserve"> </w:t>
      </w:r>
      <w:r>
        <w:rPr>
          <w:rStyle w:val="VerbatimChar"/>
        </w:rPr>
        <w:t xml:space="preserve">geom_line()</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2-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 will automatically generate axis labels based on the column names of the input data. However, we can also make more descriptive x and y axis labels along with an overall figure title using</w:t>
      </w:r>
      <w:r>
        <w:t xml:space="preserve"> </w:t>
      </w:r>
      <w:r>
        <w:rPr>
          <w:rStyle w:val="VerbatimChar"/>
        </w:rPr>
        <w:t xml:space="preserve">xlab()</w:t>
      </w:r>
      <w:r>
        <w:t xml:space="preserve">,</w:t>
      </w:r>
      <w:r>
        <w:t xml:space="preserve"> </w:t>
      </w:r>
      <w:r>
        <w:rPr>
          <w:rStyle w:val="VerbatimChar"/>
        </w:rPr>
        <w:t xml:space="preserve">ylab()</w:t>
      </w:r>
      <w:r>
        <w:t xml:space="preserve">, and</w:t>
      </w:r>
      <w:r>
        <w:t xml:space="preserve"> </w:t>
      </w:r>
      <w:r>
        <w:rPr>
          <w:rStyle w:val="VerbatimChar"/>
        </w:rPr>
        <w:t xml:space="preserve">ggtitle()</w:t>
      </w:r>
      <w:r>
        <w:t xml:space="preserve">, respectively:</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3-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it is worth mentioning that we can add</w:t>
      </w:r>
      <w:r>
        <w:t xml:space="preserve"> </w:t>
      </w:r>
      <w:r>
        <w:rPr>
          <w:rStyle w:val="VerbatimChar"/>
        </w:rPr>
        <w:t xml:space="preserve">theme()</w:t>
      </w:r>
      <w:r>
        <w:t xml:space="preserve"> </w:t>
      </w:r>
      <w:r>
        <w:t xml:space="preserve">statements to modify almost any aspect of our figure’s aesthetics. Along with manually defined</w:t>
      </w:r>
      <w:r>
        <w:t xml:space="preserve"> </w:t>
      </w:r>
      <w:r>
        <w:rPr>
          <w:rStyle w:val="VerbatimChar"/>
        </w:rPr>
        <w:t xml:space="preserve">theme()</w:t>
      </w:r>
      <w:r>
        <w:t xml:space="preserve"> </w:t>
      </w:r>
      <w:r>
        <w:t xml:space="preserve">statements, ggplot comes with a handful of predefined themes: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4-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resources/images/resources/images/resources/images/resources/images/resources/images/resources/images/resources/images/resources/images/resources/images/resources/images/popGenModeling_files/figure-docx/unnamed-chunk-65-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End w:id="85"/>
    <w:bookmarkEnd w:id="86"/>
    <w:bookmarkStart w:id="87"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87"/>
    <w:bookmarkStart w:id="94"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88">
              <w:r>
                <w:rPr>
                  <w:rStyle w:val="Hyperlink"/>
                </w:rPr>
                <w:t xml:space="preserve">Andrew Bortvin</w:t>
              </w:r>
            </w:hyperlink>
          </w:p>
        </w:tc>
      </w:tr>
      <w:tr>
        <w:tc>
          <w:tcPr/>
          <w:p>
            <w:pPr>
              <w:pStyle w:val="Compact"/>
              <w:jc w:val="left"/>
            </w:pPr>
            <w:r>
              <w:t xml:space="preserve">Content Author</w:t>
            </w:r>
          </w:p>
        </w:tc>
        <w:tc>
          <w:tcPr/>
          <w:p>
            <w:pPr>
              <w:pStyle w:val="Compact"/>
              <w:jc w:val="left"/>
            </w:pPr>
            <w:hyperlink r:id="rId88">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89">
              <w:r>
                <w:rPr>
                  <w:rStyle w:val="Hyperlink"/>
                </w:rPr>
                <w:t xml:space="preserve">Jeff Leek</w:t>
              </w:r>
            </w:hyperlink>
            <w:r>
              <w:t xml:space="preserve"> </w:t>
            </w:r>
            <w:r>
              <w:t xml:space="preserve">&amp;</w:t>
            </w:r>
            <w:r>
              <w:t xml:space="preserve"> </w:t>
            </w:r>
            <w:hyperlink r:id="rId90">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91">
              <w:r>
                <w:rPr>
                  <w:rStyle w:val="Hyperlink"/>
                </w:rPr>
                <w:t xml:space="preserve">Stephanie Yan</w:t>
              </w:r>
            </w:hyperlink>
            <w:r>
              <w:t xml:space="preserve"> </w:t>
            </w:r>
            <w:r>
              <w:t xml:space="preserve">&amp;</w:t>
            </w:r>
            <w:r>
              <w:t xml:space="preserve"> </w:t>
            </w:r>
            <w:hyperlink r:id="rId92">
              <w:r>
                <w:rPr>
                  <w:rStyle w:val="Hyperlink"/>
                </w:rPr>
                <w:t xml:space="preserve">Ali Madooei</w:t>
              </w:r>
            </w:hyperlink>
            <w:r>
              <w:t xml:space="preserve"> </w:t>
            </w:r>
            <w:r>
              <w:t xml:space="preserve">&amp;</w:t>
            </w:r>
            <w:r>
              <w:t xml:space="preserve"> </w:t>
            </w:r>
            <w:hyperlink r:id="rId93">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2024-08-20</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farver        2.1.1   2022-07-06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labeling      0.4.3   2023-08-29 [1] RSPM (R 4.3.0)</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hyperlink" Id="rId29" Target="http://people.whitman.edu/~hundledr/courses/M250F03/M250.html" TargetMode="External" /><Relationship Type="http://schemas.openxmlformats.org/officeDocument/2006/relationships/hyperlink" Id="rId88"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93" Target="https://cs226sp22.github.io/" TargetMode="External" /><Relationship Type="http://schemas.openxmlformats.org/officeDocument/2006/relationships/hyperlink" Id="rId92" Target="https://engineering.jhu.edu/faculty/ali-madooei/" TargetMode="External" /><Relationship Type="http://schemas.openxmlformats.org/officeDocument/2006/relationships/hyperlink" Id="rId90" Target="https://jhudatascience.org/index.html" TargetMode="External" /><Relationship Type="http://schemas.openxmlformats.org/officeDocument/2006/relationships/hyperlink" Id="rId89" Target="https://jtleek.com/" TargetMode="External" /><Relationship Type="http://schemas.openxmlformats.org/officeDocument/2006/relationships/hyperlink" Id="rId91" Target="https://stephaniemyan.github.io/" TargetMode="External" /><Relationship Type="http://schemas.openxmlformats.org/officeDocument/2006/relationships/hyperlink" Id="rId44"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88"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93" Target="https://cs226sp22.github.io/" TargetMode="External" /><Relationship Type="http://schemas.openxmlformats.org/officeDocument/2006/relationships/hyperlink" Id="rId92" Target="https://engineering.jhu.edu/faculty/ali-madooei/" TargetMode="External" /><Relationship Type="http://schemas.openxmlformats.org/officeDocument/2006/relationships/hyperlink" Id="rId90" Target="https://jhudatascience.org/index.html" TargetMode="External" /><Relationship Type="http://schemas.openxmlformats.org/officeDocument/2006/relationships/hyperlink" Id="rId89" Target="https://jtleek.com/" TargetMode="External" /><Relationship Type="http://schemas.openxmlformats.org/officeDocument/2006/relationships/hyperlink" Id="rId91" Target="https://stephaniemyan.github.io/" TargetMode="External" /><Relationship Type="http://schemas.openxmlformats.org/officeDocument/2006/relationships/hyperlink" Id="rId44"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2024-08-20T14:34:03Z</dcterms:created>
  <dcterms:modified xsi:type="dcterms:W3CDTF">2024-08-20T14:34:03Z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