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88"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2" w:name="variable-population-size"/>
    <w:p>
      <w:pPr>
        <w:pStyle w:val="Heading2"/>
      </w:pPr>
      <w:r>
        <w:rPr>
          <w:rStyle w:val="SectionNumber"/>
        </w:rPr>
        <w:t xml:space="preserve">3.15</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5" w:name="changing-population-size"/>
    <w:p>
      <w:pPr>
        <w:pStyle w:val="Heading3"/>
      </w:pPr>
      <w:r>
        <w:rPr>
          <w:rStyle w:val="SectionNumber"/>
        </w:rPr>
        <w:t xml:space="preserve">3.15.1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5"/>
    <w:bookmarkStart w:id="76" w:name="exercise"/>
    <w:p>
      <w:pPr>
        <w:pStyle w:val="Heading3"/>
      </w:pPr>
      <w:r>
        <w:rPr>
          <w:rStyle w:val="SectionNumber"/>
        </w:rPr>
        <w:t xml:space="preserve">3.15.2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6"/>
    <w:bookmarkStart w:id="77" w:name="multiple-size-changes"/>
    <w:p>
      <w:pPr>
        <w:pStyle w:val="Heading3"/>
      </w:pPr>
      <w:r>
        <w:rPr>
          <w:rStyle w:val="SectionNumber"/>
        </w:rPr>
        <w:t xml:space="preserve">3.15.3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3"/>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3"/>
        </w:numPr>
        <w:pStyle w:val="Compact"/>
      </w:pPr>
      <w:r>
        <w:t xml:space="preserve">We get the current population size using the syntax</w:t>
      </w:r>
      <w:r>
        <w:t xml:space="preserve"> </w:t>
      </w:r>
      <w:r>
        <w:rPr>
          <w:rStyle w:val="VerbatimChar"/>
        </w:rPr>
        <w:t xml:space="preserve">p1.individualCount</w:t>
      </w:r>
    </w:p>
    <w:p>
      <w:pPr>
        <w:numPr>
          <w:ilvl w:val="0"/>
          <w:numId w:val="1023"/>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3"/>
        </w:numPr>
        <w:pStyle w:val="Compact"/>
      </w:pPr>
      <w:r>
        <w:t xml:space="preserve">We set the population size to the new calculated size .</w:t>
      </w:r>
    </w:p>
    <w:bookmarkEnd w:id="77"/>
    <w:bookmarkStart w:id="78" w:name="maximumminimum-population-size"/>
    <w:p>
      <w:pPr>
        <w:pStyle w:val="Heading3"/>
      </w:pPr>
      <w:r>
        <w:rPr>
          <w:rStyle w:val="SectionNumber"/>
        </w:rPr>
        <w:t xml:space="preserve">3.15.4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8"/>
    <w:bookmarkStart w:id="79" w:name="exercise-1"/>
    <w:p>
      <w:pPr>
        <w:pStyle w:val="Heading3"/>
      </w:pPr>
      <w:r>
        <w:rPr>
          <w:rStyle w:val="SectionNumber"/>
        </w:rPr>
        <w:t xml:space="preserve">3.15.5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9"/>
    <w:bookmarkStart w:id="80" w:name="growth-rate-dependent-on-fitness"/>
    <w:p>
      <w:pPr>
        <w:pStyle w:val="Heading3"/>
      </w:pPr>
      <w:r>
        <w:rPr>
          <w:rStyle w:val="SectionNumber"/>
        </w:rPr>
        <w:t xml:space="preserve">3.15.6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80"/>
    <w:bookmarkStart w:id="81" w:name="exercise-2"/>
    <w:p>
      <w:pPr>
        <w:pStyle w:val="Heading3"/>
      </w:pPr>
      <w:r>
        <w:rPr>
          <w:rStyle w:val="SectionNumber"/>
        </w:rPr>
        <w:t xml:space="preserve">3.15.7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81"/>
    <w:bookmarkEnd w:id="82"/>
    <w:bookmarkStart w:id="83" w:name="Xd912aec4a1d0fe4f4b4bf23e0c588ce1d0473e6"/>
    <w:p>
      <w:pPr>
        <w:pStyle w:val="Heading2"/>
      </w:pPr>
      <w:r>
        <w:rPr>
          <w:rStyle w:val="SectionNumber"/>
        </w:rPr>
        <w:t xml:space="preserve">3.16</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4"/>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4"/>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4"/>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83"/>
    <w:bookmarkStart w:id="87" w:name="week-5-assignment"/>
    <w:p>
      <w:pPr>
        <w:pStyle w:val="Heading2"/>
      </w:pPr>
      <w:r>
        <w:rPr>
          <w:rStyle w:val="SectionNumber"/>
        </w:rPr>
        <w:t xml:space="preserve">3.17</w:t>
      </w:r>
      <w:r>
        <w:tab/>
      </w:r>
      <w:r>
        <w:t xml:space="preserve">Week 5 Assignment</w:t>
      </w:r>
    </w:p>
    <w:bookmarkStart w:id="85" w:name="splitting-populations"/>
    <w:p>
      <w:pPr>
        <w:pStyle w:val="Heading3"/>
      </w:pPr>
      <w:r>
        <w:rPr>
          <w:rStyle w:val="SectionNumber"/>
        </w:rPr>
        <w:t xml:space="preserve">3.17.1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84">
        <w:r>
          <w:rPr>
            <w:rStyle w:val="Hyperlink"/>
          </w:rPr>
          <w:t xml:space="preserve">https://www.pnas.org/doi/full/10.1073/pnas.1019276108</w:t>
        </w:r>
      </w:hyperlink>
      <w:r>
        <w:t xml:space="preserve">.</w:t>
      </w:r>
    </w:p>
    <w:p>
      <w:pPr>
        <w:pStyle w:val="BodyText"/>
      </w:pPr>
      <w:r>
        <w:t xml:space="preserve">To build this simulation please…</w:t>
      </w:r>
      <w:r>
        <w:t xml:space="preserve"> </w:t>
      </w:r>
      <w:r>
        <w:t xml:space="preserve">1. Initialize the necessary parameters in your</w:t>
      </w:r>
      <w:r>
        <w:t xml:space="preserve"> </w:t>
      </w:r>
      <w:r>
        <w:rPr>
          <w:rStyle w:val="VerbatimChar"/>
        </w:rPr>
        <w:t xml:space="preserve">initialize()</w:t>
      </w:r>
      <w:r>
        <w:t xml:space="preserve"> </w:t>
      </w:r>
      <w:r>
        <w:t xml:space="preserve">statement</w:t>
      </w:r>
      <w:r>
        <w:t xml:space="preserve"> </w:t>
      </w:r>
      <w:r>
        <w:t xml:space="preserve">2. Create an ancestral African population (with about 7,000 individuals) and allow for a burn-in period of approximately 73,000 generations</w:t>
      </w:r>
      <w:r>
        <w:t xml:space="preserve"> </w:t>
      </w:r>
      <w:r>
        <w:t xml:space="preserve">3. Split the population at about the 77,000th generation, creating a Eurasian population. Allow migration between the two</w:t>
      </w:r>
      <w:r>
        <w:t xml:space="preserve"> </w:t>
      </w:r>
      <w:r>
        <w:t xml:space="preserve">4. Split the Eurasian population into two at about the 78,000th generation, creating a European and an Asian population. allow migration between all three populations</w:t>
      </w:r>
      <w:r>
        <w:t xml:space="preserve"> </w:t>
      </w:r>
      <w:r>
        <w:t xml:space="preserve">5. Set up exponential growth in the European and Asian populations for the following 1000 generations (see the hint below for this code)</w:t>
      </w:r>
    </w:p>
    <w:p>
      <w:pPr>
        <w:pStyle w:val="BodyText"/>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p>
    <w:bookmarkEnd w:id="85"/>
    <w:bookmarkStart w:id="86" w:name="local-adaptation"/>
    <w:p>
      <w:pPr>
        <w:pStyle w:val="Heading3"/>
      </w:pPr>
      <w:r>
        <w:rPr>
          <w:rStyle w:val="SectionNumber"/>
        </w:rPr>
        <w:t xml:space="preserve">3.17.2</w:t>
      </w:r>
      <w:r>
        <w:tab/>
      </w:r>
      <w:r>
        <w:t xml:space="preserve">Local Adaptation</w:t>
      </w:r>
    </w:p>
    <w:p>
      <w:pPr>
        <w:pStyle w:val="FirstParagraph"/>
      </w:pPr>
      <w:r>
        <w:t xml:space="preserve">Sometimes a population effectively splits into two populations and experiences some force (e.g., migration) such that the resulting subpopulations are subject to different selective pressures. For example, turtles on the Galapagos Islands have extremely different traits (</w:t>
      </w:r>
      <w:r>
        <w:t xml:space="preserve">“</w:t>
      </w:r>
      <w:r>
        <w:t xml:space="preserve">phenotypes</w:t>
      </w:r>
      <w:r>
        <w:t xml:space="preserve">”</w:t>
      </w:r>
      <w: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 but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(e.g., maybe their necks get tired from leaning down to get the vegetation and need to rest more).</w:t>
      </w:r>
    </w:p>
    <w:p>
      <w:pPr>
        <w:pStyle w:val="BodyText"/>
      </w:pPr>
      <w:r>
        <w:t xml:space="preserve">In both populations, track the mutation for shorter neck and longer neck. What do you notice? Modify your simulation to allow low rates of migration between the two populations. Any difference in the allele rates in either population?</w:t>
      </w:r>
    </w:p>
    <w:bookmarkEnd w:id="86"/>
    <w:bookmarkEnd w:id="87"/>
    <w:bookmarkEnd w:id="88"/>
    <w:bookmarkStart w:id="97"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90" w:name="week-3---multiple-populations"/>
    <w:p>
      <w:pPr>
        <w:pStyle w:val="Heading3"/>
      </w:pPr>
      <w:r>
        <w:rPr>
          <w:rStyle w:val="SectionNumber"/>
        </w:rPr>
        <w:t xml:space="preserve">4.0.1</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89">
        <w:r>
          <w:rPr>
            <w:rStyle w:val="Hyperlink"/>
          </w:rPr>
          <w:t xml:space="preserve">Arai et al. 2020</w:t>
        </w:r>
      </w:hyperlink>
      <w:r>
        <w:t xml:space="preserve"> </w:t>
      </w:r>
      <w:r>
        <w:t xml:space="preserve">- Inferring and analyzing migration among stickleback fish populations</w:t>
      </w:r>
    </w:p>
    <w:bookmarkEnd w:id="90"/>
    <w:bookmarkStart w:id="94" w:name="week-2---selection-and-sweeps"/>
    <w:p>
      <w:pPr>
        <w:pStyle w:val="Heading3"/>
      </w:pPr>
      <w:r>
        <w:rPr>
          <w:rStyle w:val="SectionNumber"/>
        </w:rPr>
        <w:t xml:space="preserve">4.0.2</w:t>
      </w:r>
      <w:r>
        <w:tab/>
      </w:r>
      <w:r>
        <w:t xml:space="preserve">Week 2 - Selection and Sweeps</w:t>
      </w:r>
    </w:p>
    <w:p>
      <w:pPr>
        <w:pStyle w:val="FirstParagraph"/>
      </w:pPr>
      <w:hyperlink r:id="rId91">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92">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93">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94"/>
    <w:bookmarkStart w:id="96" w:name="week-3---multiple-populations-1"/>
    <w:p>
      <w:pPr>
        <w:pStyle w:val="Heading3"/>
      </w:pPr>
      <w:r>
        <w:rPr>
          <w:rStyle w:val="SectionNumber"/>
        </w:rPr>
        <w:t xml:space="preserve">4.0.3</w:t>
      </w:r>
      <w:r>
        <w:tab/>
      </w:r>
      <w:r>
        <w:t xml:space="preserve">Week 3 - Multiple Populations</w:t>
      </w:r>
    </w:p>
    <w:p>
      <w:pPr>
        <w:pStyle w:val="FirstParagraph"/>
      </w:pPr>
      <w:hyperlink r:id="rId95">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96"/>
    <w:bookmarkEnd w:id="97"/>
    <w:bookmarkStart w:id="101" w:name="lecture-slides"/>
    <w:p>
      <w:pPr>
        <w:pStyle w:val="Heading1"/>
      </w:pPr>
      <w:r>
        <w:rPr>
          <w:rStyle w:val="SectionNumber"/>
        </w:rPr>
        <w:t xml:space="preserve">5</w:t>
      </w:r>
      <w:r>
        <w:tab/>
      </w:r>
      <w:r>
        <w:t xml:space="preserve">Lecture Slides</w:t>
      </w:r>
    </w:p>
    <w:p>
      <w:pPr>
        <w:numPr>
          <w:ilvl w:val="0"/>
          <w:numId w:val="1025"/>
        </w:numPr>
        <w:pStyle w:val="Compact"/>
      </w:pPr>
      <w:hyperlink r:id="rId98">
        <w:r>
          <w:rPr>
            <w:rStyle w:val="Hyperlink"/>
          </w:rPr>
          <w:t xml:space="preserve">Week 1</w:t>
        </w:r>
      </w:hyperlink>
    </w:p>
    <w:p>
      <w:pPr>
        <w:numPr>
          <w:ilvl w:val="0"/>
          <w:numId w:val="1025"/>
        </w:numPr>
        <w:pStyle w:val="Compact"/>
      </w:pPr>
      <w:hyperlink r:id="rId99">
        <w:r>
          <w:rPr>
            <w:rStyle w:val="Hyperlink"/>
          </w:rPr>
          <w:t xml:space="preserve">Week 2</w:t>
        </w:r>
      </w:hyperlink>
    </w:p>
    <w:p>
      <w:pPr>
        <w:numPr>
          <w:ilvl w:val="0"/>
          <w:numId w:val="1025"/>
        </w:numPr>
        <w:pStyle w:val="Compact"/>
      </w:pPr>
      <w:hyperlink r:id="rId100">
        <w:r>
          <w:rPr>
            <w:rStyle w:val="Hyperlink"/>
          </w:rPr>
          <w:t xml:space="preserve">Week 3</w:t>
        </w:r>
      </w:hyperlink>
    </w:p>
    <w:bookmarkEnd w:id="101"/>
    <w:bookmarkStart w:id="103" w:name="about-the-authors"/>
    <w:p>
      <w:pPr>
        <w:pStyle w:val="Heading1"/>
      </w:pPr>
      <w:r>
        <w:t xml:space="preserve">About the Authors</w:t>
      </w:r>
    </w:p>
    <w:p>
      <w:pPr>
        <w:pStyle w:val="FirstParagraph"/>
      </w:pPr>
      <w:r>
        <w:t xml:space="preserve">These credits are based on our</w:t>
      </w:r>
      <w:r>
        <w:t xml:space="preserve"> </w:t>
      </w:r>
      <w:hyperlink r:id="rId10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3"/>
    <w:bookmarkStart w:id="104" w:name="references"/>
    <w:p>
      <w:pPr>
        <w:pStyle w:val="Heading1"/>
      </w:pPr>
      <w:r>
        <w:rPr>
          <w:rStyle w:val="SectionNumber"/>
        </w:rPr>
        <w:t xml:space="preserve">6</w:t>
      </w:r>
      <w:r>
        <w:tab/>
      </w:r>
      <w:r>
        <w:t xml:space="preserve">References</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00" Target="https://docs.google.com/presentation/d/1aPvP95l80Hqgir6xosX0Js_NICTYW52adOXtuF_zv8E/edit?usp=sharing" TargetMode="External" /><Relationship Type="http://schemas.openxmlformats.org/officeDocument/2006/relationships/hyperlink" Id="rId98" Target="https://docs.google.com/presentation/d/1xdNvB5BIjlm1EAbDGl9JsDbymq2KxQrbLJK9qVbEylE/edit?usp=sharing" TargetMode="External" /><Relationship Type="http://schemas.openxmlformats.org/officeDocument/2006/relationships/hyperlink" Id="rId99" Target="https://docs.google.com/presentation/d/1ypVo05HCgJ8auor2Qv_kToCBSUINbv4DiFJEsNADre8/edit?usp=sharing" TargetMode="External" /><Relationship Type="http://schemas.openxmlformats.org/officeDocument/2006/relationships/hyperlink" Id="rId92" Target="https://drive.google.com/file/d/1GSxjUHitzkV_I2-RWrmWfIO8x_bM8LOG/view?usp=sharing" TargetMode="External" /><Relationship Type="http://schemas.openxmlformats.org/officeDocument/2006/relationships/hyperlink" Id="rId93" Target="https://drive.google.com/file/d/1Pq-DRC0YeMTUTzMeLHVZWPYQO0jYmBqX/view?usp=sharing" TargetMode="External" /><Relationship Type="http://schemas.openxmlformats.org/officeDocument/2006/relationships/hyperlink" Id="rId91" Target="https://drive.google.com/file/d/1VzyxeNxXVvuGkKtKw7HLozcdOM70Ojrr/view?usp=sharing" TargetMode="External" /><Relationship Type="http://schemas.openxmlformats.org/officeDocument/2006/relationships/hyperlink" Id="rId95"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9" Target="https://www.nature.com/articles/s41598-020-71400-4" TargetMode="External" /><Relationship Type="http://schemas.openxmlformats.org/officeDocument/2006/relationships/hyperlink" Id="rId102" Target="https://www.ottrproject.org/more_features.html#giving-credits-to-contributors" TargetMode="External" /><Relationship Type="http://schemas.openxmlformats.org/officeDocument/2006/relationships/hyperlink" Id="rId84"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00" Target="https://docs.google.com/presentation/d/1aPvP95l80Hqgir6xosX0Js_NICTYW52adOXtuF_zv8E/edit?usp=sharing" TargetMode="External" /><Relationship Type="http://schemas.openxmlformats.org/officeDocument/2006/relationships/hyperlink" Id="rId98" Target="https://docs.google.com/presentation/d/1xdNvB5BIjlm1EAbDGl9JsDbymq2KxQrbLJK9qVbEylE/edit?usp=sharing" TargetMode="External" /><Relationship Type="http://schemas.openxmlformats.org/officeDocument/2006/relationships/hyperlink" Id="rId99" Target="https://docs.google.com/presentation/d/1ypVo05HCgJ8auor2Qv_kToCBSUINbv4DiFJEsNADre8/edit?usp=sharing" TargetMode="External" /><Relationship Type="http://schemas.openxmlformats.org/officeDocument/2006/relationships/hyperlink" Id="rId92" Target="https://drive.google.com/file/d/1GSxjUHitzkV_I2-RWrmWfIO8x_bM8LOG/view?usp=sharing" TargetMode="External" /><Relationship Type="http://schemas.openxmlformats.org/officeDocument/2006/relationships/hyperlink" Id="rId93" Target="https://drive.google.com/file/d/1Pq-DRC0YeMTUTzMeLHVZWPYQO0jYmBqX/view?usp=sharing" TargetMode="External" /><Relationship Type="http://schemas.openxmlformats.org/officeDocument/2006/relationships/hyperlink" Id="rId91" Target="https://drive.google.com/file/d/1VzyxeNxXVvuGkKtKw7HLozcdOM70Ojrr/view?usp=sharing" TargetMode="External" /><Relationship Type="http://schemas.openxmlformats.org/officeDocument/2006/relationships/hyperlink" Id="rId95"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9" Target="https://www.nature.com/articles/s41598-020-71400-4" TargetMode="External" /><Relationship Type="http://schemas.openxmlformats.org/officeDocument/2006/relationships/hyperlink" Id="rId102" Target="https://www.ottrproject.org/more_features.html#giving-credits-to-contributors" TargetMode="External" /><Relationship Type="http://schemas.openxmlformats.org/officeDocument/2006/relationships/hyperlink" Id="rId84"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2023-11-28T20:49:07Z</dcterms:created>
  <dcterms:modified xsi:type="dcterms:W3CDTF">2023-11-28T20:49:07Z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