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9"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End w:id="59"/>
    <w:bookmarkStart w:id="64"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63" w:name="week-2---selection-and-sweeps"/>
    <w:p>
      <w:pPr>
        <w:pStyle w:val="Heading3"/>
      </w:pPr>
      <w:r>
        <w:rPr>
          <w:rStyle w:val="SectionNumber"/>
        </w:rPr>
        <w:t xml:space="preserve">4.0.1</w:t>
      </w:r>
      <w:r>
        <w:tab/>
      </w:r>
      <w:r>
        <w:t xml:space="preserve">Week 2 - Selection and Sweeps</w:t>
      </w:r>
    </w:p>
    <w:p>
      <w:pPr>
        <w:pStyle w:val="FirstParagraph"/>
      </w:pPr>
      <w:hyperlink r:id="rId60">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1">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2">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63"/>
    <w:bookmarkEnd w:id="64"/>
    <w:bookmarkStart w:id="67" w:name="lecture-slides"/>
    <w:p>
      <w:pPr>
        <w:pStyle w:val="Heading1"/>
      </w:pPr>
      <w:r>
        <w:rPr>
          <w:rStyle w:val="SectionNumber"/>
        </w:rPr>
        <w:t xml:space="preserve">5</w:t>
      </w:r>
      <w:r>
        <w:tab/>
      </w:r>
      <w:r>
        <w:t xml:space="preserve">Lecture Slides</w:t>
      </w:r>
    </w:p>
    <w:p>
      <w:pPr>
        <w:numPr>
          <w:ilvl w:val="0"/>
          <w:numId w:val="1014"/>
        </w:numPr>
        <w:pStyle w:val="Compact"/>
      </w:pPr>
      <w:hyperlink r:id="rId65">
        <w:r>
          <w:rPr>
            <w:rStyle w:val="Hyperlink"/>
          </w:rPr>
          <w:t xml:space="preserve">Week 1</w:t>
        </w:r>
      </w:hyperlink>
    </w:p>
    <w:p>
      <w:pPr>
        <w:numPr>
          <w:ilvl w:val="0"/>
          <w:numId w:val="1014"/>
        </w:numPr>
        <w:pStyle w:val="Compact"/>
      </w:pPr>
      <w:hyperlink r:id="rId66">
        <w:r>
          <w:rPr>
            <w:rStyle w:val="Hyperlink"/>
          </w:rPr>
          <w:t xml:space="preserve">Week 2</w:t>
        </w:r>
      </w:hyperlink>
    </w:p>
    <w:bookmarkEnd w:id="67"/>
    <w:bookmarkStart w:id="69"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0" w:name="references"/>
    <w:p>
      <w:pPr>
        <w:pStyle w:val="Heading1"/>
      </w:pPr>
      <w:r>
        <w:rPr>
          <w:rStyle w:val="SectionNumber"/>
        </w:rPr>
        <w:t xml:space="preserve">6</w:t>
      </w:r>
      <w:r>
        <w:tab/>
      </w:r>
      <w:r>
        <w:t xml:space="preserve">References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6" Target="https://docs.google.com/presentation/d/1ypVo05HCgJ8auor2Qv_kToCBSUINbv4DiFJEsNADre8/edit?usp=sharing" TargetMode="External" /><Relationship Type="http://schemas.openxmlformats.org/officeDocument/2006/relationships/hyperlink" Id="rId61" Target="https://drive.google.com/file/d/1GSxjUHitzkV_I2-RWrmWfIO8x_bM8LOG/view?usp=sharing" TargetMode="External" /><Relationship Type="http://schemas.openxmlformats.org/officeDocument/2006/relationships/hyperlink" Id="rId62" Target="https://drive.google.com/file/d/1Pq-DRC0YeMTUTzMeLHVZWPYQO0jYmBqX/view?usp=sharing" TargetMode="External" /><Relationship Type="http://schemas.openxmlformats.org/officeDocument/2006/relationships/hyperlink" Id="rId60" Target="https://drive.google.com/file/d/1VzyxeNxXVvuGkKtKw7HLozcdOM70Ojrr/view?usp=sharing"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6" Target="https://docs.google.com/presentation/d/1ypVo05HCgJ8auor2Qv_kToCBSUINbv4DiFJEsNADre8/edit?usp=sharing" TargetMode="External" /><Relationship Type="http://schemas.openxmlformats.org/officeDocument/2006/relationships/hyperlink" Id="rId61" Target="https://drive.google.com/file/d/1GSxjUHitzkV_I2-RWrmWfIO8x_bM8LOG/view?usp=sharing" TargetMode="External" /><Relationship Type="http://schemas.openxmlformats.org/officeDocument/2006/relationships/hyperlink" Id="rId62" Target="https://drive.google.com/file/d/1Pq-DRC0YeMTUTzMeLHVZWPYQO0jYmBqX/view?usp=sharing" TargetMode="External" /><Relationship Type="http://schemas.openxmlformats.org/officeDocument/2006/relationships/hyperlink" Id="rId60" Target="https://drive.google.com/file/d/1VzyxeNxXVvuGkKtKw7HLozcdOM70Ojrr/view?usp=sharing"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2023-11-07T19:29:12Z</dcterms:created>
  <dcterms:modified xsi:type="dcterms:W3CDTF">2023-11-07T19:29:12Z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