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 xml:space="preserve">Suggest give an example or two of what you mean, and why that </w:t>
            </w:r>
            <w:proofErr w:type="spellStart"/>
            <w:r w:rsidRPr="00573011">
              <w:t>occured</w:t>
            </w:r>
            <w:proofErr w:type="spellEnd"/>
            <w:r w:rsidRPr="00573011">
              <w:t>.</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bookmarkStart w:id="0" w:name="_GoBack"/>
            <w:bookmarkEnd w:id="0"/>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w:t>
            </w:r>
            <w:proofErr w:type="spellStart"/>
            <w:r w:rsidRPr="00573011">
              <w:t>Theoden</w:t>
            </w:r>
            <w:proofErr w:type="spellEnd"/>
            <w:r w:rsidRPr="00573011">
              <w:t xml:space="preserve">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7D32E843" w:rsidR="002A30CB" w:rsidRPr="00573011" w:rsidRDefault="002A30CB" w:rsidP="002A30CB"/>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 xml:space="preserve">Suggest a table of notation. One column for symbol or "name" and another for units, and finally a descriptor for all quantities in the doc.  You could separate them by data, parameter, and constant.  Oh yes, and index, like </w:t>
            </w:r>
            <w:proofErr w:type="spellStart"/>
            <w:r w:rsidRPr="00573011">
              <w:t>i</w:t>
            </w:r>
            <w:proofErr w:type="spellEnd"/>
            <w:r w:rsidRPr="00573011">
              <w:t xml:space="preserve">, j, k indicating their respective ranges, e.g., </w:t>
            </w:r>
            <w:proofErr w:type="spellStart"/>
            <w:r w:rsidRPr="00573011">
              <w:t>i</w:t>
            </w:r>
            <w:proofErr w:type="spellEnd"/>
            <w:r w:rsidRPr="00573011">
              <w:t>=1.,...,N,  e.g., j=1,...,</w:t>
            </w:r>
            <w:proofErr w:type="spellStart"/>
            <w:r w:rsidRPr="00573011">
              <w:t>N_i</w:t>
            </w:r>
            <w:proofErr w:type="spellEnd"/>
            <w:r w:rsidRPr="00573011">
              <w:t>,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w:t>
            </w:r>
            <w:proofErr w:type="spellStart"/>
            <w:r w:rsidRPr="00573011">
              <w:t>pfemale</w:t>
            </w:r>
            <w:proofErr w:type="spellEnd"/>
            <w:r w:rsidRPr="00573011">
              <w:t xml:space="preserve">=0.5.  </w:t>
            </w:r>
            <w:proofErr w:type="spellStart"/>
            <w:r w:rsidRPr="00573011">
              <w:t>Ain't</w:t>
            </w:r>
            <w:proofErr w:type="spellEnd"/>
            <w:r w:rsidRPr="00573011">
              <w:t xml:space="preserve"> </w:t>
            </w:r>
            <w:proofErr w:type="spellStart"/>
            <w:r w:rsidRPr="00573011">
              <w:t>gonna</w:t>
            </w:r>
            <w:proofErr w:type="spellEnd"/>
            <w:r w:rsidRPr="00573011">
              <w:t xml:space="preserve"> </w:t>
            </w:r>
            <w:r w:rsidRPr="00573011">
              <w:lastRenderedPageBreak/>
              <w:t>be neat and tidy if it doesn't.</w:t>
            </w:r>
          </w:p>
          <w:p w14:paraId="498CFBDB" w14:textId="09D58DE5" w:rsidR="002A30CB" w:rsidRPr="00573011" w:rsidRDefault="00821229" w:rsidP="00821229">
            <w:r w:rsidRPr="00573011">
              <w:t xml:space="preserve">Is </w:t>
            </w:r>
            <w:proofErr w:type="spellStart"/>
            <w:r w:rsidRPr="00573011">
              <w:t>pFemale</w:t>
            </w:r>
            <w:proofErr w:type="spellEnd"/>
            <w:r w:rsidRPr="00573011">
              <w:t xml:space="preserve">=0.5, within statistical significance </w:t>
            </w:r>
            <w:proofErr w:type="spellStart"/>
            <w:r w:rsidRPr="00573011">
              <w:t>coastwide</w:t>
            </w:r>
            <w:proofErr w:type="spellEnd"/>
            <w:r w:rsidRPr="00573011">
              <w:t>?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 xml:space="preserve">Not sure how to (or if I should) address the </w:t>
            </w:r>
            <w:proofErr w:type="spellStart"/>
            <w:r>
              <w:t>pFemale</w:t>
            </w:r>
            <w:proofErr w:type="spellEnd"/>
            <w:r>
              <w:t xml:space="preserv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77777777" w:rsidR="002A30CB" w:rsidRPr="00573011" w:rsidRDefault="002A30CB" w:rsidP="002A30CB"/>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77777777" w:rsidR="002A30CB" w:rsidRPr="00573011" w:rsidRDefault="002A30CB" w:rsidP="002A30CB"/>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 xml:space="preserve">Remember you can use "dot" notation in subscripts to indicate summation over that subscript.  e.g., if you have a variable </w:t>
            </w:r>
            <w:proofErr w:type="spellStart"/>
            <w:r w:rsidRPr="00573011">
              <w:rPr>
                <w:rFonts w:cs="Segoe UI"/>
                <w:color w:val="000000"/>
              </w:rPr>
              <w:t>X_ij</w:t>
            </w:r>
            <w:proofErr w:type="spellEnd"/>
            <w:r w:rsidRPr="00573011">
              <w:rPr>
                <w:rFonts w:cs="Segoe UI"/>
                <w:color w:val="000000"/>
              </w:rPr>
              <w:t xml:space="preserve">, then </w:t>
            </w:r>
            <w:proofErr w:type="spellStart"/>
            <w:r w:rsidRPr="00573011">
              <w:rPr>
                <w:rFonts w:cs="Segoe UI"/>
                <w:color w:val="000000"/>
              </w:rPr>
              <w:t>X_i</w:t>
            </w:r>
            <w:proofErr w:type="spellEnd"/>
            <w:r w:rsidRPr="00573011">
              <w:rPr>
                <w:rFonts w:cs="Segoe UI"/>
                <w:color w:val="000000"/>
              </w:rPr>
              <w:t>.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4AB72C5A" w:rsidR="002A30CB" w:rsidRPr="00573011" w:rsidRDefault="002A30CB" w:rsidP="002A30CB"/>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7294C74E" w:rsidR="002A30CB" w:rsidRPr="00573011" w:rsidRDefault="002A30CB" w:rsidP="002A30CB"/>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77777777" w:rsidR="002A30CB" w:rsidRPr="00573011" w:rsidRDefault="002A30CB" w:rsidP="002A30CB"/>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 xml:space="preserve">Suggest redoing table with all notation for the section.  You have "indices", each of which has notation and a range, e.g., j=1,..., J.  You have variables like </w:t>
            </w:r>
            <w:proofErr w:type="spellStart"/>
            <w:r w:rsidRPr="00573011">
              <w:t>Layers_i</w:t>
            </w:r>
            <w:proofErr w:type="spellEnd"/>
            <w:r w:rsidRPr="00573011">
              <w:t>.  All have a descriptor.</w:t>
            </w:r>
          </w:p>
        </w:tc>
        <w:tc>
          <w:tcPr>
            <w:tcW w:w="4158" w:type="dxa"/>
          </w:tcPr>
          <w:p w14:paraId="7D4983A6" w14:textId="6CECED6B" w:rsidR="002A30CB" w:rsidRPr="00573011" w:rsidRDefault="002A30CB" w:rsidP="002A30CB"/>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proofErr w:type="spellStart"/>
            <w:r w:rsidRPr="00573011">
              <w:t>EggLyrs</w:t>
            </w:r>
            <w:proofErr w:type="spellEnd"/>
            <w:r w:rsidRPr="00573011">
              <w:t xml:space="preserve"> has a subscript j.  Thus, </w:t>
            </w:r>
            <w:proofErr w:type="spellStart"/>
            <w:r w:rsidRPr="00573011">
              <w:t>EggLyrs_ij</w:t>
            </w:r>
            <w:proofErr w:type="spellEnd"/>
            <w:r w:rsidRPr="00573011">
              <w:t xml:space="preserve"> is correct.  Watch for other instances at various levels of the sampling hierarchy.  If you want to suppress a particular dimension, tell the reader you are doing so.</w:t>
            </w:r>
          </w:p>
        </w:tc>
        <w:tc>
          <w:tcPr>
            <w:tcW w:w="4158" w:type="dxa"/>
          </w:tcPr>
          <w:p w14:paraId="1DA0AD66" w14:textId="77777777" w:rsidR="002A30CB" w:rsidRDefault="00F41B62" w:rsidP="002A30CB">
            <w:r>
              <w:t>Working on this..</w:t>
            </w:r>
          </w:p>
          <w:p w14:paraId="13AB3C07" w14:textId="77777777" w:rsidR="00FF4A92" w:rsidRDefault="00FF4A92" w:rsidP="002A30CB"/>
          <w:p w14:paraId="24114A4C" w14:textId="61950D9E" w:rsidR="00FF4A92" w:rsidRPr="00573011" w:rsidRDefault="00CF2479" w:rsidP="00CF2479">
            <w:r>
              <w:t xml:space="preserve">Working on </w:t>
            </w:r>
            <w:r w:rsidR="00FF4A92">
              <w:t xml:space="preserve">notes that we suppress subscripts for spawn survey type x, location l, SAR r, and year y at the start of the sections for surface, </w:t>
            </w:r>
            <w:proofErr w:type="spellStart"/>
            <w:r w:rsidR="00FF4A92">
              <w:t>Macrocystis</w:t>
            </w:r>
            <w:proofErr w:type="spellEnd"/>
            <w:r w:rsidR="00FF4A92">
              <w:t>, and understory spawn calculations.</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77777777" w:rsidR="002A30CB" w:rsidRPr="00573011" w:rsidRDefault="002A30CB" w:rsidP="002A30CB"/>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 xml:space="preserve">Why this comment?  It is cryptic, is there a mistake in </w:t>
            </w:r>
            <w:proofErr w:type="spellStart"/>
            <w:r w:rsidRPr="00573011">
              <w:t>Scweigert</w:t>
            </w:r>
            <w:proofErr w:type="spellEnd"/>
            <w:r w:rsidRPr="00573011">
              <w:t xml:space="preserve">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proofErr w:type="spellStart"/>
            <w:r w:rsidRPr="00573011">
              <w:t>EggDens</w:t>
            </w:r>
            <w:proofErr w:type="spellEnd"/>
            <w:r w:rsidRPr="00573011">
              <w:t xml:space="preserve"> has a subscript s....</w:t>
            </w:r>
          </w:p>
          <w:p w14:paraId="225B0E89" w14:textId="77777777" w:rsidR="00E84A90" w:rsidRPr="00573011" w:rsidRDefault="00E84A90" w:rsidP="00E84A90"/>
          <w:p w14:paraId="6F3F8CF2" w14:textId="1A4962EE" w:rsidR="002A30CB" w:rsidRPr="00573011" w:rsidRDefault="00E84A90" w:rsidP="00E84A90">
            <w:r w:rsidRPr="00573011">
              <w:lastRenderedPageBreak/>
              <w:t>Maybe look in a survey sampling book for 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3FFCB43" w:rsidR="002A30CB" w:rsidRPr="00573011" w:rsidRDefault="002A30CB" w:rsidP="002A30CB"/>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77777777" w:rsidR="00E84A90" w:rsidRPr="00573011" w:rsidRDefault="00E84A90" w:rsidP="002A30CB"/>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 xml:space="preserve">P has a bunch of subscripts.... within "sample", within transect, within section, within location, etc.  Tell your reader when you are suppressing subscripts and which ones.  This looks as </w:t>
            </w:r>
            <w:proofErr w:type="spellStart"/>
            <w:r w:rsidRPr="00573011">
              <w:rPr>
                <w:rFonts w:cs="Segoe UI"/>
                <w:color w:val="000000"/>
              </w:rPr>
              <w:t>tho</w:t>
            </w:r>
            <w:proofErr w:type="spellEnd"/>
            <w:r w:rsidRPr="00573011">
              <w:rPr>
                <w:rFonts w:cs="Segoe UI"/>
                <w:color w:val="000000"/>
              </w:rPr>
              <w:t xml:space="preserve"> there are the same number of plants P in each sub-unit.  Same for T.  Your notation table should define them, then in text you could say you are suppressing subscripts corresponding to x, y, z.  etc.</w:t>
            </w:r>
          </w:p>
        </w:tc>
        <w:tc>
          <w:tcPr>
            <w:tcW w:w="4158" w:type="dxa"/>
          </w:tcPr>
          <w:p w14:paraId="275419EE" w14:textId="27F772E9" w:rsidR="00E84A90" w:rsidRPr="00573011" w:rsidRDefault="00E84A90" w:rsidP="002A30CB"/>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77777777" w:rsidR="00E84A90" w:rsidRPr="00573011" w:rsidRDefault="00E84A90" w:rsidP="002A30CB"/>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t>
            </w:r>
            <w:r w:rsidRPr="00573011">
              <w:rPr>
                <w:rFonts w:cs="Segoe UI"/>
                <w:color w:val="000000"/>
              </w:rPr>
              <w:lastRenderedPageBreak/>
              <w:t>what the observed variables are, then the major steps to move from observed data to some summary statistic.</w:t>
            </w:r>
          </w:p>
        </w:tc>
        <w:tc>
          <w:tcPr>
            <w:tcW w:w="4158" w:type="dxa"/>
          </w:tcPr>
          <w:p w14:paraId="291A2D8F" w14:textId="77777777" w:rsidR="00E84A90" w:rsidRPr="00573011" w:rsidRDefault="00E84A90" w:rsidP="002A30CB"/>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 xml:space="preserve">Actually, </w:t>
            </w:r>
            <w:proofErr w:type="spellStart"/>
            <w:r w:rsidRPr="00573011">
              <w:rPr>
                <w:rFonts w:cs="Segoe UI"/>
                <w:color w:val="000000"/>
              </w:rPr>
              <w:t>Swath_t</w:t>
            </w:r>
            <w:proofErr w:type="spellEnd"/>
            <w:r w:rsidRPr="00573011">
              <w:rPr>
                <w:rFonts w:cs="Segoe UI"/>
                <w:color w:val="000000"/>
              </w:rPr>
              <w:t xml:space="preserve">.  It just </w:t>
            </w:r>
            <w:proofErr w:type="spellStart"/>
            <w:r w:rsidRPr="00573011">
              <w:rPr>
                <w:rFonts w:cs="Segoe UI"/>
                <w:color w:val="000000"/>
              </w:rPr>
              <w:t>happenes</w:t>
            </w:r>
            <w:proofErr w:type="spellEnd"/>
            <w:r w:rsidRPr="00573011">
              <w:rPr>
                <w:rFonts w:cs="Segoe UI"/>
                <w:color w:val="000000"/>
              </w:rPr>
              <w:t xml:space="preserve">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77777777" w:rsidR="00E84A90" w:rsidRPr="00573011" w:rsidRDefault="00E84A90" w:rsidP="002A30CB"/>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77777777" w:rsidR="00E84A90" w:rsidRPr="00573011" w:rsidRDefault="00E84A90" w:rsidP="002A30CB"/>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77777777" w:rsidR="00E84A90" w:rsidRPr="00573011" w:rsidRDefault="00E84A90" w:rsidP="002A30CB"/>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w:t>
            </w:r>
            <w:proofErr w:type="spellStart"/>
            <w:r w:rsidRPr="00573011">
              <w:rPr>
                <w:rFonts w:cs="Segoe UI"/>
                <w:color w:val="000000"/>
              </w:rPr>
              <w:t>tada</w:t>
            </w:r>
            <w:proofErr w:type="spellEnd"/>
            <w:r w:rsidRPr="00573011">
              <w:rPr>
                <w:rFonts w:cs="Segoe UI"/>
                <w:color w:val="000000"/>
              </w:rPr>
              <w:t>" here is how it is done.</w:t>
            </w:r>
          </w:p>
        </w:tc>
        <w:tc>
          <w:tcPr>
            <w:tcW w:w="4158" w:type="dxa"/>
          </w:tcPr>
          <w:p w14:paraId="55B5068F" w14:textId="77777777" w:rsidR="00E84A90" w:rsidRPr="00573011" w:rsidRDefault="00E84A90" w:rsidP="002A30CB"/>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 xml:space="preserve">What happens if there is more than one </w:t>
            </w:r>
            <w:proofErr w:type="spellStart"/>
            <w:r w:rsidRPr="00573011">
              <w:rPr>
                <w:rFonts w:cs="Segoe UI"/>
                <w:color w:val="000000"/>
              </w:rPr>
              <w:t>Macrocystis</w:t>
            </w:r>
            <w:proofErr w:type="spellEnd"/>
            <w:r w:rsidRPr="00573011">
              <w:rPr>
                <w:rFonts w:cs="Segoe UI"/>
                <w:color w:val="000000"/>
              </w:rPr>
              <w:t xml:space="preserve"> bed in the spawn?  Don't you need another subscript for the bed.... b=1,..., B_s ?</w:t>
            </w:r>
          </w:p>
        </w:tc>
        <w:tc>
          <w:tcPr>
            <w:tcW w:w="4158" w:type="dxa"/>
          </w:tcPr>
          <w:p w14:paraId="31860A7A" w14:textId="6E0DF7E3" w:rsidR="00E84A90" w:rsidRPr="00573011" w:rsidRDefault="00965311" w:rsidP="00965311">
            <w:r>
              <w:t xml:space="preserve">Done. No, the spawn number is specific for the spawn type (surface, macro, under) – so each type has it’s own spawn number within the Location. I think this is clear from text I added under the Sampling Protocol section: “Spawns are numbered s = 1 , 2 , 3 , ..., </w:t>
            </w:r>
            <w:proofErr w:type="spellStart"/>
            <w:r>
              <w:t>S_lxy</w:t>
            </w:r>
            <w:proofErr w:type="spellEnd"/>
            <w:r>
              <w:t xml:space="preserve"> where </w:t>
            </w:r>
            <w:proofErr w:type="spellStart"/>
            <w:r>
              <w:t>S_lxy</w:t>
            </w:r>
            <w:proofErr w:type="spellEnd"/>
            <w:r>
              <w:t xml:space="preserve"> is the number of spawns at a given Location l for a given spawn survey type x (e.g., surface, </w:t>
            </w:r>
            <w:proofErr w:type="spellStart"/>
            <w:r>
              <w:t>Macrocystis</w:t>
            </w:r>
            <w:proofErr w:type="spellEnd"/>
            <w:r>
              <w:t>,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 xml:space="preserve">And how might Area be calculated?  As </w:t>
            </w:r>
            <w:proofErr w:type="spellStart"/>
            <w:r w:rsidRPr="00573011">
              <w:rPr>
                <w:rFonts w:cs="Segoe UI"/>
                <w:color w:val="000000"/>
              </w:rPr>
              <w:t>LengthMacro_s</w:t>
            </w:r>
            <w:proofErr w:type="spellEnd"/>
            <w:r w:rsidRPr="00573011">
              <w:rPr>
                <w:rFonts w:cs="Segoe UI"/>
                <w:color w:val="000000"/>
              </w:rPr>
              <w:t xml:space="preserve">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2D89F64D" w14:textId="77777777" w:rsidR="00E84A90" w:rsidRPr="00573011" w:rsidRDefault="00E84A90" w:rsidP="002A30CB"/>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77777777" w:rsidR="00E84A90" w:rsidRPr="00573011" w:rsidRDefault="00E84A90" w:rsidP="002A30CB"/>
        </w:tc>
      </w:tr>
      <w:tr w:rsidR="00E84A90" w:rsidRPr="00573011" w14:paraId="299F9A22" w14:textId="77777777" w:rsidTr="0052097E">
        <w:tc>
          <w:tcPr>
            <w:tcW w:w="1458" w:type="dxa"/>
          </w:tcPr>
          <w:p w14:paraId="71AF11C9" w14:textId="104D1AFD" w:rsidR="00E84A90" w:rsidRPr="00573011" w:rsidRDefault="000434DC" w:rsidP="002A30CB">
            <w:r w:rsidRPr="00573011">
              <w:lastRenderedPageBreak/>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OK, so there are two ways to do this.  Sum the stalks, total the plants, and divide as shown here.  The other way is the mean of the stalks per plant.  Like ratio of means OR mean of ratios estimators for CPUE.  Justification for this choice?</w:t>
            </w:r>
          </w:p>
        </w:tc>
        <w:tc>
          <w:tcPr>
            <w:tcW w:w="4158" w:type="dxa"/>
          </w:tcPr>
          <w:p w14:paraId="0D8104BE" w14:textId="77777777" w:rsidR="00E84A90" w:rsidRPr="00573011" w:rsidRDefault="00E84A90" w:rsidP="002A30CB"/>
        </w:tc>
      </w:tr>
      <w:tr w:rsidR="00E84A90" w:rsidRPr="00573011" w14:paraId="5DAD7D62" w14:textId="77777777" w:rsidTr="0052097E">
        <w:tc>
          <w:tcPr>
            <w:tcW w:w="1458" w:type="dxa"/>
          </w:tcPr>
          <w:p w14:paraId="71D254E8" w14:textId="0292794B" w:rsidR="00E84A90" w:rsidRPr="00573011" w:rsidRDefault="000434DC" w:rsidP="002A30CB">
            <w:r w:rsidRPr="00573011">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77777777" w:rsidR="00E84A90" w:rsidRPr="00573011" w:rsidRDefault="00E84A90" w:rsidP="002A30CB"/>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77777777" w:rsidR="00E84A90" w:rsidRPr="00573011" w:rsidRDefault="00E84A90" w:rsidP="002A30CB"/>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77777777" w:rsidR="00E84A90" w:rsidRPr="00573011" w:rsidRDefault="00E84A90" w:rsidP="002A30CB"/>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77777777" w:rsidR="00E84A90" w:rsidRPr="00573011" w:rsidRDefault="00E84A90" w:rsidP="002A30CB"/>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77777777" w:rsidR="00E84A90" w:rsidRPr="00573011" w:rsidRDefault="00E84A90" w:rsidP="002A30CB"/>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77777777" w:rsidR="00E84A90" w:rsidRPr="00573011" w:rsidRDefault="00E84A90" w:rsidP="002A30CB"/>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7777777" w:rsidR="00E84A90" w:rsidRPr="00573011" w:rsidRDefault="00E84A90" w:rsidP="002A30CB"/>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 xml:space="preserve">equation.  </w:t>
            </w:r>
            <w:proofErr w:type="spellStart"/>
            <w:r w:rsidRPr="00573011">
              <w:rPr>
                <w:rFonts w:cs="Segoe UI"/>
                <w:color w:val="000000"/>
              </w:rPr>
              <w:t>EggDens_q</w:t>
            </w:r>
            <w:proofErr w:type="spellEnd"/>
            <w:r w:rsidRPr="00573011">
              <w:rPr>
                <w:rFonts w:cs="Segoe UI"/>
                <w:color w:val="000000"/>
              </w:rPr>
              <w:t xml:space="preserve"> happened to be a few lines above, but others won't be....</w:t>
            </w:r>
          </w:p>
        </w:tc>
        <w:tc>
          <w:tcPr>
            <w:tcW w:w="4158" w:type="dxa"/>
          </w:tcPr>
          <w:p w14:paraId="67FD63E9" w14:textId="77777777" w:rsidR="00E84A90" w:rsidRPr="00573011" w:rsidRDefault="00E84A90" w:rsidP="002A30CB"/>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proofErr w:type="spellStart"/>
            <w:r w:rsidRPr="00573011">
              <w:t>EggDens_q</w:t>
            </w:r>
            <w:proofErr w:type="spellEnd"/>
            <w:r w:rsidRPr="00573011">
              <w:t xml:space="preserve">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77777777" w:rsidR="00E84A90" w:rsidRPr="00573011" w:rsidRDefault="00E84A90" w:rsidP="002A30CB"/>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77777777" w:rsidR="00E84A90" w:rsidRPr="00573011" w:rsidRDefault="00E84A90" w:rsidP="002A30CB"/>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77777777" w:rsidR="00E84A90" w:rsidRPr="00573011" w:rsidRDefault="00E84A90" w:rsidP="002A30CB"/>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77777777" w:rsidR="00E84A90" w:rsidRPr="00573011" w:rsidRDefault="00E84A90" w:rsidP="002A30CB"/>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 xml:space="preserve">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w:t>
            </w:r>
            <w:proofErr w:type="spellStart"/>
            <w:r w:rsidRPr="00573011">
              <w:rPr>
                <w:rFonts w:cs="Segoe UI"/>
                <w:color w:val="000000"/>
              </w:rPr>
              <w:t>etc</w:t>
            </w:r>
            <w:proofErr w:type="spellEnd"/>
            <w:r w:rsidRPr="00573011">
              <w:rPr>
                <w:rFonts w:cs="Segoe UI"/>
                <w:color w:val="000000"/>
              </w:rPr>
              <w:t>,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 xml:space="preserve">The sentence reads as </w:t>
            </w:r>
            <w:proofErr w:type="spellStart"/>
            <w:r w:rsidRPr="00573011">
              <w:t>tho</w:t>
            </w:r>
            <w:proofErr w:type="spellEnd"/>
            <w:r w:rsidRPr="00573011">
              <w:t xml:space="preserve">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77777777" w:rsidR="00E84A90" w:rsidRPr="00573011" w:rsidRDefault="00E84A90" w:rsidP="002A30CB"/>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77777777" w:rsidR="00E84A90" w:rsidRPr="00573011" w:rsidRDefault="00E84A90" w:rsidP="002A30CB"/>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77777777" w:rsidR="00E84A90" w:rsidRPr="00573011" w:rsidRDefault="00E84A90" w:rsidP="002A30CB"/>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0B3B9058" w14:textId="77777777" w:rsidR="00E84A90" w:rsidRPr="00573011" w:rsidRDefault="00E84A90" w:rsidP="002A30CB"/>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7777777" w:rsidR="00E84A90" w:rsidRPr="00573011" w:rsidRDefault="00E84A90" w:rsidP="002A30CB"/>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7777777" w:rsidR="00E84A90" w:rsidRPr="00573011" w:rsidRDefault="00E84A90" w:rsidP="002A30CB"/>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77777777" w:rsidR="00E84A90" w:rsidRPr="00573011" w:rsidRDefault="00E84A90" w:rsidP="002A30CB"/>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7777777" w:rsidR="00E84A90" w:rsidRPr="00573011" w:rsidRDefault="00E84A90" w:rsidP="002A30CB"/>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77777777" w:rsidR="00E84A90" w:rsidRPr="00573011" w:rsidRDefault="00E84A90" w:rsidP="002A30CB"/>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calculations most sensitive to?  Then you </w:t>
            </w:r>
            <w:r w:rsidRPr="00573011">
              <w:rPr>
                <w:rFonts w:cs="Segoe UI"/>
                <w:color w:val="000000"/>
              </w:rPr>
              <w:lastRenderedPageBreak/>
              <w:t>know where to invest in data and analysis.  But as there is a feedback simulation, you can also see if it matters to the decision before you do...</w:t>
            </w:r>
          </w:p>
        </w:tc>
        <w:tc>
          <w:tcPr>
            <w:tcW w:w="4158" w:type="dxa"/>
          </w:tcPr>
          <w:p w14:paraId="098C0512" w14:textId="77777777" w:rsidR="00E84A90" w:rsidRPr="00573011" w:rsidRDefault="00E84A90" w:rsidP="002A30CB"/>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7777777" w:rsidR="00E84A90" w:rsidRPr="00573011" w:rsidRDefault="00E84A90" w:rsidP="002A30CB"/>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77777777" w:rsidR="00E84A90" w:rsidRPr="00573011" w:rsidRDefault="00E84A90" w:rsidP="002A30CB"/>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probably help.  I view a spawn as a field </w:t>
            </w:r>
            <w:r w:rsidRPr="00573011">
              <w:lastRenderedPageBreak/>
              <w:t>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77777777" w:rsidR="00E84A90" w:rsidRPr="00573011" w:rsidRDefault="00E84A90" w:rsidP="002A30CB"/>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7257A268" w:rsidR="00E84A90" w:rsidRPr="00573011" w:rsidRDefault="00972D96" w:rsidP="00344E04">
            <w:r w:rsidRPr="00573011">
              <w:t xml:space="preserve">Made an issue in the </w:t>
            </w:r>
            <w:proofErr w:type="spellStart"/>
            <w:r w:rsidRPr="00573011">
              <w:t>HerringSpawnIndex</w:t>
            </w:r>
            <w:proofErr w:type="spellEnd"/>
            <w:r w:rsidRPr="00573011">
              <w:t xml:space="preserve"> repo re making an R package.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77777777" w:rsidR="00E84A90" w:rsidRPr="00573011" w:rsidRDefault="00E84A90" w:rsidP="002A30CB"/>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77777777" w:rsidR="00E84A90" w:rsidRPr="00573011" w:rsidRDefault="00E84A90" w:rsidP="002A30CB"/>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5B5912"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So now you need to reassure people that it is standard maintenance to re-measure 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lastRenderedPageBreak/>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 xml:space="preserve">I think what might be happening is that the first season was a reduction of 1 m per 20 m segment.  But the chain kept shrinking in subsequent years of use, and measurements at some point suggested ~15%.  Then, it reads as </w:t>
            </w:r>
            <w:proofErr w:type="spellStart"/>
            <w:r w:rsidRPr="00573011">
              <w:rPr>
                <w:rFonts w:cs="Segoe UI"/>
                <w:color w:val="000000"/>
              </w:rPr>
              <w:t>tho</w:t>
            </w:r>
            <w:proofErr w:type="spellEnd"/>
            <w:r w:rsidRPr="00573011">
              <w:rPr>
                <w:rFonts w:cs="Segoe UI"/>
                <w:color w:val="000000"/>
              </w:rPr>
              <w:t xml:space="preserve">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A12"/>
    <w:rsid w:val="00031BA0"/>
    <w:rsid w:val="000434DC"/>
    <w:rsid w:val="000444FE"/>
    <w:rsid w:val="00047F3B"/>
    <w:rsid w:val="0005050A"/>
    <w:rsid w:val="000516D5"/>
    <w:rsid w:val="000604E0"/>
    <w:rsid w:val="00083B97"/>
    <w:rsid w:val="0008522B"/>
    <w:rsid w:val="00086114"/>
    <w:rsid w:val="00097A55"/>
    <w:rsid w:val="000A4AE9"/>
    <w:rsid w:val="000B49F5"/>
    <w:rsid w:val="000F3427"/>
    <w:rsid w:val="000F78EE"/>
    <w:rsid w:val="00104A56"/>
    <w:rsid w:val="00120AFE"/>
    <w:rsid w:val="0015104E"/>
    <w:rsid w:val="001546CC"/>
    <w:rsid w:val="00167D89"/>
    <w:rsid w:val="001915EE"/>
    <w:rsid w:val="001A4E71"/>
    <w:rsid w:val="001A4FDF"/>
    <w:rsid w:val="001B0F0F"/>
    <w:rsid w:val="001B20D8"/>
    <w:rsid w:val="001E5DC2"/>
    <w:rsid w:val="001E7497"/>
    <w:rsid w:val="001F5B0D"/>
    <w:rsid w:val="00201802"/>
    <w:rsid w:val="00206C65"/>
    <w:rsid w:val="00217CDE"/>
    <w:rsid w:val="00234AB1"/>
    <w:rsid w:val="002543E4"/>
    <w:rsid w:val="00260156"/>
    <w:rsid w:val="002606AD"/>
    <w:rsid w:val="00267391"/>
    <w:rsid w:val="002A30CB"/>
    <w:rsid w:val="002B121C"/>
    <w:rsid w:val="002B1279"/>
    <w:rsid w:val="002E7166"/>
    <w:rsid w:val="002F6BC4"/>
    <w:rsid w:val="00311DE0"/>
    <w:rsid w:val="003173F4"/>
    <w:rsid w:val="00326024"/>
    <w:rsid w:val="00332288"/>
    <w:rsid w:val="00344E04"/>
    <w:rsid w:val="00346112"/>
    <w:rsid w:val="003463E4"/>
    <w:rsid w:val="003465BF"/>
    <w:rsid w:val="00382107"/>
    <w:rsid w:val="003901C9"/>
    <w:rsid w:val="00390D5C"/>
    <w:rsid w:val="003A7E54"/>
    <w:rsid w:val="003B3419"/>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7DBC"/>
    <w:rsid w:val="0054259A"/>
    <w:rsid w:val="005452AD"/>
    <w:rsid w:val="00550304"/>
    <w:rsid w:val="00554D0A"/>
    <w:rsid w:val="00556C06"/>
    <w:rsid w:val="00556D3A"/>
    <w:rsid w:val="005714AF"/>
    <w:rsid w:val="00573011"/>
    <w:rsid w:val="00574BFA"/>
    <w:rsid w:val="00582967"/>
    <w:rsid w:val="00584449"/>
    <w:rsid w:val="005A1A0A"/>
    <w:rsid w:val="005B5912"/>
    <w:rsid w:val="005C0D3B"/>
    <w:rsid w:val="005C57E6"/>
    <w:rsid w:val="005C6D68"/>
    <w:rsid w:val="005C7BE0"/>
    <w:rsid w:val="005D14C9"/>
    <w:rsid w:val="005F46CC"/>
    <w:rsid w:val="00605DC8"/>
    <w:rsid w:val="00606507"/>
    <w:rsid w:val="006156CA"/>
    <w:rsid w:val="006205DC"/>
    <w:rsid w:val="00621366"/>
    <w:rsid w:val="006245FE"/>
    <w:rsid w:val="006430DA"/>
    <w:rsid w:val="0064467E"/>
    <w:rsid w:val="0064537D"/>
    <w:rsid w:val="00647B7D"/>
    <w:rsid w:val="006606EC"/>
    <w:rsid w:val="006616BB"/>
    <w:rsid w:val="0067611C"/>
    <w:rsid w:val="0067728A"/>
    <w:rsid w:val="00680FB8"/>
    <w:rsid w:val="00685892"/>
    <w:rsid w:val="00696D1E"/>
    <w:rsid w:val="006A4D5A"/>
    <w:rsid w:val="006A7EBA"/>
    <w:rsid w:val="006B1617"/>
    <w:rsid w:val="006B4BAA"/>
    <w:rsid w:val="006B5CC5"/>
    <w:rsid w:val="006B6F42"/>
    <w:rsid w:val="006C7167"/>
    <w:rsid w:val="006F1AEB"/>
    <w:rsid w:val="00705FBE"/>
    <w:rsid w:val="0071121F"/>
    <w:rsid w:val="0071193F"/>
    <w:rsid w:val="00747BC7"/>
    <w:rsid w:val="00765904"/>
    <w:rsid w:val="00775BC1"/>
    <w:rsid w:val="0078317A"/>
    <w:rsid w:val="007A653C"/>
    <w:rsid w:val="007A66DF"/>
    <w:rsid w:val="007B04BD"/>
    <w:rsid w:val="007C661A"/>
    <w:rsid w:val="007D5D1A"/>
    <w:rsid w:val="00810D04"/>
    <w:rsid w:val="00811F74"/>
    <w:rsid w:val="008164C9"/>
    <w:rsid w:val="00817B01"/>
    <w:rsid w:val="00821229"/>
    <w:rsid w:val="008252DC"/>
    <w:rsid w:val="00837F80"/>
    <w:rsid w:val="00843F57"/>
    <w:rsid w:val="00851589"/>
    <w:rsid w:val="00852FD8"/>
    <w:rsid w:val="00861CC3"/>
    <w:rsid w:val="008874A7"/>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102B"/>
    <w:rsid w:val="00983219"/>
    <w:rsid w:val="0098691D"/>
    <w:rsid w:val="0099050F"/>
    <w:rsid w:val="00991601"/>
    <w:rsid w:val="009B3AAD"/>
    <w:rsid w:val="009F0909"/>
    <w:rsid w:val="00A1081B"/>
    <w:rsid w:val="00A200DB"/>
    <w:rsid w:val="00A2419A"/>
    <w:rsid w:val="00A30E01"/>
    <w:rsid w:val="00A52D22"/>
    <w:rsid w:val="00A604B2"/>
    <w:rsid w:val="00A777D6"/>
    <w:rsid w:val="00A808BC"/>
    <w:rsid w:val="00A87823"/>
    <w:rsid w:val="00A9176C"/>
    <w:rsid w:val="00AA2508"/>
    <w:rsid w:val="00AA6A64"/>
    <w:rsid w:val="00AB5055"/>
    <w:rsid w:val="00AE43F2"/>
    <w:rsid w:val="00AE49D6"/>
    <w:rsid w:val="00AF39FC"/>
    <w:rsid w:val="00B0550C"/>
    <w:rsid w:val="00B10E16"/>
    <w:rsid w:val="00B214DD"/>
    <w:rsid w:val="00B23181"/>
    <w:rsid w:val="00B24600"/>
    <w:rsid w:val="00B31312"/>
    <w:rsid w:val="00B321D2"/>
    <w:rsid w:val="00B33D6F"/>
    <w:rsid w:val="00B368F2"/>
    <w:rsid w:val="00B40103"/>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311C1"/>
    <w:rsid w:val="00C33FEC"/>
    <w:rsid w:val="00C42273"/>
    <w:rsid w:val="00C42E34"/>
    <w:rsid w:val="00C502BB"/>
    <w:rsid w:val="00C577E8"/>
    <w:rsid w:val="00C7153B"/>
    <w:rsid w:val="00CB316A"/>
    <w:rsid w:val="00CC1678"/>
    <w:rsid w:val="00CF2479"/>
    <w:rsid w:val="00D0071E"/>
    <w:rsid w:val="00D10BE5"/>
    <w:rsid w:val="00D12E5C"/>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79FC"/>
    <w:rsid w:val="00E74EFE"/>
    <w:rsid w:val="00E836FB"/>
    <w:rsid w:val="00E83F70"/>
    <w:rsid w:val="00E84A90"/>
    <w:rsid w:val="00E87DB4"/>
    <w:rsid w:val="00EA5D86"/>
    <w:rsid w:val="00EA7A53"/>
    <w:rsid w:val="00EB0427"/>
    <w:rsid w:val="00EC4269"/>
    <w:rsid w:val="00ED1F71"/>
    <w:rsid w:val="00EE4785"/>
    <w:rsid w:val="00EF1449"/>
    <w:rsid w:val="00EF42A2"/>
    <w:rsid w:val="00F10A2D"/>
    <w:rsid w:val="00F16346"/>
    <w:rsid w:val="00F17E2E"/>
    <w:rsid w:val="00F25023"/>
    <w:rsid w:val="00F41B62"/>
    <w:rsid w:val="00F57F49"/>
    <w:rsid w:val="00F72714"/>
    <w:rsid w:val="00F901B9"/>
    <w:rsid w:val="00F95A34"/>
    <w:rsid w:val="00FA129C"/>
    <w:rsid w:val="00FA1DFE"/>
    <w:rsid w:val="00FA3574"/>
    <w:rsid w:val="00FA439F"/>
    <w:rsid w:val="00FA5526"/>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57805-722C-47D5-958F-CCE0CBF7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12315</TotalTime>
  <Pages>14</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114</cp:revision>
  <dcterms:created xsi:type="dcterms:W3CDTF">2018-05-09T16:01:00Z</dcterms:created>
  <dcterms:modified xsi:type="dcterms:W3CDTF">2019-07-09T20:22:00Z</dcterms:modified>
</cp:coreProperties>
</file>