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6337A0DD" w:rsidR="002A30CB" w:rsidRPr="00573011" w:rsidRDefault="008F4D75" w:rsidP="002A30CB">
            <w:r>
              <w:t>Thanks.</w:t>
            </w:r>
          </w:p>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5C8CC0DC" w:rsidR="002A30CB" w:rsidRPr="00573011" w:rsidRDefault="0003667B" w:rsidP="002A30CB">
            <w:r>
              <w:t>Yes, added the ‘two-stage</w:t>
            </w:r>
            <w:r w:rsidR="00952C45">
              <w:t xml:space="preserve"> systematic</w:t>
            </w:r>
            <w:r>
              <w:t>’ part to the report</w:t>
            </w:r>
            <w:r w:rsidR="00952C45">
              <w:t>, and a reference</w:t>
            </w:r>
            <w:r>
              <w:t>.</w:t>
            </w:r>
          </w:p>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1AF96C29" w:rsidR="002A30CB" w:rsidRPr="00573011" w:rsidRDefault="00027ACA" w:rsidP="002A30CB">
            <w:r>
              <w:t>Done: standard error of at most 25%.</w:t>
            </w:r>
          </w:p>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2C7FCCC4" w:rsidR="002A30CB" w:rsidRPr="00573011" w:rsidRDefault="00E91CFF" w:rsidP="002A30CB">
            <w:r>
              <w:t>No, this is just for the positioning of quadrats – the spawn length and width measurements account for the entire spawn.</w:t>
            </w:r>
          </w:p>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3CA1A9FD" w:rsidR="002A30CB" w:rsidRPr="00573011" w:rsidRDefault="00E91CFF" w:rsidP="00E91CFF">
            <w:r>
              <w:t>EDA = exploratory data analysis (I think). I don’t think this is necessarily too problematic, but I have added this issue (i.e., compare mean to median) to the Future Research section.</w:t>
            </w:r>
          </w:p>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6CEA2CC5" w:rsidR="00E84A90" w:rsidRPr="00573011" w:rsidRDefault="00705B26" w:rsidP="00705B26">
            <w:r>
              <w:t>Done.</w:t>
            </w:r>
            <w:bookmarkStart w:id="0" w:name="_GoBack"/>
            <w:bookmarkEnd w:id="0"/>
          </w:p>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0E0AAA04" w:rsidR="00E84A90" w:rsidRPr="00573011" w:rsidRDefault="002A7E69" w:rsidP="002A30CB">
            <w:r>
              <w:lastRenderedPageBreak/>
              <w:t>Thanks.</w:t>
            </w:r>
          </w:p>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3249D695" w:rsidR="00E84A90" w:rsidRPr="00573011" w:rsidRDefault="00386717" w:rsidP="002A30CB">
            <w:r>
              <w:t>Done.</w:t>
            </w:r>
            <w:r w:rsidR="003273FB">
              <w:t xml:space="preserve"> And added the second part to Future Research.</w:t>
            </w:r>
          </w:p>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126ACEB4" w:rsidR="00E84A90" w:rsidRPr="00573011" w:rsidRDefault="003073F8" w:rsidP="002A30CB">
            <w:r>
              <w:t>Added this tidbit.</w:t>
            </w:r>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3B28B5D4" w:rsidR="00E84A90" w:rsidRPr="00573011" w:rsidRDefault="00C05806" w:rsidP="007C46C5">
            <w:r>
              <w:lastRenderedPageBreak/>
              <w:t xml:space="preserve">This is </w:t>
            </w:r>
            <w:r w:rsidR="007C46C5">
              <w:t xml:space="preserve">standard practice now, and I </w:t>
            </w:r>
            <w:r>
              <w:t>added</w:t>
            </w:r>
            <w:r w:rsidR="00ED6AD5">
              <w:t xml:space="preserve"> it</w:t>
            </w:r>
            <w:r w:rsidR="00AF572E">
              <w:t>.</w:t>
            </w:r>
          </w:p>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27ACA"/>
    <w:rsid w:val="00031BA0"/>
    <w:rsid w:val="00031E2B"/>
    <w:rsid w:val="00032701"/>
    <w:rsid w:val="0003667B"/>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2930"/>
    <w:rsid w:val="00234AB1"/>
    <w:rsid w:val="00246705"/>
    <w:rsid w:val="002543E4"/>
    <w:rsid w:val="00254F35"/>
    <w:rsid w:val="00260156"/>
    <w:rsid w:val="002606AD"/>
    <w:rsid w:val="00262212"/>
    <w:rsid w:val="00267391"/>
    <w:rsid w:val="0029094E"/>
    <w:rsid w:val="002A30CB"/>
    <w:rsid w:val="002A7E69"/>
    <w:rsid w:val="002B121C"/>
    <w:rsid w:val="002B1279"/>
    <w:rsid w:val="002B58FB"/>
    <w:rsid w:val="002E7166"/>
    <w:rsid w:val="002F6BC4"/>
    <w:rsid w:val="00302105"/>
    <w:rsid w:val="003073F8"/>
    <w:rsid w:val="00311DE0"/>
    <w:rsid w:val="003173F4"/>
    <w:rsid w:val="00326024"/>
    <w:rsid w:val="003273FB"/>
    <w:rsid w:val="00332288"/>
    <w:rsid w:val="00344E04"/>
    <w:rsid w:val="00346112"/>
    <w:rsid w:val="003463E4"/>
    <w:rsid w:val="003465BF"/>
    <w:rsid w:val="00356EEF"/>
    <w:rsid w:val="00382107"/>
    <w:rsid w:val="0038671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D72AB"/>
    <w:rsid w:val="006F1AEB"/>
    <w:rsid w:val="006F770B"/>
    <w:rsid w:val="00705B26"/>
    <w:rsid w:val="00705FBE"/>
    <w:rsid w:val="0071121F"/>
    <w:rsid w:val="0071193F"/>
    <w:rsid w:val="00724C25"/>
    <w:rsid w:val="007339C4"/>
    <w:rsid w:val="00747BC7"/>
    <w:rsid w:val="00765904"/>
    <w:rsid w:val="00775BC1"/>
    <w:rsid w:val="0078317A"/>
    <w:rsid w:val="00796619"/>
    <w:rsid w:val="007A653C"/>
    <w:rsid w:val="007A66DF"/>
    <w:rsid w:val="007B04BD"/>
    <w:rsid w:val="007C46C5"/>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8F4D75"/>
    <w:rsid w:val="0090466F"/>
    <w:rsid w:val="00916F8C"/>
    <w:rsid w:val="00930103"/>
    <w:rsid w:val="00937C78"/>
    <w:rsid w:val="009404F0"/>
    <w:rsid w:val="0094107E"/>
    <w:rsid w:val="00952C45"/>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AF572E"/>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844BA"/>
    <w:rsid w:val="00B947A8"/>
    <w:rsid w:val="00B9735C"/>
    <w:rsid w:val="00BA3104"/>
    <w:rsid w:val="00BB1064"/>
    <w:rsid w:val="00BB3A6C"/>
    <w:rsid w:val="00BB7FA7"/>
    <w:rsid w:val="00BC6E38"/>
    <w:rsid w:val="00BD0D1A"/>
    <w:rsid w:val="00BF7478"/>
    <w:rsid w:val="00C05806"/>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91CFF"/>
    <w:rsid w:val="00EA5D86"/>
    <w:rsid w:val="00EA7A53"/>
    <w:rsid w:val="00EB0427"/>
    <w:rsid w:val="00EC4269"/>
    <w:rsid w:val="00EC4F27"/>
    <w:rsid w:val="00ED1F71"/>
    <w:rsid w:val="00ED6AD5"/>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 w:type="character" w:styleId="FollowedHyperlink">
    <w:name w:val="FollowedHyperlink"/>
    <w:basedOn w:val="DefaultParagraphFont"/>
    <w:uiPriority w:val="99"/>
    <w:semiHidden/>
    <w:unhideWhenUsed/>
    <w:rsid w:val="006D7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67F7B-4A78-4533-A471-A4EA1C95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18262</TotalTime>
  <Pages>14</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211</cp:revision>
  <dcterms:created xsi:type="dcterms:W3CDTF">2018-05-09T16:01:00Z</dcterms:created>
  <dcterms:modified xsi:type="dcterms:W3CDTF">2020-07-03T21:03:00Z</dcterms:modified>
</cp:coreProperties>
</file>