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792"/>
            <w:shd w:fill="0F6663"/>
            <w:tcMar>
              <w:top w:w="360" w:type="dxa"/>
              <w:start w:w="360" w:type="dxa"/>
              <w:bottom w:w="360" w:type="dxa"/>
              <w:end w:w="360" w:type="dxa"/>
            </w:tcMar>
          </w:tcPr>
          <w:p>
            <w:pPr>
              <w:jc w:val="left"/>
            </w:pPr>
            <w:r>
              <w:rPr>
                <w:rFonts w:ascii="Aptos Display" w:hAnsi="Aptos Display"/>
                <w:b/>
                <w:color w:val="FFFFFF"/>
                <w:sz w:val="26"/>
              </w:rPr>
              <w:t>MSBF MERCHANT CREDIT INTELLIGENCE</w:t>
            </w:r>
          </w:p>
        </w:tc>
      </w:tr>
    </w:tbl>
    <w:p>
      <w:pPr>
        <w:pStyle w:val="Title"/>
        <w:spacing w:before="1040"/>
      </w:pPr>
      <w:r>
        <w:t>Power BI Business Requirements Document</w:t>
      </w:r>
    </w:p>
    <w:p>
      <w:pPr>
        <w:pStyle w:val="Subtitle"/>
      </w:pPr>
      <w:r>
        <w:t>MSBF Merchant Credit Intelligence - Module 2 v2.1.0-rc2</w:t>
      </w:r>
    </w:p>
    <w:p>
      <w:pPr>
        <w:spacing w:before="200" w:after="360"/>
      </w:pPr>
      <w:r>
        <w:rPr>
          <w:b/>
          <w:color w:val="1F7F7A"/>
          <w:sz w:val="24"/>
        </w:rPr>
        <w:t>Decisioning, Portfolio &amp; Servicing Intelligence</w:t>
      </w:r>
    </w:p>
    <w:tbl>
      <w:tblPr>
        <w:tblStyle w:val="TableGrid"/>
        <w:tblW w:type="auto" w:w="0"/>
        <w:jc w:val="left"/>
        <w:tblLook w:firstColumn="1" w:firstRow="1" w:lastColumn="0" w:lastRow="0" w:noHBand="0" w:noVBand="1" w:val="04A0"/>
      </w:tblPr>
      <w:tblGrid>
        <w:gridCol w:w="5083"/>
        <w:gridCol w:w="5083"/>
      </w:tblGrid>
      <w:tr>
        <w:tc>
          <w:tcPr>
            <w:tcW w:type="dxa" w:w="5083"/>
            <w:shd w:fill="DCEFED"/>
            <w:tcMar>
              <w:top w:w="60" w:type="dxa"/>
              <w:start w:w="90" w:type="dxa"/>
              <w:bottom w:w="60" w:type="dxa"/>
              <w:end w:w="90" w:type="dxa"/>
            </w:tcMar>
            <w:vAlign w:val="center"/>
          </w:tcPr>
          <w:p>
            <w:r>
              <w:rPr>
                <w:rFonts w:ascii="Aptos" w:hAnsi="Aptos"/>
                <w:b/>
                <w:sz w:val="18"/>
              </w:rPr>
              <w:t>Document ID</w:t>
            </w:r>
          </w:p>
        </w:tc>
        <w:tc>
          <w:tcPr>
            <w:tcW w:type="dxa" w:w="5083"/>
            <w:tcMar>
              <w:top w:w="60" w:type="dxa"/>
              <w:start w:w="90" w:type="dxa"/>
              <w:bottom w:w="60" w:type="dxa"/>
              <w:end w:w="90" w:type="dxa"/>
            </w:tcMar>
            <w:vAlign w:val="center"/>
          </w:tcPr>
          <w:p>
            <w:r>
              <w:rPr>
                <w:rFonts w:ascii="Aptos" w:hAnsi="Aptos"/>
                <w:sz w:val="18"/>
              </w:rPr>
              <w:t>MSBF-MCI-PBI-BRD-R2</w:t>
            </w:r>
          </w:p>
        </w:tc>
      </w:tr>
      <w:tr>
        <w:tc>
          <w:tcPr>
            <w:tcW w:type="dxa" w:w="5083"/>
            <w:shd w:fill="DCEFED"/>
            <w:tcMar>
              <w:top w:w="60" w:type="dxa"/>
              <w:start w:w="90" w:type="dxa"/>
              <w:bottom w:w="60" w:type="dxa"/>
              <w:end w:w="90" w:type="dxa"/>
            </w:tcMar>
            <w:vAlign w:val="center"/>
          </w:tcPr>
          <w:p>
            <w:r>
              <w:rPr>
                <w:rFonts w:ascii="Aptos" w:hAnsi="Aptos"/>
                <w:b/>
                <w:sz w:val="18"/>
              </w:rPr>
              <w:t>Product release</w:t>
            </w:r>
          </w:p>
        </w:tc>
        <w:tc>
          <w:tcPr>
            <w:tcW w:type="dxa" w:w="5083"/>
            <w:tcMar>
              <w:top w:w="60" w:type="dxa"/>
              <w:start w:w="90" w:type="dxa"/>
              <w:bottom w:w="60" w:type="dxa"/>
              <w:end w:w="90" w:type="dxa"/>
            </w:tcMar>
            <w:vAlign w:val="center"/>
          </w:tcPr>
          <w:p>
            <w:r>
              <w:rPr>
                <w:rFonts w:ascii="Aptos" w:hAnsi="Aptos"/>
                <w:sz w:val="18"/>
              </w:rPr>
              <w:t>Module 2 v2.1.0-rc2</w:t>
            </w:r>
          </w:p>
        </w:tc>
      </w:tr>
      <w:tr>
        <w:tc>
          <w:tcPr>
            <w:tcW w:type="dxa" w:w="5083"/>
            <w:shd w:fill="DCEFED"/>
            <w:tcMar>
              <w:top w:w="60" w:type="dxa"/>
              <w:start w:w="90" w:type="dxa"/>
              <w:bottom w:w="60" w:type="dxa"/>
              <w:end w:w="90" w:type="dxa"/>
            </w:tcMar>
            <w:vAlign w:val="center"/>
          </w:tcPr>
          <w:p>
            <w:r>
              <w:rPr>
                <w:rFonts w:ascii="Aptos" w:hAnsi="Aptos"/>
                <w:b/>
                <w:sz w:val="18"/>
              </w:rPr>
              <w:t>Document date</w:t>
            </w:r>
          </w:p>
        </w:tc>
        <w:tc>
          <w:tcPr>
            <w:tcW w:type="dxa" w:w="5083"/>
            <w:tcMar>
              <w:top w:w="60" w:type="dxa"/>
              <w:start w:w="90" w:type="dxa"/>
              <w:bottom w:w="60" w:type="dxa"/>
              <w:end w:w="90" w:type="dxa"/>
            </w:tcMar>
            <w:vAlign w:val="center"/>
          </w:tcPr>
          <w:p>
            <w:r>
              <w:rPr>
                <w:rFonts w:ascii="Aptos" w:hAnsi="Aptos"/>
                <w:sz w:val="18"/>
              </w:rPr>
              <w:t>September 4, 2026</w:t>
            </w:r>
          </w:p>
        </w:tc>
      </w:tr>
      <w:tr>
        <w:tc>
          <w:tcPr>
            <w:tcW w:type="dxa" w:w="5083"/>
            <w:shd w:fill="DCEFED"/>
            <w:tcMar>
              <w:top w:w="60" w:type="dxa"/>
              <w:start w:w="90" w:type="dxa"/>
              <w:bottom w:w="60" w:type="dxa"/>
              <w:end w:w="90" w:type="dxa"/>
            </w:tcMar>
            <w:vAlign w:val="center"/>
          </w:tcPr>
          <w:p>
            <w:r>
              <w:rPr>
                <w:rFonts w:ascii="Aptos" w:hAnsi="Aptos"/>
                <w:b/>
                <w:sz w:val="18"/>
              </w:rPr>
              <w:t>Status</w:t>
            </w:r>
          </w:p>
        </w:tc>
        <w:tc>
          <w:tcPr>
            <w:tcW w:type="dxa" w:w="5083"/>
            <w:tcMar>
              <w:top w:w="60" w:type="dxa"/>
              <w:start w:w="90" w:type="dxa"/>
              <w:bottom w:w="60" w:type="dxa"/>
              <w:end w:w="90" w:type="dxa"/>
            </w:tcMar>
            <w:vAlign w:val="center"/>
          </w:tcPr>
          <w:p>
            <w:r>
              <w:rPr>
                <w:rFonts w:ascii="Aptos" w:hAnsi="Aptos"/>
                <w:sz w:val="18"/>
              </w:rPr>
              <w:t>Final publication candidate - persistence/nonregression PASS</w:t>
            </w:r>
          </w:p>
        </w:tc>
      </w:tr>
      <w:tr>
        <w:tc>
          <w:tcPr>
            <w:tcW w:type="dxa" w:w="5083"/>
            <w:shd w:fill="DCEFED"/>
            <w:tcMar>
              <w:top w:w="60" w:type="dxa"/>
              <w:start w:w="90" w:type="dxa"/>
              <w:bottom w:w="60" w:type="dxa"/>
              <w:end w:w="90" w:type="dxa"/>
            </w:tcMar>
            <w:vAlign w:val="center"/>
          </w:tcPr>
          <w:p>
            <w:r>
              <w:rPr>
                <w:rFonts w:ascii="Aptos" w:hAnsi="Aptos"/>
                <w:b/>
                <w:sz w:val="18"/>
              </w:rPr>
              <w:t>Evidence boundary</w:t>
            </w:r>
          </w:p>
        </w:tc>
        <w:tc>
          <w:tcPr>
            <w:tcW w:type="dxa" w:w="5083"/>
            <w:tcMar>
              <w:top w:w="60" w:type="dxa"/>
              <w:start w:w="90" w:type="dxa"/>
              <w:bottom w:w="60" w:type="dxa"/>
              <w:end w:w="90" w:type="dxa"/>
            </w:tcMar>
            <w:vAlign w:val="center"/>
          </w:tcPr>
          <w:p>
            <w:r>
              <w:rPr>
                <w:rFonts w:ascii="Aptos" w:hAnsi="Aptos"/>
                <w:sz w:val="18"/>
              </w:rPr>
              <w:t>Deterministic synthetic evidence; not production underwriting or servicing</w:t>
            </w:r>
          </w:p>
        </w:tc>
      </w:tr>
    </w:tbl>
    <w:p>
      <w:pPr>
        <w:pStyle w:val="MSBFCallout"/>
        <w:spacing w:before="560"/>
        <w:shd w:fill="F2F7F6"/>
      </w:pPr>
      <w:r>
        <w:t>Publication-support artifact. GitHub publication and public supersession are not executed by this document.</w:t>
      </w:r>
    </w:p>
    <w:p>
      <w:r>
        <w:br w:type="page"/>
      </w:r>
    </w:p>
    <w:p>
      <w:pPr>
        <w:pStyle w:val="Heading1"/>
        <w:keepNext/>
      </w:pPr>
      <w:r>
        <w:t>Contents</w:t>
      </w:r>
    </w:p>
    <w:p>
      <w:pPr>
        <w:spacing w:after="160"/>
      </w:pPr>
      <w:r>
        <w:t>The complete requirements and validation traceability are provided in the companion workbook and CSV registers.</w:t>
      </w:r>
    </w:p>
    <w:p>
      <w:pPr>
        <w:spacing w:after="40"/>
        <w:ind w:left="173"/>
      </w:pPr>
      <w:r>
        <w:rPr>
          <w:color w:val="263B3B"/>
          <w:sz w:val="18"/>
        </w:rPr>
        <w:t>1. Executive summary</w:t>
      </w:r>
    </w:p>
    <w:p>
      <w:pPr>
        <w:spacing w:after="40"/>
        <w:ind w:left="173"/>
      </w:pPr>
      <w:r>
        <w:rPr>
          <w:color w:val="263B3B"/>
          <w:sz w:val="18"/>
        </w:rPr>
        <w:t>2. Business context</w:t>
      </w:r>
    </w:p>
    <w:p>
      <w:pPr>
        <w:spacing w:after="40"/>
        <w:ind w:left="173"/>
      </w:pPr>
      <w:r>
        <w:rPr>
          <w:color w:val="263B3B"/>
          <w:sz w:val="18"/>
        </w:rPr>
        <w:t>3. Business objectives</w:t>
      </w:r>
    </w:p>
    <w:p>
      <w:pPr>
        <w:spacing w:after="40"/>
        <w:ind w:left="173"/>
      </w:pPr>
      <w:r>
        <w:rPr>
          <w:color w:val="263B3B"/>
          <w:sz w:val="18"/>
        </w:rPr>
        <w:t>4. Success criteria</w:t>
      </w:r>
    </w:p>
    <w:p>
      <w:pPr>
        <w:spacing w:after="40"/>
        <w:ind w:left="173"/>
      </w:pPr>
      <w:r>
        <w:rPr>
          <w:color w:val="263B3B"/>
          <w:sz w:val="18"/>
        </w:rPr>
        <w:t>5. Scope</w:t>
      </w:r>
    </w:p>
    <w:p>
      <w:pPr>
        <w:spacing w:after="40"/>
        <w:ind w:left="173"/>
      </w:pPr>
      <w:r>
        <w:rPr>
          <w:color w:val="263B3B"/>
          <w:sz w:val="18"/>
        </w:rPr>
        <w:t>6. Stakeholders and audiences</w:t>
      </w:r>
    </w:p>
    <w:p>
      <w:pPr>
        <w:spacing w:after="40"/>
        <w:ind w:left="173"/>
      </w:pPr>
      <w:r>
        <w:rPr>
          <w:color w:val="263B3B"/>
          <w:sz w:val="18"/>
        </w:rPr>
        <w:t>7. Governing principles</w:t>
      </w:r>
    </w:p>
    <w:p>
      <w:pPr>
        <w:spacing w:after="40"/>
        <w:ind w:left="173"/>
      </w:pPr>
      <w:r>
        <w:rPr>
          <w:color w:val="263B3B"/>
          <w:sz w:val="18"/>
        </w:rPr>
        <w:t>8. Product architecture</w:t>
      </w:r>
    </w:p>
    <w:p>
      <w:pPr>
        <w:spacing w:after="40"/>
        <w:ind w:left="173"/>
      </w:pPr>
      <w:r>
        <w:rPr>
          <w:color w:val="263B3B"/>
          <w:sz w:val="18"/>
        </w:rPr>
        <w:t>9. Data requirements</w:t>
      </w:r>
    </w:p>
    <w:p>
      <w:pPr>
        <w:spacing w:after="40"/>
        <w:ind w:left="173"/>
      </w:pPr>
      <w:r>
        <w:rPr>
          <w:color w:val="263B3B"/>
          <w:sz w:val="18"/>
        </w:rPr>
        <w:t>10. Semantic-model requirements</w:t>
      </w:r>
    </w:p>
    <w:p>
      <w:pPr>
        <w:spacing w:after="40"/>
        <w:ind w:left="173"/>
      </w:pPr>
      <w:r>
        <w:rPr>
          <w:color w:val="263B3B"/>
          <w:sz w:val="18"/>
        </w:rPr>
        <w:t>11. Functional requirements by page</w:t>
      </w:r>
    </w:p>
    <w:p>
      <w:pPr>
        <w:spacing w:after="40"/>
        <w:ind w:left="173"/>
      </w:pPr>
      <w:r>
        <w:rPr>
          <w:color w:val="263B3B"/>
          <w:sz w:val="18"/>
        </w:rPr>
        <w:t>12. Interaction requirements</w:t>
      </w:r>
    </w:p>
    <w:p>
      <w:pPr>
        <w:pStyle w:val="Heading1"/>
      </w:pPr>
      <w:r>
        <w:t>R16 audit correction requirement interpretation</w:t>
      </w:r>
    </w:p>
    <w:p>
      <w:pPr/>
      <w:r>
        <w:t>IA-D-R16-PBI-001 clarified the physical implementation standard for the version-separation requirements: predecessor-fact exclusion must be verified across the complete physical visual JSON, including filterConfig and active predicates, not query projections alone.</w:t>
      </w:r>
    </w:p>
    <w:p>
      <w:pPr/>
      <w:r>
        <w:t>The corrected PBIX removes the two stale P04 predecessor predicates identified by Audit and a complete scan of all 96 physical visuals now returns zero predecessor-fact references. The accepted R26/DataModel semantics did not change. The owner observed no output change and approved reuse of existing P04 captures without re-capture.</w:t>
      </w:r>
    </w:p>
    <w:p>
      <w:pPr>
        <w:spacing w:after="40"/>
        <w:ind w:left="173"/>
      </w:pPr>
      <w:r>
        <w:rPr>
          <w:color w:val="263B3B"/>
          <w:sz w:val="18"/>
        </w:rPr>
        <w:t>13. Narrative and terminology requirements</w:t>
      </w:r>
    </w:p>
    <w:p>
      <w:pPr>
        <w:spacing w:after="40"/>
        <w:ind w:left="173"/>
      </w:pPr>
      <w:r>
        <w:rPr>
          <w:color w:val="263B3B"/>
          <w:sz w:val="18"/>
        </w:rPr>
        <w:t>14. Accessibility requirements</w:t>
      </w:r>
    </w:p>
    <w:p>
      <w:pPr>
        <w:spacing w:after="40"/>
        <w:ind w:left="173"/>
      </w:pPr>
      <w:r>
        <w:rPr>
          <w:color w:val="263B3B"/>
          <w:sz w:val="18"/>
        </w:rPr>
        <w:t>15. Nonfunctional requirements</w:t>
      </w:r>
    </w:p>
    <w:p>
      <w:pPr>
        <w:spacing w:after="40"/>
        <w:ind w:left="173"/>
      </w:pPr>
      <w:r>
        <w:rPr>
          <w:color w:val="263B3B"/>
          <w:sz w:val="18"/>
        </w:rPr>
        <w:t>16. Validation and acceptance requirements</w:t>
      </w:r>
    </w:p>
    <w:p>
      <w:pPr>
        <w:spacing w:after="40"/>
        <w:ind w:left="173"/>
      </w:pPr>
      <w:r>
        <w:rPr>
          <w:color w:val="263B3B"/>
          <w:sz w:val="18"/>
        </w:rPr>
        <w:t>17. Requirements baseline</w:t>
      </w:r>
    </w:p>
    <w:p>
      <w:pPr>
        <w:spacing w:after="40"/>
        <w:ind w:left="173"/>
      </w:pPr>
      <w:r>
        <w:rPr>
          <w:color w:val="263B3B"/>
          <w:sz w:val="18"/>
        </w:rPr>
        <w:t>18. Release and change management</w:t>
      </w:r>
    </w:p>
    <w:p>
      <w:pPr>
        <w:spacing w:after="40"/>
        <w:ind w:left="173"/>
      </w:pPr>
      <w:r>
        <w:rPr>
          <w:color w:val="263B3B"/>
          <w:sz w:val="18"/>
        </w:rPr>
        <w:t>Appendix A - Requirement-status definitions</w:t>
      </w:r>
    </w:p>
    <w:p>
      <w:pPr>
        <w:spacing w:after="40"/>
        <w:ind w:left="173"/>
      </w:pPr>
      <w:r>
        <w:rPr>
          <w:color w:val="263B3B"/>
          <w:sz w:val="18"/>
        </w:rPr>
        <w:t>Appendix B - Current release artifacts</w:t>
      </w:r>
    </w:p>
    <w:p>
      <w:r>
        <w:br w:type="page"/>
      </w:r>
    </w:p>
    <w:p>
      <w:pPr>
        <w:pStyle w:val="Heading1"/>
      </w:pPr>
      <w:r>
        <w:t>1. Executive summary</w:t>
      </w:r>
    </w:p>
    <w:p>
      <w:r>
        <w:t>MSBF Merchant Credit Intelligence is a governed Power BI analytical product that translates the accepted Module 2 merchant-financing decision, lifecycle, monitoring, intervention, servicing, and certification architecture into a client-ready executive-to-account reporting experience.</w:t>
      </w:r>
    </w:p>
    <w:p>
      <w:r>
        <w:t xml:space="preserve">The current release candidate covers an initial fixed cohort of 750 deterministic synthetic merchants evaluated under two alternative governed scenarios: </w:t>
      </w:r>
      <w:r>
        <w:rPr>
          <w:b/>
        </w:rPr>
        <w:t>Baseline</w:t>
      </w:r>
      <w:r>
        <w:t xml:space="preserve"> and </w:t>
      </w:r>
      <w:r>
        <w:rPr>
          <w:b/>
        </w:rPr>
        <w:t>Recession Energy</w:t>
      </w:r>
      <w:r>
        <w:t>. The report provides:</w:t>
      </w:r>
    </w:p>
    <w:p>
      <w:pPr>
        <w:pStyle w:val="ListBullet"/>
        <w:spacing w:after="30"/>
      </w:pPr>
      <w:r>
        <w:t>executive cohort and decision intelligence;</w:t>
      </w:r>
    </w:p>
    <w:p>
      <w:pPr>
        <w:pStyle w:val="ListBullet"/>
        <w:spacing w:after="30"/>
      </w:pPr>
      <w:r>
        <w:t>funded-account lifecycle and payment-performance analysis;</w:t>
      </w:r>
    </w:p>
    <w:p>
      <w:pPr>
        <w:pStyle w:val="ListBullet"/>
        <w:spacing w:after="30"/>
      </w:pPr>
      <w:r>
        <w:t>application-level decision traceability and plain-language narratives;</w:t>
      </w:r>
    </w:p>
    <w:p>
      <w:pPr>
        <w:pStyle w:val="ListBullet"/>
        <w:spacing w:after="30"/>
      </w:pPr>
      <w:r>
        <w:t>endpoint servicing, intervention, payment, and certification analysis;</w:t>
      </w:r>
    </w:p>
    <w:p>
      <w:pPr>
        <w:pStyle w:val="ListBullet"/>
        <w:spacing w:after="30"/>
      </w:pPr>
      <w:r>
        <w:t>visible governance and interpretation boundaries;</w:t>
      </w:r>
    </w:p>
    <w:p>
      <w:pPr>
        <w:pStyle w:val="ListBullet"/>
        <w:spacing w:after="30"/>
      </w:pPr>
      <w:r>
        <w:t>source-to-report traceability, automated QA, interaction evidence, and accessibility controls.</w:t>
      </w:r>
    </w:p>
    <w:p>
      <w:r>
        <w:t>The release candidate consists of four visible pages plus one hidden diagnostic page. It is designed for portfolio demonstration, analytical validation, professional presentation, and GitHub publication support. It is not a production underwriting, pricing, payment, or servicing platform.</w:t>
      </w:r>
    </w:p>
    <w:p>
      <w:pPr>
        <w:pStyle w:val="Heading1"/>
      </w:pPr>
      <w:r>
        <w:t>2. Business context</w:t>
      </w:r>
    </w:p>
    <w:p>
      <w:r>
        <w:t>The underlying MSBF program simulates a merchant-financing portfolio from application and evidence through decisioning, candidate structure search, funding, account lifecycle, monitoring, intervention, operational setup, servicing execution, certification, and portfolio analysis.</w:t>
      </w:r>
    </w:p>
    <w:p>
      <w:r>
        <w:t>The Power BI product is needed to convert that governed technical architecture into an accessible business-consumption layer that can answer five questions:</w:t>
      </w:r>
    </w:p>
    <w:p>
      <w:pPr>
        <w:spacing w:after="30"/>
        <w:ind w:left="346" w:hanging="259"/>
      </w:pPr>
      <w:r>
        <w:t xml:space="preserve">1. </w:t>
      </w:r>
      <w:r>
        <w:rPr>
          <w:b/>
        </w:rPr>
        <w:t>What happened across the cohort?</w:t>
      </w:r>
    </w:p>
    <w:p>
      <w:pPr>
        <w:spacing w:after="30"/>
        <w:ind w:left="346" w:hanging="259"/>
      </w:pPr>
      <w:r>
        <w:t xml:space="preserve">2. </w:t>
      </w:r>
      <w:r>
        <w:rPr>
          <w:b/>
        </w:rPr>
        <w:t>How did funded accounts perform through the governed lifecycle?</w:t>
      </w:r>
    </w:p>
    <w:p>
      <w:pPr>
        <w:spacing w:after="30"/>
        <w:ind w:left="346" w:hanging="259"/>
      </w:pPr>
      <w:r>
        <w:t xml:space="preserve">3. </w:t>
      </w:r>
      <w:r>
        <w:rPr>
          <w:b/>
        </w:rPr>
        <w:t>Why did a selected application receive its outcome and proposed structure?</w:t>
      </w:r>
    </w:p>
    <w:p>
      <w:pPr>
        <w:spacing w:after="30"/>
        <w:ind w:left="346" w:hanging="259"/>
      </w:pPr>
      <w:r>
        <w:t xml:space="preserve">4. </w:t>
      </w:r>
      <w:r>
        <w:rPr>
          <w:b/>
        </w:rPr>
        <w:t>Which funded accounts require endpoint attention, and what servicing state followed?</w:t>
      </w:r>
    </w:p>
    <w:p>
      <w:pPr>
        <w:spacing w:after="30"/>
        <w:ind w:left="346" w:hanging="259"/>
      </w:pPr>
      <w:r>
        <w:t xml:space="preserve">5. </w:t>
      </w:r>
      <w:r>
        <w:rPr>
          <w:b/>
        </w:rPr>
        <w:t>Can every displayed result be traced to accepted successor sources and validation evidence?</w:t>
      </w:r>
    </w:p>
    <w:p>
      <w:r>
        <w:t>Without this layer, technically accepted outputs remain difficult to interpret, compare, and present. The product must therefore balance executive clarity with exact semantic authority.</w:t>
      </w:r>
    </w:p>
    <w:p>
      <w:pPr>
        <w:pStyle w:val="Heading1"/>
      </w:pPr>
      <w:r>
        <w:t>3. Business objectives</w:t>
      </w:r>
    </w:p>
    <w:p>
      <w:r>
        <w:t>The Power BI build shall:</w:t>
      </w:r>
    </w:p>
    <w:p>
      <w:pPr>
        <w:spacing w:after="30"/>
        <w:ind w:left="346" w:hanging="259"/>
      </w:pPr>
      <w:r>
        <w:t>1. provide a professional, marketable portfolio intelligence product suitable for a client, hiring manager, auditor, or technical reviewer;</w:t>
      </w:r>
    </w:p>
    <w:p>
      <w:pPr>
        <w:spacing w:after="30"/>
        <w:ind w:left="346" w:hanging="259"/>
      </w:pPr>
      <w:r>
        <w:t>2. preserve accepted R26 source authority without recreating business logic in DAX;</w:t>
      </w:r>
    </w:p>
    <w:p>
      <w:pPr>
        <w:spacing w:after="30"/>
        <w:ind w:left="346" w:hanging="259"/>
      </w:pPr>
      <w:r>
        <w:t>3. provide a coherent path from portfolio summary to account-level evidence;</w:t>
      </w:r>
    </w:p>
    <w:p>
      <w:pPr>
        <w:spacing w:after="30"/>
        <w:ind w:left="346" w:hanging="259"/>
      </w:pPr>
      <w:r>
        <w:t>4. distinguish observed source evidence from deterministic synthetic-forward lifecycle evidence;</w:t>
      </w:r>
    </w:p>
    <w:p>
      <w:pPr>
        <w:spacing w:after="30"/>
        <w:ind w:left="346" w:hanging="259"/>
      </w:pPr>
      <w:r>
        <w:t>5. make scenario sensitivity visible without presenting scenarios as forecasts;</w:t>
      </w:r>
    </w:p>
    <w:p>
      <w:pPr>
        <w:spacing w:after="30"/>
        <w:ind w:left="346" w:hanging="259"/>
      </w:pPr>
      <w:r>
        <w:t>6. explain the full seven-outcome decision architecture;</w:t>
      </w:r>
    </w:p>
    <w:p>
      <w:pPr>
        <w:spacing w:after="30"/>
        <w:ind w:left="346" w:hanging="259"/>
      </w:pPr>
      <w:r>
        <w:t>7. expose funded-account monitoring and servicing results only where physical funding occurred;</w:t>
      </w:r>
    </w:p>
    <w:p>
      <w:pPr>
        <w:spacing w:after="30"/>
        <w:ind w:left="346" w:hanging="259"/>
      </w:pPr>
      <w:r>
        <w:t>8. preserve exact source-to-report traceability and validation;</w:t>
      </w:r>
    </w:p>
    <w:p>
      <w:pPr>
        <w:spacing w:after="30"/>
        <w:ind w:left="346" w:hanging="259"/>
      </w:pPr>
      <w:r>
        <w:t>9. support GitHub publication through controlled documentation, manifests, checksums, and public-candidate visuals;</w:t>
      </w:r>
    </w:p>
    <w:p>
      <w:pPr>
        <w:spacing w:after="30"/>
        <w:ind w:left="346" w:hanging="259"/>
      </w:pPr>
      <w:r>
        <w:t>10. remain maintainable as later pages and modules are completed.</w:t>
      </w:r>
    </w:p>
    <w:p>
      <w:pPr>
        <w:pStyle w:val="Heading1"/>
      </w:pPr>
      <w:r>
        <w:t>4. Success criteria</w:t>
      </w:r>
    </w:p>
    <w:p>
      <w:r>
        <w:t>The release candidate is successful when:</w:t>
      </w:r>
    </w:p>
    <w:p>
      <w:pPr>
        <w:pStyle w:val="ListBullet"/>
        <w:spacing w:after="30"/>
      </w:pPr>
      <w:r>
        <w:t>P01-P04 are page-frozen and visually coherent;</w:t>
      </w:r>
    </w:p>
    <w:p>
      <w:pPr>
        <w:pStyle w:val="ListBullet"/>
        <w:spacing w:after="30"/>
      </w:pPr>
      <w:r>
        <w:t>P02-DIAG is retained as a hidden diagnostic;</w:t>
      </w:r>
    </w:p>
    <w:p>
      <w:pPr>
        <w:pStyle w:val="ListBullet"/>
        <w:spacing w:after="30"/>
      </w:pPr>
      <w:r>
        <w:t>the client-facing PBIX contains no predecessor-fact references in physical P01-P04/P02-DIAG visual JSON, including query bindings, filterConfig, and active filter predicates;</w:t>
      </w:r>
    </w:p>
    <w:p>
      <w:pPr>
        <w:pStyle w:val="ListBullet"/>
        <w:spacing w:after="30"/>
      </w:pPr>
      <w:r>
        <w:t>page bindings are 100% successor-or-shared;</w:t>
      </w:r>
    </w:p>
    <w:p>
      <w:pPr>
        <w:pStyle w:val="ListBullet"/>
        <w:spacing w:after="30"/>
      </w:pPr>
      <w:r>
        <w:t>P03 narrative QA passes across all 1,500 paths;</w:t>
      </w:r>
    </w:p>
    <w:p>
      <w:pPr>
        <w:pStyle w:val="ListBullet"/>
        <w:spacing w:after="30"/>
      </w:pPr>
      <w:r>
        <w:t>P03 monitoring QA passes across all 130 funded paths and 15,600 monitoring rows;</w:t>
      </w:r>
    </w:p>
    <w:p>
      <w:pPr>
        <w:pStyle w:val="ListBullet"/>
        <w:spacing w:after="30"/>
      </w:pPr>
      <w:r>
        <w:t>P04 M2.6-M2.10 population and representative-path QA pass;</w:t>
      </w:r>
    </w:p>
    <w:p>
      <w:pPr>
        <w:pStyle w:val="ListBullet"/>
        <w:spacing w:after="30"/>
      </w:pPr>
      <w:r>
        <w:t>scenario isolation is demonstrated;</w:t>
      </w:r>
    </w:p>
    <w:p>
      <w:pPr>
        <w:pStyle w:val="ListBullet"/>
        <w:spacing w:after="30"/>
      </w:pPr>
      <w:r>
        <w:t>visible labels and narratives are business-readable;</w:t>
      </w:r>
    </w:p>
    <w:p>
      <w:pPr>
        <w:pStyle w:val="ListBullet"/>
        <w:spacing w:after="30"/>
      </w:pPr>
      <w:r>
        <w:t>tooltips add interpretive value without unexplained metrics;</w:t>
      </w:r>
    </w:p>
    <w:p>
      <w:pPr>
        <w:pStyle w:val="ListBullet"/>
        <w:spacing w:after="30"/>
      </w:pPr>
      <w:r>
        <w:t>substantive visuals include appropriate alt text and tab order;</w:t>
      </w:r>
    </w:p>
    <w:p>
      <w:pPr>
        <w:pStyle w:val="ListBullet"/>
        <w:spacing w:after="30"/>
      </w:pPr>
      <w:r>
        <w:t>physical package integrity passes;</w:t>
      </w:r>
    </w:p>
    <w:p>
      <w:pPr>
        <w:pStyle w:val="ListBullet"/>
        <w:spacing w:after="30"/>
      </w:pPr>
      <w:r>
        <w:t>final persistence/nonregression closure and the separate publication action are explicitly tracked.</w:t>
      </w:r>
    </w:p>
    <w:p>
      <w:pPr>
        <w:pStyle w:val="Heading1"/>
      </w:pPr>
      <w:r>
        <w:t>5. Scope</w:t>
      </w:r>
    </w:p>
    <w:p>
      <w:pPr>
        <w:pStyle w:val="Heading2"/>
      </w:pPr>
      <w:r>
        <w:t>5.1 In scope</w:t>
      </w:r>
    </w:p>
    <w:p>
      <w:pPr>
        <w:pStyle w:val="ListBullet"/>
        <w:spacing w:after="30"/>
      </w:pPr>
      <w:r>
        <w:t>One client-facing Power BI Desktop file:</w:t>
      </w:r>
    </w:p>
    <w:p>
      <w:r>
        <w:rPr>
          <w:rFonts w:ascii="Aptos Mono" w:hAnsi="Aptos Mono" w:eastAsia="Aptos Mono"/>
          <w:color w:val="0F6663"/>
        </w:rPr>
        <w:t>MSBF_Merchant_Credit_Intelligence_M2_v2.1.0-rc2.pbix</w:t>
      </w:r>
    </w:p>
    <w:p>
      <w:pPr>
        <w:pStyle w:val="ListBullet"/>
        <w:spacing w:after="30"/>
      </w:pPr>
      <w:r>
        <w:t>Four visible pages:</w:t>
      </w:r>
    </w:p>
    <w:p>
      <w:pPr>
        <w:pStyle w:val="ListBullet"/>
        <w:spacing w:after="30"/>
      </w:pPr>
      <w:r>
        <w:t>P01 - Cohort Command Center</w:t>
      </w:r>
    </w:p>
    <w:p>
      <w:pPr>
        <w:pStyle w:val="ListBullet"/>
        <w:spacing w:after="30"/>
      </w:pPr>
      <w:r>
        <w:t>P02 - Cohort Lifecycle</w:t>
      </w:r>
    </w:p>
    <w:p>
      <w:pPr>
        <w:pStyle w:val="ListBullet"/>
        <w:spacing w:after="30"/>
      </w:pPr>
      <w:r>
        <w:t>P03 - Application Journey</w:t>
      </w:r>
    </w:p>
    <w:p>
      <w:pPr>
        <w:pStyle w:val="ListBullet"/>
        <w:spacing w:after="30"/>
      </w:pPr>
      <w:r>
        <w:t>P04 - Servicing &amp; Exceptions</w:t>
      </w:r>
    </w:p>
    <w:p>
      <w:pPr>
        <w:pStyle w:val="ListBullet"/>
        <w:spacing w:after="30"/>
      </w:pPr>
      <w:r>
        <w:t>One hidden diagnostic page:</w:t>
      </w:r>
    </w:p>
    <w:p>
      <w:pPr>
        <w:pStyle w:val="ListBullet"/>
        <w:spacing w:after="30"/>
      </w:pPr>
      <w:r>
        <w:t>P02-DIAG - Attention States</w:t>
      </w:r>
    </w:p>
    <w:p>
      <w:pPr>
        <w:pStyle w:val="ListBullet"/>
        <w:spacing w:after="30"/>
      </w:pPr>
      <w:r>
        <w:t>Baseline and Recession Energy governed scenarios</w:t>
      </w:r>
    </w:p>
    <w:p>
      <w:pPr>
        <w:pStyle w:val="ListBullet"/>
        <w:spacing w:after="30"/>
      </w:pPr>
      <w:r>
        <w:t>Fixed initial 750-merchant cohort</w:t>
      </w:r>
    </w:p>
    <w:p>
      <w:pPr>
        <w:pStyle w:val="ListBullet"/>
        <w:spacing w:after="30"/>
      </w:pPr>
      <w:r>
        <w:t>Decision, structure, funding, monitoring, servicing, and certification evidence through Module 2</w:t>
      </w:r>
    </w:p>
    <w:p>
      <w:pPr>
        <w:pStyle w:val="ListBullet"/>
        <w:spacing w:after="30"/>
      </w:pPr>
      <w:r>
        <w:t>Power Query ingestion already embodied in the current PBIX</w:t>
      </w:r>
    </w:p>
    <w:p>
      <w:pPr>
        <w:pStyle w:val="ListBullet"/>
        <w:spacing w:after="30"/>
      </w:pPr>
      <w:r>
        <w:t>R1 successor semantic facts and current shared dimensions</w:t>
      </w:r>
    </w:p>
    <w:p>
      <w:pPr>
        <w:pStyle w:val="ListBullet"/>
        <w:spacing w:after="30"/>
      </w:pPr>
      <w:r>
        <w:t>Centralized DAX measures and page-specific presentation adapters</w:t>
      </w:r>
    </w:p>
    <w:p>
      <w:pPr>
        <w:pStyle w:val="ListBullet"/>
        <w:spacing w:after="30"/>
      </w:pPr>
      <w:r>
        <w:t>Tooltips, interactions, alt text, tab order, footers, and interpretation boundaries</w:t>
      </w:r>
    </w:p>
    <w:p>
      <w:pPr>
        <w:pStyle w:val="ListBullet"/>
        <w:spacing w:after="30"/>
      </w:pPr>
      <w:r>
        <w:t>QA and publication-support documentation</w:t>
      </w:r>
    </w:p>
    <w:p>
      <w:pPr>
        <w:pStyle w:val="Heading2"/>
      </w:pPr>
      <w:r>
        <w:t>5.2 Out of scope for this release candidate</w:t>
      </w:r>
    </w:p>
    <w:p>
      <w:pPr>
        <w:pStyle w:val="ListBullet"/>
        <w:spacing w:after="30"/>
      </w:pPr>
      <w:r>
        <w:t>P05 Economics &amp; Value Creation</w:t>
      </w:r>
    </w:p>
    <w:p>
      <w:pPr>
        <w:pStyle w:val="ListBullet"/>
        <w:spacing w:after="30"/>
      </w:pPr>
      <w:r>
        <w:t>P06 Strategy &amp; Decision Effectiveness</w:t>
      </w:r>
    </w:p>
    <w:p>
      <w:pPr>
        <w:pStyle w:val="ListBullet"/>
        <w:spacing w:after="30"/>
      </w:pPr>
      <w:r>
        <w:t>Module 3 enterprise intelligence</w:t>
      </w:r>
    </w:p>
    <w:p>
      <w:pPr>
        <w:pStyle w:val="ListBullet"/>
        <w:spacing w:after="30"/>
      </w:pPr>
      <w:r>
        <w:t>Campaign-scale runtime execution</w:t>
      </w:r>
    </w:p>
    <w:p>
      <w:pPr>
        <w:pStyle w:val="ListBullet"/>
        <w:spacing w:after="30"/>
      </w:pPr>
      <w:r>
        <w:t>Power BI Service deployment, tenant administration, or deployment pipelines</w:t>
      </w:r>
    </w:p>
    <w:p>
      <w:pPr>
        <w:pStyle w:val="ListBullet"/>
        <w:spacing w:after="30"/>
      </w:pPr>
      <w:r>
        <w:t>Live production data</w:t>
      </w:r>
    </w:p>
    <w:p>
      <w:pPr>
        <w:pStyle w:val="ListBullet"/>
        <w:spacing w:after="30"/>
      </w:pPr>
      <w:r>
        <w:t>Real customer or merchant decisions</w:t>
      </w:r>
    </w:p>
    <w:p>
      <w:pPr>
        <w:pStyle w:val="ListBullet"/>
        <w:spacing w:after="30"/>
      </w:pPr>
      <w:r>
        <w:t>Real payment processing or merchant contact</w:t>
      </w:r>
    </w:p>
    <w:p>
      <w:pPr>
        <w:pStyle w:val="ListBullet"/>
        <w:spacing w:after="30"/>
      </w:pPr>
      <w:r>
        <w:t>Production servicing or adverse action</w:t>
      </w:r>
    </w:p>
    <w:p>
      <w:pPr>
        <w:pStyle w:val="ListBullet"/>
        <w:spacing w:after="30"/>
      </w:pPr>
      <w:r>
        <w:t>CECL, accounting reserve, or audited profitability reporting</w:t>
      </w:r>
    </w:p>
    <w:p>
      <w:pPr>
        <w:pStyle w:val="ListBullet"/>
        <w:spacing w:after="30"/>
      </w:pPr>
      <w:r>
        <w:t>Causal or treatment-effect claims</w:t>
      </w:r>
    </w:p>
    <w:p>
      <w:pPr>
        <w:pStyle w:val="ListBullet"/>
        <w:spacing w:after="30"/>
      </w:pPr>
      <w:r>
        <w:t>GitHub publication execution itself</w:t>
      </w:r>
    </w:p>
    <w:p>
      <w:pPr>
        <w:pStyle w:val="Heading1"/>
      </w:pPr>
      <w:r>
        <w:t>6. Stakeholders and audiences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7F7A"/>
            <w:tcMar>
              <w:top w:w="70" w:type="dxa"/>
              <w:start w:w="75" w:type="dxa"/>
              <w:bottom w:w="70" w:type="dxa"/>
              <w:end w:w="75" w:type="dxa"/>
            </w:tcMar>
            <w:vAlign w:val="center"/>
          </w:tcPr>
          <w:p>
            <w:r/>
            <w:r>
              <w:rPr>
                <w:b/>
                <w:color w:val="FFFFFF"/>
                <w:sz w:val="16"/>
              </w:rPr>
              <w:t>Audience</w:t>
            </w:r>
          </w:p>
        </w:tc>
        <w:tc>
          <w:tcPr>
            <w:tcW w:type="dxa" w:w="5083"/>
            <w:shd w:fill="1F7F7A"/>
            <w:tcMar>
              <w:top w:w="70" w:type="dxa"/>
              <w:start w:w="75" w:type="dxa"/>
              <w:bottom w:w="70" w:type="dxa"/>
              <w:end w:w="75" w:type="dxa"/>
            </w:tcMar>
            <w:vAlign w:val="center"/>
          </w:tcPr>
          <w:p>
            <w:r/>
            <w:r>
              <w:rPr>
                <w:b/>
                <w:color w:val="FFFFFF"/>
                <w:sz w:val="16"/>
              </w:rPr>
              <w:t>Primary needs</w:t>
            </w:r>
          </w:p>
        </w:tc>
      </w:tr>
      <w:tr>
        <w:trPr>
          <w:cantSplit/>
        </w:trPr>
        <w:tc>
          <w:tcPr>
            <w:tcW w:type="dxa" w:w="5083"/>
            <w:tcMar>
              <w:top w:w="45" w:type="dxa"/>
              <w:start w:w="65" w:type="dxa"/>
              <w:bottom w:w="45" w:type="dxa"/>
              <w:end w:w="65" w:type="dxa"/>
            </w:tcMar>
            <w:vAlign w:val="top"/>
          </w:tcPr>
          <w:p>
            <w:r/>
            <w:r>
              <w:rPr>
                <w:sz w:val="16"/>
              </w:rPr>
              <w:t>Executive / portfolio leader</w:t>
            </w:r>
          </w:p>
        </w:tc>
        <w:tc>
          <w:tcPr>
            <w:tcW w:type="dxa" w:w="5083"/>
            <w:tcMar>
              <w:top w:w="45" w:type="dxa"/>
              <w:start w:w="65" w:type="dxa"/>
              <w:bottom w:w="45" w:type="dxa"/>
              <w:end w:w="65" w:type="dxa"/>
            </w:tcMar>
            <w:vAlign w:val="top"/>
          </w:tcPr>
          <w:p>
            <w:r/>
            <w:r>
              <w:rPr>
                <w:sz w:val="16"/>
              </w:rPr>
              <w:t>Cohort size, funding, risk, economics, decision distribution, endpoint posture</w:t>
            </w:r>
          </w:p>
        </w:tc>
      </w:tr>
      <w:tr>
        <w:trPr>
          <w:cantSplit/>
        </w:trPr>
        <w:tc>
          <w:tcPr>
            <w:tcW w:type="dxa" w:w="5083"/>
            <w:tcMar>
              <w:top w:w="45" w:type="dxa"/>
              <w:start w:w="65" w:type="dxa"/>
              <w:bottom w:w="45" w:type="dxa"/>
              <w:end w:w="65" w:type="dxa"/>
            </w:tcMar>
            <w:vAlign w:val="top"/>
            <w:shd w:fill="F2F7F6"/>
          </w:tcPr>
          <w:p>
            <w:r/>
            <w:r>
              <w:rPr>
                <w:sz w:val="16"/>
              </w:rPr>
              <w:t>Credit strategy leader</w:t>
            </w:r>
          </w:p>
        </w:tc>
        <w:tc>
          <w:tcPr>
            <w:tcW w:type="dxa" w:w="5083"/>
            <w:tcMar>
              <w:top w:w="45" w:type="dxa"/>
              <w:start w:w="65" w:type="dxa"/>
              <w:bottom w:w="45" w:type="dxa"/>
              <w:end w:w="65" w:type="dxa"/>
            </w:tcMar>
            <w:vAlign w:val="top"/>
            <w:shd w:fill="F2F7F6"/>
          </w:tcPr>
          <w:p>
            <w:r/>
            <w:r>
              <w:rPr>
                <w:sz w:val="16"/>
              </w:rPr>
              <w:t>Outcome mix, supportable paths, structure selection, scenario sensitivity</w:t>
            </w:r>
          </w:p>
        </w:tc>
      </w:tr>
      <w:tr>
        <w:trPr>
          <w:cantSplit/>
        </w:trPr>
        <w:tc>
          <w:tcPr>
            <w:tcW w:type="dxa" w:w="5083"/>
            <w:tcMar>
              <w:top w:w="45" w:type="dxa"/>
              <w:start w:w="65" w:type="dxa"/>
              <w:bottom w:w="45" w:type="dxa"/>
              <w:end w:w="65" w:type="dxa"/>
            </w:tcMar>
            <w:vAlign w:val="top"/>
          </w:tcPr>
          <w:p>
            <w:r/>
            <w:r>
              <w:rPr>
                <w:sz w:val="16"/>
              </w:rPr>
              <w:t>Risk and governance reviewer</w:t>
            </w:r>
          </w:p>
        </w:tc>
        <w:tc>
          <w:tcPr>
            <w:tcW w:type="dxa" w:w="5083"/>
            <w:tcMar>
              <w:top w:w="45" w:type="dxa"/>
              <w:start w:w="65" w:type="dxa"/>
              <w:bottom w:w="45" w:type="dxa"/>
              <w:end w:w="65" w:type="dxa"/>
            </w:tcMar>
            <w:vAlign w:val="top"/>
          </w:tcPr>
          <w:p>
            <w:r/>
            <w:r>
              <w:rPr>
                <w:sz w:val="16"/>
              </w:rPr>
              <w:t>Source authority, evidence gates, scenario isolation, limitations</w:t>
            </w:r>
          </w:p>
        </w:tc>
      </w:tr>
      <w:tr>
        <w:trPr>
          <w:cantSplit/>
        </w:trPr>
        <w:tc>
          <w:tcPr>
            <w:tcW w:type="dxa" w:w="5083"/>
            <w:tcMar>
              <w:top w:w="45" w:type="dxa"/>
              <w:start w:w="65" w:type="dxa"/>
              <w:bottom w:w="45" w:type="dxa"/>
              <w:end w:w="65" w:type="dxa"/>
            </w:tcMar>
            <w:vAlign w:val="top"/>
            <w:shd w:fill="F2F7F6"/>
          </w:tcPr>
          <w:p>
            <w:r/>
            <w:r>
              <w:rPr>
                <w:sz w:val="16"/>
              </w:rPr>
              <w:t>Servicing / operations leader</w:t>
            </w:r>
          </w:p>
        </w:tc>
        <w:tc>
          <w:tcPr>
            <w:tcW w:type="dxa" w:w="5083"/>
            <w:tcMar>
              <w:top w:w="45" w:type="dxa"/>
              <w:start w:w="65" w:type="dxa"/>
              <w:bottom w:w="45" w:type="dxa"/>
              <w:end w:w="65" w:type="dxa"/>
            </w:tcMar>
            <w:vAlign w:val="top"/>
            <w:shd w:fill="F2F7F6"/>
          </w:tcPr>
          <w:p>
            <w:r/>
            <w:r>
              <w:rPr>
                <w:sz w:val="16"/>
              </w:rPr>
              <w:t>Attention population, exposure, queue, intervention, execution, certification</w:t>
            </w:r>
          </w:p>
        </w:tc>
      </w:tr>
      <w:tr>
        <w:trPr>
          <w:cantSplit/>
        </w:trPr>
        <w:tc>
          <w:tcPr>
            <w:tcW w:type="dxa" w:w="5083"/>
            <w:tcMar>
              <w:top w:w="45" w:type="dxa"/>
              <w:start w:w="65" w:type="dxa"/>
              <w:bottom w:w="45" w:type="dxa"/>
              <w:end w:w="65" w:type="dxa"/>
            </w:tcMar>
            <w:vAlign w:val="top"/>
          </w:tcPr>
          <w:p>
            <w:r/>
            <w:r>
              <w:rPr>
                <w:sz w:val="16"/>
              </w:rPr>
              <w:t>Analyst / validator</w:t>
            </w:r>
          </w:p>
        </w:tc>
        <w:tc>
          <w:tcPr>
            <w:tcW w:type="dxa" w:w="5083"/>
            <w:tcMar>
              <w:top w:w="45" w:type="dxa"/>
              <w:start w:w="65" w:type="dxa"/>
              <w:bottom w:w="45" w:type="dxa"/>
              <w:end w:w="65" w:type="dxa"/>
            </w:tcMar>
            <w:vAlign w:val="top"/>
          </w:tcPr>
          <w:p>
            <w:r/>
            <w:r>
              <w:rPr>
                <w:sz w:val="16"/>
              </w:rPr>
              <w:t>Exact keys, source populations, tooltips, diagnostic page, QA results</w:t>
            </w:r>
          </w:p>
        </w:tc>
      </w:tr>
      <w:tr>
        <w:trPr>
          <w:cantSplit/>
        </w:trPr>
        <w:tc>
          <w:tcPr>
            <w:tcW w:type="dxa" w:w="5083"/>
            <w:tcMar>
              <w:top w:w="45" w:type="dxa"/>
              <w:start w:w="65" w:type="dxa"/>
              <w:bottom w:w="45" w:type="dxa"/>
              <w:end w:w="65" w:type="dxa"/>
            </w:tcMar>
            <w:vAlign w:val="top"/>
            <w:shd w:fill="F2F7F6"/>
          </w:tcPr>
          <w:p>
            <w:r/>
            <w:r>
              <w:rPr>
                <w:sz w:val="16"/>
              </w:rPr>
              <w:t>GitHub / portfolio reviewer</w:t>
            </w:r>
          </w:p>
        </w:tc>
        <w:tc>
          <w:tcPr>
            <w:tcW w:type="dxa" w:w="5083"/>
            <w:tcMar>
              <w:top w:w="45" w:type="dxa"/>
              <w:start w:w="65" w:type="dxa"/>
              <w:bottom w:w="45" w:type="dxa"/>
              <w:end w:w="65" w:type="dxa"/>
            </w:tcMar>
            <w:vAlign w:val="top"/>
            <w:shd w:fill="F2F7F6"/>
          </w:tcPr>
          <w:p>
            <w:r/>
            <w:r>
              <w:rPr>
                <w:sz w:val="16"/>
              </w:rPr>
              <w:t>Professional product story, readable documentation, screenshots, PBIX, reproducibility</w:t>
            </w:r>
          </w:p>
        </w:tc>
      </w:tr>
      <w:tr>
        <w:trPr>
          <w:cantSplit/>
        </w:trPr>
        <w:tc>
          <w:tcPr>
            <w:tcW w:type="dxa" w:w="5083"/>
            <w:tcMar>
              <w:top w:w="45" w:type="dxa"/>
              <w:start w:w="65" w:type="dxa"/>
              <w:bottom w:w="45" w:type="dxa"/>
              <w:end w:w="65" w:type="dxa"/>
            </w:tcMar>
            <w:vAlign w:val="top"/>
          </w:tcPr>
          <w:p>
            <w:r/>
            <w:r>
              <w:rPr>
                <w:sz w:val="16"/>
              </w:rPr>
              <w:t>Future maintainer</w:t>
            </w:r>
          </w:p>
        </w:tc>
        <w:tc>
          <w:tcPr>
            <w:tcW w:type="dxa" w:w="5083"/>
            <w:tcMar>
              <w:top w:w="45" w:type="dxa"/>
              <w:start w:w="65" w:type="dxa"/>
              <w:bottom w:w="45" w:type="dxa"/>
              <w:end w:w="65" w:type="dxa"/>
            </w:tcMar>
            <w:vAlign w:val="top"/>
          </w:tcPr>
          <w:p>
            <w:r/>
            <w:r>
              <w:rPr>
                <w:sz w:val="16"/>
              </w:rPr>
              <w:t>Canonical source map, requirements, traceability, prohibited bindings, release gates</w:t>
            </w:r>
          </w:p>
        </w:tc>
      </w:tr>
    </w:tbl>
    <w:p>
      <w:pPr>
        <w:spacing w:after="20"/>
      </w:pPr>
    </w:p>
    <w:p>
      <w:pPr>
        <w:pStyle w:val="Heading1"/>
      </w:pPr>
      <w:r>
        <w:t>7. Governing principles</w:t>
      </w:r>
    </w:p>
    <w:p>
      <w:pPr>
        <w:pStyle w:val="Heading2"/>
      </w:pPr>
      <w:r>
        <w:t>7.1 Authority</w:t>
      </w:r>
    </w:p>
    <w:p>
      <w:r>
        <w:t>The accepted R26 M2.5-M2.12 / G3-v2 technical successor baseline is controlling. Power BI integration is version-separated and authorized. Public release remains a separate controlled action.</w:t>
      </w:r>
    </w:p>
    <w:p>
      <w:pPr>
        <w:pStyle w:val="Heading2"/>
      </w:pPr>
      <w:r>
        <w:t>7.2 Synthetic evidence</w:t>
      </w:r>
    </w:p>
    <w:p>
      <w:r>
        <w:t>All merchant, application, funding, lifecycle, monitoring, intervention, servicing, and certification data are deterministic synthetic evidence. They must not be represented as actual customer behavior or production execution.</w:t>
      </w:r>
    </w:p>
    <w:p>
      <w:pPr>
        <w:pStyle w:val="Heading2"/>
      </w:pPr>
      <w:r>
        <w:t>7.3 Scenario interpretation</w:t>
      </w:r>
    </w:p>
    <w:p>
      <w:r>
        <w:t>Baseline and Recession Energy are alternative governed scenarios applied to the same fixed application population. They are not sequential states, forecasts, macroeconomic projections, or realized outcomes.</w:t>
      </w:r>
    </w:p>
    <w:p>
      <w:pPr>
        <w:pStyle w:val="Heading2"/>
      </w:pPr>
      <w:r>
        <w:t>7.4 Source-owned logic</w:t>
      </w:r>
    </w:p>
    <w:p>
      <w:r>
        <w:t>Power BI may consume, aggregate, filter, label, narrate, and visualize accepted outputs. It may not recreate:</w:t>
      </w:r>
    </w:p>
    <w:p>
      <w:pPr>
        <w:pStyle w:val="ListBullet"/>
        <w:spacing w:after="30"/>
      </w:pPr>
      <w:r>
        <w:t>candidate feasibility;</w:t>
      </w:r>
    </w:p>
    <w:p>
      <w:pPr>
        <w:pStyle w:val="ListBullet"/>
        <w:spacing w:after="30"/>
      </w:pPr>
      <w:r>
        <w:t>strategy selection;</w:t>
      </w:r>
    </w:p>
    <w:p>
      <w:pPr>
        <w:pStyle w:val="ListBullet"/>
        <w:spacing w:after="30"/>
      </w:pPr>
      <w:r>
        <w:t>no-feasible proof;</w:t>
      </w:r>
    </w:p>
    <w:p>
      <w:pPr>
        <w:pStyle w:val="ListBullet"/>
        <w:spacing w:after="30"/>
      </w:pPr>
      <w:r>
        <w:t>stress-floor governance;</w:t>
      </w:r>
    </w:p>
    <w:p>
      <w:pPr>
        <w:pStyle w:val="ListBullet"/>
        <w:spacing w:after="30"/>
      </w:pPr>
      <w:r>
        <w:t>final decision authority;</w:t>
      </w:r>
    </w:p>
    <w:p>
      <w:pPr>
        <w:pStyle w:val="ListBullet"/>
        <w:spacing w:after="30"/>
      </w:pPr>
      <w:r>
        <w:t>servicing or payment methodology;</w:t>
      </w:r>
    </w:p>
    <w:p>
      <w:pPr>
        <w:pStyle w:val="ListBullet"/>
        <w:spacing w:after="30"/>
      </w:pPr>
      <w:r>
        <w:t>certification logic;</w:t>
      </w:r>
    </w:p>
    <w:p>
      <w:pPr>
        <w:pStyle w:val="ListBullet"/>
        <w:spacing w:after="30"/>
      </w:pPr>
      <w:r>
        <w:t>treatment effects.</w:t>
      </w:r>
    </w:p>
    <w:p>
      <w:pPr>
        <w:pStyle w:val="Heading2"/>
      </w:pPr>
      <w:r>
        <w:t>7.5 Exact identity</w:t>
      </w:r>
    </w:p>
    <w:p>
      <w:r>
        <w:rPr>
          <w:rFonts w:ascii="Aptos Mono" w:hAnsi="Aptos Mono" w:eastAsia="Aptos Mono"/>
          <w:color w:val="0F6663"/>
        </w:rPr>
        <w:t>ApplicationScenarioKey</w:t>
      </w:r>
      <w:r>
        <w:t xml:space="preserve"> is the exact identity across decision, funding, monitoring, servicing, and certification facts. Merchant-only joins are insufficient for cross-scenario analysis.</w:t>
      </w:r>
    </w:p>
    <w:p>
      <w:pPr>
        <w:pStyle w:val="Heading1"/>
      </w:pPr>
      <w:r>
        <w:t>8. Product architecture</w:t>
      </w:r>
    </w:p>
    <w:p>
      <w:pPr>
        <w:pStyle w:val="Heading2"/>
      </w:pPr>
      <w:r>
        <w:t>8.1 Report composition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7F7A"/>
            <w:tcMar>
              <w:top w:w="70" w:type="dxa"/>
              <w:start w:w="75" w:type="dxa"/>
              <w:bottom w:w="70" w:type="dxa"/>
              <w:end w:w="75" w:type="dxa"/>
            </w:tcMar>
            <w:vAlign w:val="center"/>
          </w:tcPr>
          <w:p>
            <w:r/>
            <w:r>
              <w:rPr>
                <w:b/>
                <w:color w:val="FFFFFF"/>
                <w:sz w:val="16"/>
              </w:rPr>
              <w:t>Order</w:t>
            </w:r>
          </w:p>
        </w:tc>
        <w:tc>
          <w:tcPr>
            <w:tcW w:type="dxa" w:w="2033"/>
            <w:shd w:fill="1F7F7A"/>
            <w:tcMar>
              <w:top w:w="70" w:type="dxa"/>
              <w:start w:w="75" w:type="dxa"/>
              <w:bottom w:w="70" w:type="dxa"/>
              <w:end w:w="75" w:type="dxa"/>
            </w:tcMar>
            <w:vAlign w:val="center"/>
          </w:tcPr>
          <w:p>
            <w:r/>
            <w:r>
              <w:rPr>
                <w:b/>
                <w:color w:val="FFFFFF"/>
                <w:sz w:val="16"/>
              </w:rPr>
              <w:t>Page</w:t>
            </w:r>
          </w:p>
        </w:tc>
        <w:tc>
          <w:tcPr>
            <w:tcW w:type="dxa" w:w="2033"/>
            <w:shd w:fill="1F7F7A"/>
            <w:tcMar>
              <w:top w:w="70" w:type="dxa"/>
              <w:start w:w="75" w:type="dxa"/>
              <w:bottom w:w="70" w:type="dxa"/>
              <w:end w:w="75" w:type="dxa"/>
            </w:tcMar>
            <w:vAlign w:val="center"/>
          </w:tcPr>
          <w:p>
            <w:r/>
            <w:r>
              <w:rPr>
                <w:b/>
                <w:color w:val="FFFFFF"/>
                <w:sz w:val="16"/>
              </w:rPr>
              <w:t>Visibility</w:t>
            </w:r>
          </w:p>
        </w:tc>
        <w:tc>
          <w:tcPr>
            <w:tcW w:type="dxa" w:w="2033"/>
            <w:shd w:fill="1F7F7A"/>
            <w:tcMar>
              <w:top w:w="70" w:type="dxa"/>
              <w:start w:w="75" w:type="dxa"/>
              <w:bottom w:w="70" w:type="dxa"/>
              <w:end w:w="75" w:type="dxa"/>
            </w:tcMar>
            <w:vAlign w:val="center"/>
          </w:tcPr>
          <w:p>
            <w:r/>
            <w:r>
              <w:rPr>
                <w:b/>
                <w:color w:val="FFFFFF"/>
                <w:sz w:val="16"/>
              </w:rPr>
              <w:t>Purpose</w:t>
            </w:r>
          </w:p>
        </w:tc>
        <w:tc>
          <w:tcPr>
            <w:tcW w:type="dxa" w:w="2033"/>
            <w:shd w:fill="1F7F7A"/>
            <w:tcMar>
              <w:top w:w="70" w:type="dxa"/>
              <w:start w:w="75" w:type="dxa"/>
              <w:bottom w:w="70" w:type="dxa"/>
              <w:end w:w="75" w:type="dxa"/>
            </w:tcMar>
            <w:vAlign w:val="center"/>
          </w:tcPr>
          <w:p>
            <w:r/>
            <w:r>
              <w:rPr>
                <w:b/>
                <w:color w:val="FFFFFF"/>
                <w:sz w:val="16"/>
              </w:rPr>
              <w:t>Visual count</w:t>
            </w:r>
          </w:p>
        </w:tc>
      </w:tr>
      <w:tr>
        <w:trPr>
          <w:cantSplit/>
        </w:trPr>
        <w:tc>
          <w:tcPr>
            <w:tcW w:type="dxa" w:w="2033"/>
            <w:tcMar>
              <w:top w:w="45" w:type="dxa"/>
              <w:start w:w="65" w:type="dxa"/>
              <w:bottom w:w="45" w:type="dxa"/>
              <w:end w:w="65" w:type="dxa"/>
            </w:tcMar>
            <w:vAlign w:val="top"/>
          </w:tcPr>
          <w:p>
            <w:r/>
            <w:r>
              <w:rPr>
                <w:sz w:val="16"/>
              </w:rPr>
              <w:t>1</w:t>
            </w:r>
          </w:p>
        </w:tc>
        <w:tc>
          <w:tcPr>
            <w:tcW w:type="dxa" w:w="2033"/>
            <w:tcMar>
              <w:top w:w="45" w:type="dxa"/>
              <w:start w:w="65" w:type="dxa"/>
              <w:bottom w:w="45" w:type="dxa"/>
              <w:end w:w="65" w:type="dxa"/>
            </w:tcMar>
            <w:vAlign w:val="top"/>
          </w:tcPr>
          <w:p>
            <w:r/>
            <w:r>
              <w:rPr>
                <w:sz w:val="16"/>
              </w:rPr>
              <w:t>P01 - Cohort Command Center</w:t>
            </w:r>
          </w:p>
        </w:tc>
        <w:tc>
          <w:tcPr>
            <w:tcW w:type="dxa" w:w="2033"/>
            <w:tcMar>
              <w:top w:w="45" w:type="dxa"/>
              <w:start w:w="65" w:type="dxa"/>
              <w:bottom w:w="45" w:type="dxa"/>
              <w:end w:w="65" w:type="dxa"/>
            </w:tcMar>
            <w:vAlign w:val="top"/>
          </w:tcPr>
          <w:p>
            <w:r/>
            <w:r>
              <w:rPr>
                <w:sz w:val="16"/>
              </w:rPr>
              <w:t>Visible</w:t>
            </w:r>
          </w:p>
        </w:tc>
        <w:tc>
          <w:tcPr>
            <w:tcW w:type="dxa" w:w="2033"/>
            <w:tcMar>
              <w:top w:w="45" w:type="dxa"/>
              <w:start w:w="65" w:type="dxa"/>
              <w:bottom w:w="45" w:type="dxa"/>
              <w:end w:w="65" w:type="dxa"/>
            </w:tcMar>
            <w:vAlign w:val="top"/>
          </w:tcPr>
          <w:p>
            <w:r/>
            <w:r>
              <w:rPr>
                <w:sz w:val="16"/>
              </w:rPr>
              <w:t>Executive portfolio, decision, risk, economics, endpoint, and governance summary</w:t>
            </w:r>
          </w:p>
        </w:tc>
        <w:tc>
          <w:tcPr>
            <w:tcW w:type="dxa" w:w="2033"/>
            <w:tcMar>
              <w:top w:w="45" w:type="dxa"/>
              <w:start w:w="65" w:type="dxa"/>
              <w:bottom w:w="45" w:type="dxa"/>
              <w:end w:w="65" w:type="dxa"/>
            </w:tcMar>
            <w:vAlign w:val="top"/>
          </w:tcPr>
          <w:p>
            <w:r/>
            <w:r>
              <w:rPr>
                <w:sz w:val="16"/>
              </w:rPr>
              <w:t>24</w:t>
            </w:r>
          </w:p>
        </w:tc>
      </w:tr>
      <w:tr>
        <w:trPr>
          <w:cantSplit/>
        </w:trPr>
        <w:tc>
          <w:tcPr>
            <w:tcW w:type="dxa" w:w="2033"/>
            <w:tcMar>
              <w:top w:w="45" w:type="dxa"/>
              <w:start w:w="65" w:type="dxa"/>
              <w:bottom w:w="45" w:type="dxa"/>
              <w:end w:w="65" w:type="dxa"/>
            </w:tcMar>
            <w:vAlign w:val="top"/>
            <w:shd w:fill="F2F7F6"/>
          </w:tcPr>
          <w:p>
            <w:r/>
            <w:r>
              <w:rPr>
                <w:sz w:val="16"/>
              </w:rPr>
              <w:t>2</w:t>
            </w:r>
          </w:p>
        </w:tc>
        <w:tc>
          <w:tcPr>
            <w:tcW w:type="dxa" w:w="2033"/>
            <w:tcMar>
              <w:top w:w="45" w:type="dxa"/>
              <w:start w:w="65" w:type="dxa"/>
              <w:bottom w:w="45" w:type="dxa"/>
              <w:end w:w="65" w:type="dxa"/>
            </w:tcMar>
            <w:vAlign w:val="top"/>
            <w:shd w:fill="F2F7F6"/>
          </w:tcPr>
          <w:p>
            <w:r/>
            <w:r>
              <w:rPr>
                <w:sz w:val="16"/>
              </w:rPr>
              <w:t>P02 - Cohort Lifecycle</w:t>
            </w:r>
          </w:p>
        </w:tc>
        <w:tc>
          <w:tcPr>
            <w:tcW w:type="dxa" w:w="2033"/>
            <w:tcMar>
              <w:top w:w="45" w:type="dxa"/>
              <w:start w:w="65" w:type="dxa"/>
              <w:bottom w:w="45" w:type="dxa"/>
              <w:end w:w="65" w:type="dxa"/>
            </w:tcMar>
            <w:vAlign w:val="top"/>
            <w:shd w:fill="F2F7F6"/>
          </w:tcPr>
          <w:p>
            <w:r/>
            <w:r>
              <w:rPr>
                <w:sz w:val="16"/>
              </w:rPr>
              <w:t>Visible</w:t>
            </w:r>
          </w:p>
        </w:tc>
        <w:tc>
          <w:tcPr>
            <w:tcW w:type="dxa" w:w="2033"/>
            <w:tcMar>
              <w:top w:w="45" w:type="dxa"/>
              <w:start w:w="65" w:type="dxa"/>
              <w:bottom w:w="45" w:type="dxa"/>
              <w:end w:w="65" w:type="dxa"/>
            </w:tcMar>
            <w:vAlign w:val="top"/>
            <w:shd w:fill="F2F7F6"/>
          </w:tcPr>
          <w:p>
            <w:r/>
            <w:r>
              <w:rPr>
                <w:sz w:val="16"/>
              </w:rPr>
              <w:t>Funded-cohort runoff, remittance, monitoring, and payoff analysis</w:t>
            </w:r>
          </w:p>
        </w:tc>
        <w:tc>
          <w:tcPr>
            <w:tcW w:type="dxa" w:w="2033"/>
            <w:tcMar>
              <w:top w:w="45" w:type="dxa"/>
              <w:start w:w="65" w:type="dxa"/>
              <w:bottom w:w="45" w:type="dxa"/>
              <w:end w:w="65" w:type="dxa"/>
            </w:tcMar>
            <w:vAlign w:val="top"/>
            <w:shd w:fill="F2F7F6"/>
          </w:tcPr>
          <w:p>
            <w:r/>
            <w:r>
              <w:rPr>
                <w:sz w:val="16"/>
              </w:rPr>
              <w:t>21</w:t>
            </w:r>
          </w:p>
        </w:tc>
      </w:tr>
      <w:tr>
        <w:trPr>
          <w:cantSplit/>
        </w:trPr>
        <w:tc>
          <w:tcPr>
            <w:tcW w:type="dxa" w:w="2033"/>
            <w:tcMar>
              <w:top w:w="45" w:type="dxa"/>
              <w:start w:w="65" w:type="dxa"/>
              <w:bottom w:w="45" w:type="dxa"/>
              <w:end w:w="65" w:type="dxa"/>
            </w:tcMar>
            <w:vAlign w:val="top"/>
          </w:tcPr>
          <w:p>
            <w:r/>
            <w:r>
              <w:rPr>
                <w:sz w:val="16"/>
              </w:rPr>
              <w:t>3</w:t>
            </w:r>
          </w:p>
        </w:tc>
        <w:tc>
          <w:tcPr>
            <w:tcW w:type="dxa" w:w="2033"/>
            <w:tcMar>
              <w:top w:w="45" w:type="dxa"/>
              <w:start w:w="65" w:type="dxa"/>
              <w:bottom w:w="45" w:type="dxa"/>
              <w:end w:w="65" w:type="dxa"/>
            </w:tcMar>
            <w:vAlign w:val="top"/>
          </w:tcPr>
          <w:p>
            <w:r/>
            <w:r>
              <w:rPr>
                <w:sz w:val="16"/>
              </w:rPr>
              <w:t>P02-DIAG - Attention States</w:t>
            </w:r>
          </w:p>
        </w:tc>
        <w:tc>
          <w:tcPr>
            <w:tcW w:type="dxa" w:w="2033"/>
            <w:tcMar>
              <w:top w:w="45" w:type="dxa"/>
              <w:start w:w="65" w:type="dxa"/>
              <w:bottom w:w="45" w:type="dxa"/>
              <w:end w:w="65" w:type="dxa"/>
            </w:tcMar>
            <w:vAlign w:val="top"/>
          </w:tcPr>
          <w:p>
            <w:r/>
            <w:r>
              <w:rPr>
                <w:sz w:val="16"/>
              </w:rPr>
              <w:t>Hidden</w:t>
            </w:r>
          </w:p>
        </w:tc>
        <w:tc>
          <w:tcPr>
            <w:tcW w:type="dxa" w:w="2033"/>
            <w:tcMar>
              <w:top w:w="45" w:type="dxa"/>
              <w:start w:w="65" w:type="dxa"/>
              <w:bottom w:w="45" w:type="dxa"/>
              <w:end w:w="65" w:type="dxa"/>
            </w:tcMar>
            <w:vAlign w:val="top"/>
          </w:tcPr>
          <w:p>
            <w:r/>
            <w:r>
              <w:rPr>
                <w:sz w:val="16"/>
              </w:rPr>
              <w:t>Internal alert/adverse-state diagnostic</w:t>
            </w:r>
          </w:p>
        </w:tc>
        <w:tc>
          <w:tcPr>
            <w:tcW w:type="dxa" w:w="2033"/>
            <w:tcMar>
              <w:top w:w="45" w:type="dxa"/>
              <w:start w:w="65" w:type="dxa"/>
              <w:bottom w:w="45" w:type="dxa"/>
              <w:end w:w="65" w:type="dxa"/>
            </w:tcMar>
            <w:vAlign w:val="top"/>
          </w:tcPr>
          <w:p>
            <w:r/>
            <w:r>
              <w:rPr>
                <w:sz w:val="16"/>
              </w:rPr>
              <w:t>9</w:t>
            </w:r>
          </w:p>
        </w:tc>
      </w:tr>
      <w:tr>
        <w:trPr>
          <w:cantSplit/>
        </w:trPr>
        <w:tc>
          <w:tcPr>
            <w:tcW w:type="dxa" w:w="2033"/>
            <w:tcMar>
              <w:top w:w="45" w:type="dxa"/>
              <w:start w:w="65" w:type="dxa"/>
              <w:bottom w:w="45" w:type="dxa"/>
              <w:end w:w="65" w:type="dxa"/>
            </w:tcMar>
            <w:vAlign w:val="top"/>
            <w:shd w:fill="F2F7F6"/>
          </w:tcPr>
          <w:p>
            <w:r/>
            <w:r>
              <w:rPr>
                <w:sz w:val="16"/>
              </w:rPr>
              <w:t>4</w:t>
            </w:r>
          </w:p>
        </w:tc>
        <w:tc>
          <w:tcPr>
            <w:tcW w:type="dxa" w:w="2033"/>
            <w:tcMar>
              <w:top w:w="45" w:type="dxa"/>
              <w:start w:w="65" w:type="dxa"/>
              <w:bottom w:w="45" w:type="dxa"/>
              <w:end w:w="65" w:type="dxa"/>
            </w:tcMar>
            <w:vAlign w:val="top"/>
            <w:shd w:fill="F2F7F6"/>
          </w:tcPr>
          <w:p>
            <w:r/>
            <w:r>
              <w:rPr>
                <w:sz w:val="16"/>
              </w:rPr>
              <w:t>P03 - Application Journey</w:t>
            </w:r>
          </w:p>
        </w:tc>
        <w:tc>
          <w:tcPr>
            <w:tcW w:type="dxa" w:w="2033"/>
            <w:tcMar>
              <w:top w:w="45" w:type="dxa"/>
              <w:start w:w="65" w:type="dxa"/>
              <w:bottom w:w="45" w:type="dxa"/>
              <w:end w:w="65" w:type="dxa"/>
            </w:tcMar>
            <w:vAlign w:val="top"/>
            <w:shd w:fill="F2F7F6"/>
          </w:tcPr>
          <w:p>
            <w:r/>
            <w:r>
              <w:rPr>
                <w:sz w:val="16"/>
              </w:rPr>
              <w:t>Visible</w:t>
            </w:r>
          </w:p>
        </w:tc>
        <w:tc>
          <w:tcPr>
            <w:tcW w:type="dxa" w:w="2033"/>
            <w:tcMar>
              <w:top w:w="45" w:type="dxa"/>
              <w:start w:w="65" w:type="dxa"/>
              <w:bottom w:w="45" w:type="dxa"/>
              <w:end w:w="65" w:type="dxa"/>
            </w:tcMar>
            <w:vAlign w:val="top"/>
            <w:shd w:fill="F2F7F6"/>
          </w:tcPr>
          <w:p>
            <w:r/>
            <w:r>
              <w:rPr>
                <w:sz w:val="16"/>
              </w:rPr>
              <w:t>Selected application-scenario decision rationale and funded-account journey</w:t>
            </w:r>
          </w:p>
        </w:tc>
        <w:tc>
          <w:tcPr>
            <w:tcW w:type="dxa" w:w="2033"/>
            <w:tcMar>
              <w:top w:w="45" w:type="dxa"/>
              <w:start w:w="65" w:type="dxa"/>
              <w:bottom w:w="45" w:type="dxa"/>
              <w:end w:w="65" w:type="dxa"/>
            </w:tcMar>
            <w:vAlign w:val="top"/>
            <w:shd w:fill="F2F7F6"/>
          </w:tcPr>
          <w:p>
            <w:r/>
            <w:r>
              <w:rPr>
                <w:sz w:val="16"/>
              </w:rPr>
              <w:t>25</w:t>
            </w:r>
          </w:p>
        </w:tc>
      </w:tr>
      <w:tr>
        <w:trPr>
          <w:cantSplit/>
        </w:trPr>
        <w:tc>
          <w:tcPr>
            <w:tcW w:type="dxa" w:w="2033"/>
            <w:tcMar>
              <w:top w:w="45" w:type="dxa"/>
              <w:start w:w="65" w:type="dxa"/>
              <w:bottom w:w="45" w:type="dxa"/>
              <w:end w:w="65" w:type="dxa"/>
            </w:tcMar>
            <w:vAlign w:val="top"/>
          </w:tcPr>
          <w:p>
            <w:r/>
            <w:r>
              <w:rPr>
                <w:sz w:val="16"/>
              </w:rPr>
              <w:t>5</w:t>
            </w:r>
          </w:p>
        </w:tc>
        <w:tc>
          <w:tcPr>
            <w:tcW w:type="dxa" w:w="2033"/>
            <w:tcMar>
              <w:top w:w="45" w:type="dxa"/>
              <w:start w:w="65" w:type="dxa"/>
              <w:bottom w:w="45" w:type="dxa"/>
              <w:end w:w="65" w:type="dxa"/>
            </w:tcMar>
            <w:vAlign w:val="top"/>
          </w:tcPr>
          <w:p>
            <w:r/>
            <w:r>
              <w:rPr>
                <w:sz w:val="16"/>
              </w:rPr>
              <w:t>P04 - Servicing &amp; Exceptions</w:t>
            </w:r>
          </w:p>
        </w:tc>
        <w:tc>
          <w:tcPr>
            <w:tcW w:type="dxa" w:w="2033"/>
            <w:tcMar>
              <w:top w:w="45" w:type="dxa"/>
              <w:start w:w="65" w:type="dxa"/>
              <w:bottom w:w="45" w:type="dxa"/>
              <w:end w:w="65" w:type="dxa"/>
            </w:tcMar>
            <w:vAlign w:val="top"/>
          </w:tcPr>
          <w:p>
            <w:r/>
            <w:r>
              <w:rPr>
                <w:sz w:val="16"/>
              </w:rPr>
              <w:t>Visible</w:t>
            </w:r>
          </w:p>
        </w:tc>
        <w:tc>
          <w:tcPr>
            <w:tcW w:type="dxa" w:w="2033"/>
            <w:tcMar>
              <w:top w:w="45" w:type="dxa"/>
              <w:start w:w="65" w:type="dxa"/>
              <w:bottom w:w="45" w:type="dxa"/>
              <w:end w:w="65" w:type="dxa"/>
            </w:tcMar>
            <w:vAlign w:val="top"/>
          </w:tcPr>
          <w:p>
            <w:r/>
            <w:r>
              <w:rPr>
                <w:sz w:val="16"/>
              </w:rPr>
              <w:t>Endpoint attention, intervention, servicing, payment, and certification view</w:t>
            </w:r>
          </w:p>
        </w:tc>
        <w:tc>
          <w:tcPr>
            <w:tcW w:type="dxa" w:w="2033"/>
            <w:tcMar>
              <w:top w:w="45" w:type="dxa"/>
              <w:start w:w="65" w:type="dxa"/>
              <w:bottom w:w="45" w:type="dxa"/>
              <w:end w:w="65" w:type="dxa"/>
            </w:tcMar>
            <w:vAlign w:val="top"/>
          </w:tcPr>
          <w:p>
            <w:r/>
            <w:r>
              <w:rPr>
                <w:sz w:val="16"/>
              </w:rPr>
              <w:t>17</w:t>
            </w:r>
          </w:p>
        </w:tc>
      </w:tr>
    </w:tbl>
    <w:p>
      <w:pPr>
        <w:spacing w:after="20"/>
      </w:pPr>
    </w:p>
    <w:p>
      <w:pPr>
        <w:pStyle w:val="Heading2"/>
      </w:pPr>
      <w:r>
        <w:t>8.2 Analytical narrative</w:t>
      </w:r>
    </w:p>
    <w:p>
      <w:r>
        <w:t>The page sequence shall tell this story:</w:t>
      </w:r>
    </w:p>
    <w:p>
      <w:pPr>
        <w:pStyle w:val="MSBFCallout"/>
        <w:shd w:fill="DCEFED"/>
      </w:pPr>
      <w:r>
        <w:t>Cohort and decisions -&gt; funded lifecycle -&gt; selected application rationale -&gt; endpoint servicing and certification.</w:t>
      </w:r>
    </w:p>
    <w:p>
      <w:r>
        <w:t>The user should be able to begin with the portfolio, identify material outcomes or segments, inspect how funded accounts performed, understand one application's governed decision, and finally review operational attention and certification.</w:t>
      </w:r>
    </w:p>
    <w:p>
      <w:pPr>
        <w:pStyle w:val="Heading1"/>
      </w:pPr>
      <w:r>
        <w:t>9. Data requirements</w:t>
      </w:r>
    </w:p>
    <w:p>
      <w:pPr>
        <w:pStyle w:val="Heading2"/>
      </w:pPr>
      <w:r>
        <w:t>9.1 Core source populations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7F7A"/>
            <w:tcMar>
              <w:top w:w="70" w:type="dxa"/>
              <w:start w:w="75" w:type="dxa"/>
              <w:bottom w:w="70" w:type="dxa"/>
              <w:end w:w="75" w:type="dxa"/>
            </w:tcMar>
            <w:vAlign w:val="center"/>
          </w:tcPr>
          <w:p>
            <w:r/>
            <w:r>
              <w:rPr>
                <w:b/>
                <w:color w:val="FFFFFF"/>
                <w:sz w:val="16"/>
              </w:rPr>
              <w:t>Source object</w:t>
            </w:r>
          </w:p>
        </w:tc>
        <w:tc>
          <w:tcPr>
            <w:tcW w:type="dxa" w:w="3389"/>
            <w:shd w:fill="1F7F7A"/>
            <w:tcMar>
              <w:top w:w="70" w:type="dxa"/>
              <w:start w:w="75" w:type="dxa"/>
              <w:bottom w:w="70" w:type="dxa"/>
              <w:end w:w="75" w:type="dxa"/>
            </w:tcMar>
            <w:vAlign w:val="center"/>
          </w:tcPr>
          <w:p>
            <w:r/>
            <w:r>
              <w:rPr>
                <w:b/>
                <w:color w:val="FFFFFF"/>
                <w:sz w:val="16"/>
              </w:rPr>
              <w:t>Required population</w:t>
            </w:r>
          </w:p>
        </w:tc>
        <w:tc>
          <w:tcPr>
            <w:tcW w:type="dxa" w:w="3389"/>
            <w:shd w:fill="1F7F7A"/>
            <w:tcMar>
              <w:top w:w="70" w:type="dxa"/>
              <w:start w:w="75" w:type="dxa"/>
              <w:bottom w:w="70" w:type="dxa"/>
              <w:end w:w="75" w:type="dxa"/>
            </w:tcMar>
            <w:vAlign w:val="center"/>
          </w:tcPr>
          <w:p>
            <w:r/>
            <w:r>
              <w:rPr>
                <w:b/>
                <w:color w:val="FFFFFF"/>
                <w:sz w:val="16"/>
              </w:rPr>
              <w:t>Business purpose</w:t>
            </w:r>
          </w:p>
        </w:tc>
      </w:tr>
      <w:tr>
        <w:trPr>
          <w:cantSplit/>
        </w:trPr>
        <w:tc>
          <w:tcPr>
            <w:tcW w:type="dxa" w:w="3389"/>
            <w:tcMar>
              <w:top w:w="45" w:type="dxa"/>
              <w:start w:w="65" w:type="dxa"/>
              <w:bottom w:w="45" w:type="dxa"/>
              <w:end w:w="65" w:type="dxa"/>
            </w:tcMar>
            <w:vAlign w:val="top"/>
          </w:tcPr>
          <w:p>
            <w:r/>
            <w:r>
              <w:rPr>
                <w:sz w:val="16"/>
              </w:rPr>
              <w:t>R1DimApplicationScenario</w:t>
            </w:r>
          </w:p>
        </w:tc>
        <w:tc>
          <w:tcPr>
            <w:tcW w:type="dxa" w:w="3389"/>
            <w:tcMar>
              <w:top w:w="45" w:type="dxa"/>
              <w:start w:w="65" w:type="dxa"/>
              <w:bottom w:w="45" w:type="dxa"/>
              <w:end w:w="65" w:type="dxa"/>
            </w:tcMar>
            <w:vAlign w:val="top"/>
          </w:tcPr>
          <w:p>
            <w:r/>
            <w:r>
              <w:rPr>
                <w:sz w:val="16"/>
              </w:rPr>
              <w:t>1,500</w:t>
            </w:r>
          </w:p>
        </w:tc>
        <w:tc>
          <w:tcPr>
            <w:tcW w:type="dxa" w:w="3389"/>
            <w:tcMar>
              <w:top w:w="45" w:type="dxa"/>
              <w:start w:w="65" w:type="dxa"/>
              <w:bottom w:w="45" w:type="dxa"/>
              <w:end w:w="65" w:type="dxa"/>
            </w:tcMar>
            <w:vAlign w:val="top"/>
          </w:tcPr>
          <w:p>
            <w:r/>
            <w:r>
              <w:rPr>
                <w:sz w:val="16"/>
              </w:rPr>
              <w:t>Application-scenario profile, request, evidence, and governed outcome context</w:t>
            </w:r>
          </w:p>
        </w:tc>
      </w:tr>
      <w:tr>
        <w:trPr>
          <w:cantSplit/>
        </w:trPr>
        <w:tc>
          <w:tcPr>
            <w:tcW w:type="dxa" w:w="3389"/>
            <w:tcMar>
              <w:top w:w="45" w:type="dxa"/>
              <w:start w:w="65" w:type="dxa"/>
              <w:bottom w:w="45" w:type="dxa"/>
              <w:end w:w="65" w:type="dxa"/>
            </w:tcMar>
            <w:vAlign w:val="top"/>
            <w:shd w:fill="F2F7F6"/>
          </w:tcPr>
          <w:p>
            <w:r/>
            <w:r>
              <w:rPr>
                <w:sz w:val="16"/>
              </w:rPr>
              <w:t>R1FactFinalDecision</w:t>
            </w:r>
          </w:p>
        </w:tc>
        <w:tc>
          <w:tcPr>
            <w:tcW w:type="dxa" w:w="3389"/>
            <w:tcMar>
              <w:top w:w="45" w:type="dxa"/>
              <w:start w:w="65" w:type="dxa"/>
              <w:bottom w:w="45" w:type="dxa"/>
              <w:end w:w="65" w:type="dxa"/>
            </w:tcMar>
            <w:vAlign w:val="top"/>
            <w:shd w:fill="F2F7F6"/>
          </w:tcPr>
          <w:p>
            <w:r/>
            <w:r>
              <w:rPr>
                <w:sz w:val="16"/>
              </w:rPr>
              <w:t>1,500</w:t>
            </w:r>
          </w:p>
        </w:tc>
        <w:tc>
          <w:tcPr>
            <w:tcW w:type="dxa" w:w="3389"/>
            <w:tcMar>
              <w:top w:w="45" w:type="dxa"/>
              <w:start w:w="65" w:type="dxa"/>
              <w:bottom w:w="45" w:type="dxa"/>
              <w:end w:w="65" w:type="dxa"/>
            </w:tcMar>
            <w:vAlign w:val="top"/>
            <w:shd w:fill="F2F7F6"/>
          </w:tcPr>
          <w:p>
            <w:r/>
            <w:r>
              <w:rPr>
                <w:sz w:val="16"/>
              </w:rPr>
              <w:t>Final outcome and selected/proposed structure</w:t>
            </w:r>
          </w:p>
        </w:tc>
      </w:tr>
      <w:tr>
        <w:trPr>
          <w:cantSplit/>
        </w:trPr>
        <w:tc>
          <w:tcPr>
            <w:tcW w:type="dxa" w:w="3389"/>
            <w:tcMar>
              <w:top w:w="45" w:type="dxa"/>
              <w:start w:w="65" w:type="dxa"/>
              <w:bottom w:w="45" w:type="dxa"/>
              <w:end w:w="65" w:type="dxa"/>
            </w:tcMar>
            <w:vAlign w:val="top"/>
          </w:tcPr>
          <w:p>
            <w:r/>
            <w:r>
              <w:rPr>
                <w:sz w:val="16"/>
              </w:rPr>
              <w:t>R1FactFundedLifecycle</w:t>
            </w:r>
          </w:p>
        </w:tc>
        <w:tc>
          <w:tcPr>
            <w:tcW w:type="dxa" w:w="3389"/>
            <w:tcMar>
              <w:top w:w="45" w:type="dxa"/>
              <w:start w:w="65" w:type="dxa"/>
              <w:bottom w:w="45" w:type="dxa"/>
              <w:end w:w="65" w:type="dxa"/>
            </w:tcMar>
            <w:vAlign w:val="top"/>
          </w:tcPr>
          <w:p>
            <w:r/>
            <w:r>
              <w:rPr>
                <w:sz w:val="16"/>
              </w:rPr>
              <w:t>130</w:t>
            </w:r>
          </w:p>
        </w:tc>
        <w:tc>
          <w:tcPr>
            <w:tcW w:type="dxa" w:w="3389"/>
            <w:tcMar>
              <w:top w:w="45" w:type="dxa"/>
              <w:start w:w="65" w:type="dxa"/>
              <w:bottom w:w="45" w:type="dxa"/>
              <w:end w:w="65" w:type="dxa"/>
            </w:tcMar>
            <w:vAlign w:val="top"/>
          </w:tcPr>
          <w:p>
            <w:r/>
            <w:r>
              <w:rPr>
                <w:sz w:val="16"/>
              </w:rPr>
              <w:t>Physical funding identity and date</w:t>
            </w:r>
          </w:p>
        </w:tc>
      </w:tr>
      <w:tr>
        <w:trPr>
          <w:cantSplit/>
        </w:trPr>
        <w:tc>
          <w:tcPr>
            <w:tcW w:type="dxa" w:w="3389"/>
            <w:tcMar>
              <w:top w:w="45" w:type="dxa"/>
              <w:start w:w="65" w:type="dxa"/>
              <w:bottom w:w="45" w:type="dxa"/>
              <w:end w:w="65" w:type="dxa"/>
            </w:tcMar>
            <w:vAlign w:val="top"/>
            <w:shd w:fill="F2F7F6"/>
          </w:tcPr>
          <w:p>
            <w:r/>
            <w:r>
              <w:rPr>
                <w:sz w:val="16"/>
              </w:rPr>
              <w:t>R1FactDailyMonitoring</w:t>
            </w:r>
          </w:p>
        </w:tc>
        <w:tc>
          <w:tcPr>
            <w:tcW w:type="dxa" w:w="3389"/>
            <w:tcMar>
              <w:top w:w="45" w:type="dxa"/>
              <w:start w:w="65" w:type="dxa"/>
              <w:bottom w:w="45" w:type="dxa"/>
              <w:end w:w="65" w:type="dxa"/>
            </w:tcMar>
            <w:vAlign w:val="top"/>
            <w:shd w:fill="F2F7F6"/>
          </w:tcPr>
          <w:p>
            <w:r/>
            <w:r>
              <w:rPr>
                <w:sz w:val="16"/>
              </w:rPr>
              <w:t>15,600 = 130 x 120</w:t>
            </w:r>
          </w:p>
        </w:tc>
        <w:tc>
          <w:tcPr>
            <w:tcW w:type="dxa" w:w="3389"/>
            <w:tcMar>
              <w:top w:w="45" w:type="dxa"/>
              <w:start w:w="65" w:type="dxa"/>
              <w:bottom w:w="45" w:type="dxa"/>
              <w:end w:w="65" w:type="dxa"/>
            </w:tcMar>
            <w:vAlign w:val="top"/>
            <w:shd w:fill="F2F7F6"/>
          </w:tcPr>
          <w:p>
            <w:r/>
            <w:r>
              <w:rPr>
                <w:sz w:val="16"/>
              </w:rPr>
              <w:t>Daily receivable, remittance, status, alert, and shortfall evidence</w:t>
            </w:r>
          </w:p>
        </w:tc>
      </w:tr>
      <w:tr>
        <w:trPr>
          <w:cantSplit/>
        </w:trPr>
        <w:tc>
          <w:tcPr>
            <w:tcW w:type="dxa" w:w="3389"/>
            <w:tcMar>
              <w:top w:w="45" w:type="dxa"/>
              <w:start w:w="65" w:type="dxa"/>
              <w:bottom w:w="45" w:type="dxa"/>
              <w:end w:w="65" w:type="dxa"/>
            </w:tcMar>
            <w:vAlign w:val="top"/>
          </w:tcPr>
          <w:p>
            <w:r/>
            <w:r>
              <w:rPr>
                <w:sz w:val="16"/>
              </w:rPr>
              <w:t>R1FactIntervention</w:t>
            </w:r>
          </w:p>
        </w:tc>
        <w:tc>
          <w:tcPr>
            <w:tcW w:type="dxa" w:w="3389"/>
            <w:tcMar>
              <w:top w:w="45" w:type="dxa"/>
              <w:start w:w="65" w:type="dxa"/>
              <w:bottom w:w="45" w:type="dxa"/>
              <w:end w:w="65" w:type="dxa"/>
            </w:tcMar>
            <w:vAlign w:val="top"/>
          </w:tcPr>
          <w:p>
            <w:r/>
            <w:r>
              <w:rPr>
                <w:sz w:val="16"/>
              </w:rPr>
              <w:t>130</w:t>
            </w:r>
          </w:p>
        </w:tc>
        <w:tc>
          <w:tcPr>
            <w:tcW w:type="dxa" w:w="3389"/>
            <w:tcMar>
              <w:top w:w="45" w:type="dxa"/>
              <w:start w:w="65" w:type="dxa"/>
              <w:bottom w:w="45" w:type="dxa"/>
              <w:end w:w="65" w:type="dxa"/>
            </w:tcMar>
            <w:vAlign w:val="top"/>
          </w:tcPr>
          <w:p>
            <w:r/>
            <w:r>
              <w:rPr>
                <w:sz w:val="16"/>
              </w:rPr>
              <w:t>M2.6 recommended servicing strategy</w:t>
            </w:r>
          </w:p>
        </w:tc>
      </w:tr>
      <w:tr>
        <w:trPr>
          <w:cantSplit/>
        </w:trPr>
        <w:tc>
          <w:tcPr>
            <w:tcW w:type="dxa" w:w="3389"/>
            <w:tcMar>
              <w:top w:w="45" w:type="dxa"/>
              <w:start w:w="65" w:type="dxa"/>
              <w:bottom w:w="45" w:type="dxa"/>
              <w:end w:w="65" w:type="dxa"/>
            </w:tcMar>
            <w:vAlign w:val="top"/>
            <w:shd w:fill="F2F7F6"/>
          </w:tcPr>
          <w:p>
            <w:r/>
            <w:r>
              <w:rPr>
                <w:sz w:val="16"/>
              </w:rPr>
              <w:t>R1FactOperationalSetup</w:t>
            </w:r>
          </w:p>
        </w:tc>
        <w:tc>
          <w:tcPr>
            <w:tcW w:type="dxa" w:w="3389"/>
            <w:tcMar>
              <w:top w:w="45" w:type="dxa"/>
              <w:start w:w="65" w:type="dxa"/>
              <w:bottom w:w="45" w:type="dxa"/>
              <w:end w:w="65" w:type="dxa"/>
            </w:tcMar>
            <w:vAlign w:val="top"/>
            <w:shd w:fill="F2F7F6"/>
          </w:tcPr>
          <w:p>
            <w:r/>
            <w:r>
              <w:rPr>
                <w:sz w:val="16"/>
              </w:rPr>
              <w:t>130</w:t>
            </w:r>
          </w:p>
        </w:tc>
        <w:tc>
          <w:tcPr>
            <w:tcW w:type="dxa" w:w="3389"/>
            <w:tcMar>
              <w:top w:w="45" w:type="dxa"/>
              <w:start w:w="65" w:type="dxa"/>
              <w:bottom w:w="45" w:type="dxa"/>
              <w:end w:w="65" w:type="dxa"/>
            </w:tcMar>
            <w:vAlign w:val="top"/>
            <w:shd w:fill="F2F7F6"/>
          </w:tcPr>
          <w:p>
            <w:r/>
            <w:r>
              <w:rPr>
                <w:sz w:val="16"/>
              </w:rPr>
              <w:t>M2.7 operational setup and governance state</w:t>
            </w:r>
          </w:p>
        </w:tc>
      </w:tr>
      <w:tr>
        <w:trPr>
          <w:cantSplit/>
        </w:trPr>
        <w:tc>
          <w:tcPr>
            <w:tcW w:type="dxa" w:w="3389"/>
            <w:tcMar>
              <w:top w:w="45" w:type="dxa"/>
              <w:start w:w="65" w:type="dxa"/>
              <w:bottom w:w="45" w:type="dxa"/>
              <w:end w:w="65" w:type="dxa"/>
            </w:tcMar>
            <w:vAlign w:val="top"/>
          </w:tcPr>
          <w:p>
            <w:r/>
            <w:r>
              <w:rPr>
                <w:sz w:val="16"/>
              </w:rPr>
              <w:t>R1FactServicingExecution</w:t>
            </w:r>
          </w:p>
        </w:tc>
        <w:tc>
          <w:tcPr>
            <w:tcW w:type="dxa" w:w="3389"/>
            <w:tcMar>
              <w:top w:w="45" w:type="dxa"/>
              <w:start w:w="65" w:type="dxa"/>
              <w:bottom w:w="45" w:type="dxa"/>
              <w:end w:w="65" w:type="dxa"/>
            </w:tcMar>
            <w:vAlign w:val="top"/>
          </w:tcPr>
          <w:p>
            <w:r/>
            <w:r>
              <w:rPr>
                <w:sz w:val="16"/>
              </w:rPr>
              <w:t>130</w:t>
            </w:r>
          </w:p>
        </w:tc>
        <w:tc>
          <w:tcPr>
            <w:tcW w:type="dxa" w:w="3389"/>
            <w:tcMar>
              <w:top w:w="45" w:type="dxa"/>
              <w:start w:w="65" w:type="dxa"/>
              <w:bottom w:w="45" w:type="dxa"/>
              <w:end w:w="65" w:type="dxa"/>
            </w:tcMar>
            <w:vAlign w:val="top"/>
          </w:tcPr>
          <w:p>
            <w:r/>
            <w:r>
              <w:rPr>
                <w:sz w:val="16"/>
              </w:rPr>
              <w:t>M2.8 synthetic payment and servicing execution</w:t>
            </w:r>
          </w:p>
        </w:tc>
      </w:tr>
      <w:tr>
        <w:trPr>
          <w:cantSplit/>
        </w:trPr>
        <w:tc>
          <w:tcPr>
            <w:tcW w:type="dxa" w:w="3389"/>
            <w:tcMar>
              <w:top w:w="45" w:type="dxa"/>
              <w:start w:w="65" w:type="dxa"/>
              <w:bottom w:w="45" w:type="dxa"/>
              <w:end w:w="65" w:type="dxa"/>
            </w:tcMar>
            <w:vAlign w:val="top"/>
            <w:shd w:fill="F2F7F6"/>
          </w:tcPr>
          <w:p>
            <w:r/>
            <w:r>
              <w:rPr>
                <w:sz w:val="16"/>
              </w:rPr>
              <w:t>R1FactAccountCertification</w:t>
            </w:r>
          </w:p>
        </w:tc>
        <w:tc>
          <w:tcPr>
            <w:tcW w:type="dxa" w:w="3389"/>
            <w:tcMar>
              <w:top w:w="45" w:type="dxa"/>
              <w:start w:w="65" w:type="dxa"/>
              <w:bottom w:w="45" w:type="dxa"/>
              <w:end w:w="65" w:type="dxa"/>
            </w:tcMar>
            <w:vAlign w:val="top"/>
            <w:shd w:fill="F2F7F6"/>
          </w:tcPr>
          <w:p>
            <w:r/>
            <w:r>
              <w:rPr>
                <w:sz w:val="16"/>
              </w:rPr>
              <w:t>130</w:t>
            </w:r>
          </w:p>
        </w:tc>
        <w:tc>
          <w:tcPr>
            <w:tcW w:type="dxa" w:w="3389"/>
            <w:tcMar>
              <w:top w:w="45" w:type="dxa"/>
              <w:start w:w="65" w:type="dxa"/>
              <w:bottom w:w="45" w:type="dxa"/>
              <w:end w:w="65" w:type="dxa"/>
            </w:tcMar>
            <w:vAlign w:val="top"/>
            <w:shd w:fill="F2F7F6"/>
          </w:tcPr>
          <w:p>
            <w:r/>
            <w:r>
              <w:rPr>
                <w:sz w:val="16"/>
              </w:rPr>
              <w:t>M2.9 reconciliation and account-state certification</w:t>
            </w:r>
          </w:p>
        </w:tc>
      </w:tr>
      <w:tr>
        <w:trPr>
          <w:cantSplit/>
        </w:trPr>
        <w:tc>
          <w:tcPr>
            <w:tcW w:type="dxa" w:w="3389"/>
            <w:tcMar>
              <w:top w:w="45" w:type="dxa"/>
              <w:start w:w="65" w:type="dxa"/>
              <w:bottom w:w="45" w:type="dxa"/>
              <w:end w:w="65" w:type="dxa"/>
            </w:tcMar>
            <w:vAlign w:val="top"/>
          </w:tcPr>
          <w:p>
            <w:r/>
            <w:r>
              <w:rPr>
                <w:sz w:val="16"/>
              </w:rPr>
              <w:t>R1FactPortfolioPerformance</w:t>
            </w:r>
          </w:p>
        </w:tc>
        <w:tc>
          <w:tcPr>
            <w:tcW w:type="dxa" w:w="3389"/>
            <w:tcMar>
              <w:top w:w="45" w:type="dxa"/>
              <w:start w:w="65" w:type="dxa"/>
              <w:bottom w:w="45" w:type="dxa"/>
              <w:end w:w="65" w:type="dxa"/>
            </w:tcMar>
            <w:vAlign w:val="top"/>
          </w:tcPr>
          <w:p>
            <w:r/>
            <w:r>
              <w:rPr>
                <w:sz w:val="16"/>
              </w:rPr>
              <w:t>130</w:t>
            </w:r>
          </w:p>
        </w:tc>
        <w:tc>
          <w:tcPr>
            <w:tcW w:type="dxa" w:w="3389"/>
            <w:tcMar>
              <w:top w:w="45" w:type="dxa"/>
              <w:start w:w="65" w:type="dxa"/>
              <w:bottom w:w="45" w:type="dxa"/>
              <w:end w:w="65" w:type="dxa"/>
            </w:tcMar>
            <w:vAlign w:val="top"/>
          </w:tcPr>
          <w:p>
            <w:r/>
            <w:r>
              <w:rPr>
                <w:sz w:val="16"/>
              </w:rPr>
              <w:t>M2.10 endpoint performance and servicing queue</w:t>
            </w:r>
          </w:p>
        </w:tc>
      </w:tr>
      <w:tr>
        <w:trPr>
          <w:cantSplit/>
        </w:trPr>
        <w:tc>
          <w:tcPr>
            <w:tcW w:type="dxa" w:w="3389"/>
            <w:tcMar>
              <w:top w:w="45" w:type="dxa"/>
              <w:start w:w="65" w:type="dxa"/>
              <w:bottom w:w="45" w:type="dxa"/>
              <w:end w:w="65" w:type="dxa"/>
            </w:tcMar>
            <w:vAlign w:val="top"/>
            <w:shd w:fill="F2F7F6"/>
          </w:tcPr>
          <w:p>
            <w:r/>
            <w:r>
              <w:rPr>
                <w:sz w:val="16"/>
              </w:rPr>
              <w:t>R1FactCandidateEvaluation</w:t>
            </w:r>
          </w:p>
        </w:tc>
        <w:tc>
          <w:tcPr>
            <w:tcW w:type="dxa" w:w="3389"/>
            <w:tcMar>
              <w:top w:w="45" w:type="dxa"/>
              <w:start w:w="65" w:type="dxa"/>
              <w:bottom w:w="45" w:type="dxa"/>
              <w:end w:w="65" w:type="dxa"/>
            </w:tcMar>
            <w:vAlign w:val="top"/>
            <w:shd w:fill="F2F7F6"/>
          </w:tcPr>
          <w:p>
            <w:r/>
            <w:r>
              <w:rPr>
                <w:sz w:val="16"/>
              </w:rPr>
              <w:t>52,152</w:t>
            </w:r>
          </w:p>
        </w:tc>
        <w:tc>
          <w:tcPr>
            <w:tcW w:type="dxa" w:w="3389"/>
            <w:tcMar>
              <w:top w:w="45" w:type="dxa"/>
              <w:start w:w="65" w:type="dxa"/>
              <w:bottom w:w="45" w:type="dxa"/>
              <w:end w:w="65" w:type="dxa"/>
            </w:tcMar>
            <w:vAlign w:val="top"/>
            <w:shd w:fill="F2F7F6"/>
          </w:tcPr>
          <w:p>
            <w:r/>
            <w:r>
              <w:rPr>
                <w:sz w:val="16"/>
              </w:rPr>
              <w:t>Accepted M2.11 candidate-profile evaluation population</w:t>
            </w:r>
          </w:p>
        </w:tc>
      </w:tr>
      <w:tr>
        <w:trPr>
          <w:cantSplit/>
        </w:trPr>
        <w:tc>
          <w:tcPr>
            <w:tcW w:type="dxa" w:w="3389"/>
            <w:tcMar>
              <w:top w:w="45" w:type="dxa"/>
              <w:start w:w="65" w:type="dxa"/>
              <w:bottom w:w="45" w:type="dxa"/>
              <w:end w:w="65" w:type="dxa"/>
            </w:tcMar>
            <w:vAlign w:val="top"/>
          </w:tcPr>
          <w:p>
            <w:r/>
            <w:r>
              <w:rPr>
                <w:sz w:val="16"/>
              </w:rPr>
              <w:t>R1FactApplicationStrategySimulation</w:t>
            </w:r>
          </w:p>
        </w:tc>
        <w:tc>
          <w:tcPr>
            <w:tcW w:type="dxa" w:w="3389"/>
            <w:tcMar>
              <w:top w:w="45" w:type="dxa"/>
              <w:start w:w="65" w:type="dxa"/>
              <w:bottom w:w="45" w:type="dxa"/>
              <w:end w:w="65" w:type="dxa"/>
            </w:tcMar>
            <w:vAlign w:val="top"/>
          </w:tcPr>
          <w:p>
            <w:r/>
            <w:r>
              <w:rPr>
                <w:sz w:val="16"/>
              </w:rPr>
              <w:t>12,000</w:t>
            </w:r>
          </w:p>
        </w:tc>
        <w:tc>
          <w:tcPr>
            <w:tcW w:type="dxa" w:w="3389"/>
            <w:tcMar>
              <w:top w:w="45" w:type="dxa"/>
              <w:start w:w="65" w:type="dxa"/>
              <w:bottom w:w="45" w:type="dxa"/>
              <w:end w:w="65" w:type="dxa"/>
            </w:tcMar>
            <w:vAlign w:val="top"/>
          </w:tcPr>
          <w:p>
            <w:r/>
            <w:r>
              <w:rPr>
                <w:sz w:val="16"/>
              </w:rPr>
              <w:t>Accepted application-profile simulation population</w:t>
            </w:r>
          </w:p>
        </w:tc>
      </w:tr>
      <w:tr>
        <w:trPr>
          <w:cantSplit/>
        </w:trPr>
        <w:tc>
          <w:tcPr>
            <w:tcW w:type="dxa" w:w="3389"/>
            <w:tcMar>
              <w:top w:w="45" w:type="dxa"/>
              <w:start w:w="65" w:type="dxa"/>
              <w:bottom w:w="45" w:type="dxa"/>
              <w:end w:w="65" w:type="dxa"/>
            </w:tcMar>
            <w:vAlign w:val="top"/>
            <w:shd w:fill="F2F7F6"/>
          </w:tcPr>
          <w:p>
            <w:r/>
            <w:r>
              <w:rPr>
                <w:sz w:val="16"/>
              </w:rPr>
              <w:t>R1FactAccountStrategySimulation</w:t>
            </w:r>
          </w:p>
        </w:tc>
        <w:tc>
          <w:tcPr>
            <w:tcW w:type="dxa" w:w="3389"/>
            <w:tcMar>
              <w:top w:w="45" w:type="dxa"/>
              <w:start w:w="65" w:type="dxa"/>
              <w:bottom w:w="45" w:type="dxa"/>
              <w:end w:w="65" w:type="dxa"/>
            </w:tcMar>
            <w:vAlign w:val="top"/>
            <w:shd w:fill="F2F7F6"/>
          </w:tcPr>
          <w:p>
            <w:r/>
            <w:r>
              <w:rPr>
                <w:sz w:val="16"/>
              </w:rPr>
              <w:t>1,040</w:t>
            </w:r>
          </w:p>
        </w:tc>
        <w:tc>
          <w:tcPr>
            <w:tcW w:type="dxa" w:w="3389"/>
            <w:tcMar>
              <w:top w:w="45" w:type="dxa"/>
              <w:start w:w="65" w:type="dxa"/>
              <w:bottom w:w="45" w:type="dxa"/>
              <w:end w:w="65" w:type="dxa"/>
            </w:tcMar>
            <w:vAlign w:val="top"/>
            <w:shd w:fill="F2F7F6"/>
          </w:tcPr>
          <w:p>
            <w:r/>
            <w:r>
              <w:rPr>
                <w:sz w:val="16"/>
              </w:rPr>
              <w:t>Accepted funded-account profile simulation population</w:t>
            </w:r>
          </w:p>
        </w:tc>
      </w:tr>
      <w:tr>
        <w:trPr>
          <w:cantSplit/>
        </w:trPr>
        <w:tc>
          <w:tcPr>
            <w:tcW w:type="dxa" w:w="3389"/>
            <w:tcMar>
              <w:top w:w="45" w:type="dxa"/>
              <w:start w:w="65" w:type="dxa"/>
              <w:bottom w:w="45" w:type="dxa"/>
              <w:end w:w="65" w:type="dxa"/>
            </w:tcMar>
            <w:vAlign w:val="top"/>
          </w:tcPr>
          <w:p>
            <w:r/>
            <w:r>
              <w:rPr>
                <w:sz w:val="16"/>
              </w:rPr>
              <w:t>R1FactPortfolioStrategyAnalysis</w:t>
            </w:r>
          </w:p>
        </w:tc>
        <w:tc>
          <w:tcPr>
            <w:tcW w:type="dxa" w:w="3389"/>
            <w:tcMar>
              <w:top w:w="45" w:type="dxa"/>
              <w:start w:w="65" w:type="dxa"/>
              <w:bottom w:w="45" w:type="dxa"/>
              <w:end w:w="65" w:type="dxa"/>
            </w:tcMar>
            <w:vAlign w:val="top"/>
          </w:tcPr>
          <w:p>
            <w:r/>
            <w:r>
              <w:rPr>
                <w:sz w:val="16"/>
              </w:rPr>
              <w:t>24</w:t>
            </w:r>
          </w:p>
        </w:tc>
        <w:tc>
          <w:tcPr>
            <w:tcW w:type="dxa" w:w="3389"/>
            <w:tcMar>
              <w:top w:w="45" w:type="dxa"/>
              <w:start w:w="65" w:type="dxa"/>
              <w:bottom w:w="45" w:type="dxa"/>
              <w:end w:w="65" w:type="dxa"/>
            </w:tcMar>
            <w:vAlign w:val="top"/>
          </w:tcPr>
          <w:p>
            <w:r/>
            <w:r>
              <w:rPr>
                <w:sz w:val="16"/>
              </w:rPr>
              <w:t>Accepted scope-profile analysis population</w:t>
            </w:r>
          </w:p>
        </w:tc>
      </w:tr>
      <w:tr>
        <w:trPr>
          <w:cantSplit/>
        </w:trPr>
        <w:tc>
          <w:tcPr>
            <w:tcW w:type="dxa" w:w="3389"/>
            <w:tcMar>
              <w:top w:w="45" w:type="dxa"/>
              <w:start w:w="65" w:type="dxa"/>
              <w:bottom w:w="45" w:type="dxa"/>
              <w:end w:w="65" w:type="dxa"/>
            </w:tcMar>
            <w:vAlign w:val="top"/>
            <w:shd w:fill="F2F7F6"/>
          </w:tcPr>
          <w:p>
            <w:r/>
            <w:r>
              <w:rPr>
                <w:sz w:val="16"/>
              </w:rPr>
              <w:t>R1FactG3v2Certification</w:t>
            </w:r>
          </w:p>
        </w:tc>
        <w:tc>
          <w:tcPr>
            <w:tcW w:type="dxa" w:w="3389"/>
            <w:tcMar>
              <w:top w:w="45" w:type="dxa"/>
              <w:start w:w="65" w:type="dxa"/>
              <w:bottom w:w="45" w:type="dxa"/>
              <w:end w:w="65" w:type="dxa"/>
            </w:tcMar>
            <w:vAlign w:val="top"/>
            <w:shd w:fill="F2F7F6"/>
          </w:tcPr>
          <w:p>
            <w:r/>
            <w:r>
              <w:rPr>
                <w:sz w:val="16"/>
              </w:rPr>
              <w:t>70</w:t>
            </w:r>
          </w:p>
        </w:tc>
        <w:tc>
          <w:tcPr>
            <w:tcW w:type="dxa" w:w="3389"/>
            <w:tcMar>
              <w:top w:w="45" w:type="dxa"/>
              <w:start w:w="65" w:type="dxa"/>
              <w:bottom w:w="45" w:type="dxa"/>
              <w:end w:w="65" w:type="dxa"/>
            </w:tcMar>
            <w:vAlign w:val="top"/>
            <w:shd w:fill="F2F7F6"/>
          </w:tcPr>
          <w:p>
            <w:r/>
            <w:r>
              <w:rPr>
                <w:sz w:val="16"/>
              </w:rPr>
              <w:t>G3-v2 certification controls</w:t>
            </w:r>
          </w:p>
        </w:tc>
      </w:tr>
    </w:tbl>
    <w:p>
      <w:pPr>
        <w:spacing w:after="20"/>
      </w:pPr>
    </w:p>
    <w:p>
      <w:pPr>
        <w:pStyle w:val="Heading2"/>
      </w:pPr>
      <w:r>
        <w:t>9.2 Data-quality requirements</w:t>
      </w:r>
    </w:p>
    <w:p>
      <w:pPr>
        <w:pStyle w:val="ListBullet"/>
        <w:spacing w:after="30"/>
      </w:pPr>
      <w:r>
        <w:t>Each source must retain its defined grain and key contract.</w:t>
      </w:r>
    </w:p>
    <w:p>
      <w:pPr>
        <w:pStyle w:val="ListBullet"/>
        <w:spacing w:after="30"/>
      </w:pPr>
      <w:r>
        <w:t>R1 monitoring shall contain exactly 120 rows per funded application-scenario path.</w:t>
      </w:r>
    </w:p>
    <w:p>
      <w:pPr>
        <w:pStyle w:val="ListBullet"/>
        <w:spacing w:after="30"/>
      </w:pPr>
      <w:r>
        <w:t>M2.6-M2.10 shall preserve exact 130-key set equality.</w:t>
      </w:r>
    </w:p>
    <w:p>
      <w:pPr>
        <w:pStyle w:val="ListBullet"/>
        <w:spacing w:after="30"/>
      </w:pPr>
      <w:r>
        <w:t>Physical funding shall exist only for authorized funded paths.</w:t>
      </w:r>
    </w:p>
    <w:p>
      <w:pPr>
        <w:pStyle w:val="ListBullet"/>
        <w:spacing w:after="30"/>
      </w:pPr>
      <w:r>
        <w:t>Nonfunded paths shall not inherit monitoring or servicing evidence.</w:t>
      </w:r>
    </w:p>
    <w:p>
      <w:pPr>
        <w:pStyle w:val="ListBullet"/>
        <w:spacing w:after="30"/>
      </w:pPr>
      <w:r>
        <w:t>Source SHA-256 values shall be recorded in the canonical register.</w:t>
      </w:r>
    </w:p>
    <w:p>
      <w:pPr>
        <w:pStyle w:val="ListBullet"/>
        <w:spacing w:after="30"/>
      </w:pPr>
      <w:r>
        <w:t>The model shall fail closed where required evidence is unavailable or out of bounds.</w:t>
      </w:r>
    </w:p>
    <w:p>
      <w:pPr>
        <w:pStyle w:val="Heading1"/>
      </w:pPr>
      <w:r>
        <w:t>10. Semantic-model requirements</w:t>
      </w:r>
    </w:p>
    <w:p>
      <w:r>
        <w:t>The semantic layer shall:</w:t>
      </w:r>
    </w:p>
    <w:p>
      <w:pPr>
        <w:pStyle w:val="ListBullet"/>
        <w:spacing w:after="30"/>
      </w:pPr>
      <w:r>
        <w:t>use R1 successor facts for substantive calculations;</w:t>
      </w:r>
    </w:p>
    <w:p>
      <w:pPr>
        <w:pStyle w:val="ListBullet"/>
        <w:spacing w:after="30"/>
      </w:pPr>
      <w:r>
        <w:t>use current shared dimensions for categories and labels where appropriate;</w:t>
      </w:r>
    </w:p>
    <w:p>
      <w:pPr>
        <w:pStyle w:val="ListBullet"/>
        <w:spacing w:after="30"/>
      </w:pPr>
      <w:r>
        <w:t>contain no predecessor-fact reference anywhere in P01-P04 or P02-DIAG physical visual JSON, including filterConfig;</w:t>
      </w:r>
    </w:p>
    <w:p>
      <w:pPr>
        <w:pStyle w:val="ListBullet"/>
        <w:spacing w:after="30"/>
      </w:pPr>
      <w:r>
        <w:t>centralize canonical measures;</w:t>
      </w:r>
    </w:p>
    <w:p>
      <w:pPr>
        <w:pStyle w:val="ListBullet"/>
        <w:spacing w:after="30"/>
      </w:pPr>
      <w:r>
        <w:t>reuse prior canonical measures through aliases rather than reimplement calculations;</w:t>
      </w:r>
    </w:p>
    <w:p>
      <w:pPr>
        <w:pStyle w:val="ListBullet"/>
        <w:spacing w:after="30"/>
      </w:pPr>
      <w:r>
        <w:t>keep page adapters within the presentation layer;</w:t>
      </w:r>
    </w:p>
    <w:p>
      <w:pPr>
        <w:pStyle w:val="ListBullet"/>
        <w:spacing w:after="30"/>
      </w:pPr>
      <w:r>
        <w:t>preserve source codes alongside friendly display labels;</w:t>
      </w:r>
    </w:p>
    <w:p>
      <w:pPr>
        <w:pStyle w:val="ListBullet"/>
        <w:spacing w:after="30"/>
      </w:pPr>
      <w:r>
        <w:t>use future-safe label fallbacks for new categorical codes;</w:t>
      </w:r>
    </w:p>
    <w:p>
      <w:pPr>
        <w:pStyle w:val="ListBullet"/>
        <w:spacing w:after="30"/>
      </w:pPr>
      <w:r>
        <w:t>maintain scenario filter propagation;</w:t>
      </w:r>
    </w:p>
    <w:p>
      <w:pPr>
        <w:pStyle w:val="ListBullet"/>
        <w:spacing w:after="30"/>
      </w:pPr>
      <w:r>
        <w:t>qualify reconstructed model inventory until the final DMV inventory is rerun.</w:t>
      </w:r>
    </w:p>
    <w:p>
      <w:r>
        <w:br w:type="page"/>
      </w:r>
    </w:p>
    <w:p>
      <w:r>
        <w:t>Current binding coverage is: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Page</w:t>
            </w:r>
          </w:p>
        </w:tc>
        <w:tc>
          <w:tcPr>
            <w:tcW w:type="dxa" w:w="1694"/>
            <w:shd w:fill="1F7F7A"/>
            <w:tcMar>
              <w:top w:w="70" w:type="dxa"/>
              <w:start w:w="75" w:type="dxa"/>
              <w:bottom w:w="70" w:type="dxa"/>
              <w:end w:w="75" w:type="dxa"/>
            </w:tcMar>
            <w:vAlign w:val="center"/>
          </w:tcPr>
          <w:p>
            <w:r/>
            <w:r>
              <w:rPr>
                <w:b/>
                <w:color w:val="FFFFFF"/>
                <w:sz w:val="16"/>
              </w:rPr>
              <w:t>Bindings</w:t>
            </w:r>
          </w:p>
        </w:tc>
        <w:tc>
          <w:tcPr>
            <w:tcW w:type="dxa" w:w="1694"/>
            <w:shd w:fill="1F7F7A"/>
            <w:tcMar>
              <w:top w:w="70" w:type="dxa"/>
              <w:start w:w="75" w:type="dxa"/>
              <w:bottom w:w="70" w:type="dxa"/>
              <w:end w:w="75" w:type="dxa"/>
            </w:tcMar>
            <w:vAlign w:val="center"/>
          </w:tcPr>
          <w:p>
            <w:r/>
            <w:r>
              <w:rPr>
                <w:b/>
                <w:color w:val="FFFFFF"/>
                <w:sz w:val="16"/>
              </w:rPr>
              <w:t>R1 successor</w:t>
            </w:r>
          </w:p>
        </w:tc>
        <w:tc>
          <w:tcPr>
            <w:tcW w:type="dxa" w:w="1694"/>
            <w:shd w:fill="1F7F7A"/>
            <w:tcMar>
              <w:top w:w="70" w:type="dxa"/>
              <w:start w:w="75" w:type="dxa"/>
              <w:bottom w:w="70" w:type="dxa"/>
              <w:end w:w="75" w:type="dxa"/>
            </w:tcMar>
            <w:vAlign w:val="center"/>
          </w:tcPr>
          <w:p>
            <w:r/>
            <w:r>
              <w:rPr>
                <w:b/>
                <w:color w:val="FFFFFF"/>
                <w:sz w:val="16"/>
              </w:rPr>
              <w:t>Shared dimension/metadata</w:t>
            </w:r>
          </w:p>
        </w:tc>
        <w:tc>
          <w:tcPr>
            <w:tcW w:type="dxa" w:w="1694"/>
            <w:shd w:fill="1F7F7A"/>
            <w:tcMar>
              <w:top w:w="70" w:type="dxa"/>
              <w:start w:w="75" w:type="dxa"/>
              <w:bottom w:w="70" w:type="dxa"/>
              <w:end w:w="75" w:type="dxa"/>
            </w:tcMar>
            <w:vAlign w:val="center"/>
          </w:tcPr>
          <w:p>
            <w:r/>
            <w:r>
              <w:rPr>
                <w:b/>
                <w:color w:val="FFFFFF"/>
                <w:sz w:val="16"/>
              </w:rPr>
              <w:t>Predecessor facts</w:t>
            </w:r>
          </w:p>
        </w:tc>
        <w:tc>
          <w:tcPr>
            <w:tcW w:type="dxa" w:w="1694"/>
            <w:shd w:fill="1F7F7A"/>
            <w:tcMar>
              <w:top w:w="70" w:type="dxa"/>
              <w:start w:w="75" w:type="dxa"/>
              <w:bottom w:w="70" w:type="dxa"/>
              <w:end w:w="75" w:type="dxa"/>
            </w:tcMar>
            <w:vAlign w:val="center"/>
          </w:tcPr>
          <w:p>
            <w:r/>
            <w:r>
              <w:rPr>
                <w:b/>
                <w:color w:val="FFFFFF"/>
                <w:sz w:val="16"/>
              </w:rPr>
              <w:t>Coverage</w:t>
            </w:r>
          </w:p>
        </w:tc>
      </w:tr>
      <w:tr>
        <w:trPr>
          <w:cantSplit/>
        </w:trPr>
        <w:tc>
          <w:tcPr>
            <w:tcW w:type="dxa" w:w="1694"/>
            <w:tcMar>
              <w:top w:w="45" w:type="dxa"/>
              <w:start w:w="65" w:type="dxa"/>
              <w:bottom w:w="45" w:type="dxa"/>
              <w:end w:w="65" w:type="dxa"/>
            </w:tcMar>
            <w:vAlign w:val="top"/>
          </w:tcPr>
          <w:p>
            <w:r/>
            <w:r>
              <w:rPr>
                <w:sz w:val="15"/>
              </w:rPr>
              <w:t>P01 - Cohort Command Center</w:t>
            </w:r>
          </w:p>
        </w:tc>
        <w:tc>
          <w:tcPr>
            <w:tcW w:type="dxa" w:w="1694"/>
            <w:tcMar>
              <w:top w:w="45" w:type="dxa"/>
              <w:start w:w="65" w:type="dxa"/>
              <w:bottom w:w="45" w:type="dxa"/>
              <w:end w:w="65" w:type="dxa"/>
            </w:tcMar>
            <w:vAlign w:val="top"/>
          </w:tcPr>
          <w:p>
            <w:r/>
            <w:r>
              <w:rPr>
                <w:sz w:val="15"/>
              </w:rPr>
              <w:t>49</w:t>
            </w:r>
          </w:p>
        </w:tc>
        <w:tc>
          <w:tcPr>
            <w:tcW w:type="dxa" w:w="1694"/>
            <w:tcMar>
              <w:top w:w="45" w:type="dxa"/>
              <w:start w:w="65" w:type="dxa"/>
              <w:bottom w:w="45" w:type="dxa"/>
              <w:end w:w="65" w:type="dxa"/>
            </w:tcMar>
            <w:vAlign w:val="top"/>
          </w:tcPr>
          <w:p>
            <w:r/>
            <w:r>
              <w:rPr>
                <w:sz w:val="15"/>
              </w:rPr>
              <w:t>39</w:t>
            </w:r>
          </w:p>
        </w:tc>
        <w:tc>
          <w:tcPr>
            <w:tcW w:type="dxa" w:w="1694"/>
            <w:tcMar>
              <w:top w:w="45" w:type="dxa"/>
              <w:start w:w="65" w:type="dxa"/>
              <w:bottom w:w="45" w:type="dxa"/>
              <w:end w:w="65" w:type="dxa"/>
            </w:tcMar>
            <w:vAlign w:val="top"/>
          </w:tcPr>
          <w:p>
            <w:r/>
            <w:r>
              <w:rPr>
                <w:sz w:val="15"/>
              </w:rPr>
              <w:t>10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100%</w:t>
            </w:r>
          </w:p>
        </w:tc>
      </w:tr>
      <w:tr>
        <w:trPr>
          <w:cantSplit/>
        </w:trPr>
        <w:tc>
          <w:tcPr>
            <w:tcW w:type="dxa" w:w="1694"/>
            <w:tcMar>
              <w:top w:w="45" w:type="dxa"/>
              <w:start w:w="65" w:type="dxa"/>
              <w:bottom w:w="45" w:type="dxa"/>
              <w:end w:w="65" w:type="dxa"/>
            </w:tcMar>
            <w:vAlign w:val="top"/>
            <w:shd w:fill="F2F7F6"/>
          </w:tcPr>
          <w:p>
            <w:r/>
            <w:r>
              <w:rPr>
                <w:sz w:val="15"/>
              </w:rPr>
              <w:t>P02 - Cohort Lifecycle</w:t>
            </w:r>
          </w:p>
        </w:tc>
        <w:tc>
          <w:tcPr>
            <w:tcW w:type="dxa" w:w="1694"/>
            <w:tcMar>
              <w:top w:w="45" w:type="dxa"/>
              <w:start w:w="65" w:type="dxa"/>
              <w:bottom w:w="45" w:type="dxa"/>
              <w:end w:w="65" w:type="dxa"/>
            </w:tcMar>
            <w:vAlign w:val="top"/>
            <w:shd w:fill="F2F7F6"/>
          </w:tcPr>
          <w:p>
            <w:r/>
            <w:r>
              <w:rPr>
                <w:sz w:val="15"/>
              </w:rPr>
              <w:t>49</w:t>
            </w:r>
          </w:p>
        </w:tc>
        <w:tc>
          <w:tcPr>
            <w:tcW w:type="dxa" w:w="1694"/>
            <w:tcMar>
              <w:top w:w="45" w:type="dxa"/>
              <w:start w:w="65" w:type="dxa"/>
              <w:bottom w:w="45" w:type="dxa"/>
              <w:end w:w="65" w:type="dxa"/>
            </w:tcMar>
            <w:vAlign w:val="top"/>
            <w:shd w:fill="F2F7F6"/>
          </w:tcPr>
          <w:p>
            <w:r/>
            <w:r>
              <w:rPr>
                <w:sz w:val="15"/>
              </w:rPr>
              <w:t>39</w:t>
            </w:r>
          </w:p>
        </w:tc>
        <w:tc>
          <w:tcPr>
            <w:tcW w:type="dxa" w:w="1694"/>
            <w:tcMar>
              <w:top w:w="45" w:type="dxa"/>
              <w:start w:w="65" w:type="dxa"/>
              <w:bottom w:w="45" w:type="dxa"/>
              <w:end w:w="65" w:type="dxa"/>
            </w:tcMar>
            <w:vAlign w:val="top"/>
            <w:shd w:fill="F2F7F6"/>
          </w:tcPr>
          <w:p>
            <w:r/>
            <w:r>
              <w:rPr>
                <w:sz w:val="15"/>
              </w:rPr>
              <w:t>10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100%</w:t>
            </w:r>
          </w:p>
        </w:tc>
      </w:tr>
      <w:tr>
        <w:trPr>
          <w:cantSplit/>
        </w:trPr>
        <w:tc>
          <w:tcPr>
            <w:tcW w:type="dxa" w:w="1694"/>
            <w:tcMar>
              <w:top w:w="45" w:type="dxa"/>
              <w:start w:w="65" w:type="dxa"/>
              <w:bottom w:w="45" w:type="dxa"/>
              <w:end w:w="65" w:type="dxa"/>
            </w:tcMar>
            <w:vAlign w:val="top"/>
          </w:tcPr>
          <w:p>
            <w:r/>
            <w:r>
              <w:rPr>
                <w:sz w:val="15"/>
              </w:rPr>
              <w:t>P02-DIAG - Attention States</w:t>
            </w:r>
          </w:p>
        </w:tc>
        <w:tc>
          <w:tcPr>
            <w:tcW w:type="dxa" w:w="1694"/>
            <w:tcMar>
              <w:top w:w="45" w:type="dxa"/>
              <w:start w:w="65" w:type="dxa"/>
              <w:bottom w:w="45" w:type="dxa"/>
              <w:end w:w="65" w:type="dxa"/>
            </w:tcMar>
            <w:vAlign w:val="top"/>
          </w:tcPr>
          <w:p>
            <w:r/>
            <w:r>
              <w:rPr>
                <w:sz w:val="15"/>
              </w:rPr>
              <w:t>33</w:t>
            </w:r>
          </w:p>
        </w:tc>
        <w:tc>
          <w:tcPr>
            <w:tcW w:type="dxa" w:w="1694"/>
            <w:tcMar>
              <w:top w:w="45" w:type="dxa"/>
              <w:start w:w="65" w:type="dxa"/>
              <w:bottom w:w="45" w:type="dxa"/>
              <w:end w:w="65" w:type="dxa"/>
            </w:tcMar>
            <w:vAlign w:val="top"/>
          </w:tcPr>
          <w:p>
            <w:r/>
            <w:r>
              <w:rPr>
                <w:sz w:val="15"/>
              </w:rPr>
              <w:t>26</w:t>
            </w:r>
          </w:p>
        </w:tc>
        <w:tc>
          <w:tcPr>
            <w:tcW w:type="dxa" w:w="1694"/>
            <w:tcMar>
              <w:top w:w="45" w:type="dxa"/>
              <w:start w:w="65" w:type="dxa"/>
              <w:bottom w:w="45" w:type="dxa"/>
              <w:end w:w="65" w:type="dxa"/>
            </w:tcMar>
            <w:vAlign w:val="top"/>
          </w:tcPr>
          <w:p>
            <w:r/>
            <w:r>
              <w:rPr>
                <w:sz w:val="15"/>
              </w:rPr>
              <w:t>7</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100%</w:t>
            </w:r>
          </w:p>
        </w:tc>
      </w:tr>
      <w:tr>
        <w:trPr>
          <w:cantSplit/>
        </w:trPr>
        <w:tc>
          <w:tcPr>
            <w:tcW w:type="dxa" w:w="1694"/>
            <w:tcMar>
              <w:top w:w="45" w:type="dxa"/>
              <w:start w:w="65" w:type="dxa"/>
              <w:bottom w:w="45" w:type="dxa"/>
              <w:end w:w="65" w:type="dxa"/>
            </w:tcMar>
            <w:vAlign w:val="top"/>
            <w:shd w:fill="F2F7F6"/>
          </w:tcPr>
          <w:p>
            <w:r/>
            <w:r>
              <w:rPr>
                <w:sz w:val="15"/>
              </w:rPr>
              <w:t>P03 - Application Journey</w:t>
            </w:r>
          </w:p>
        </w:tc>
        <w:tc>
          <w:tcPr>
            <w:tcW w:type="dxa" w:w="1694"/>
            <w:tcMar>
              <w:top w:w="45" w:type="dxa"/>
              <w:start w:w="65" w:type="dxa"/>
              <w:bottom w:w="45" w:type="dxa"/>
              <w:end w:w="65" w:type="dxa"/>
            </w:tcMar>
            <w:vAlign w:val="top"/>
            <w:shd w:fill="F2F7F6"/>
          </w:tcPr>
          <w:p>
            <w:r/>
            <w:r>
              <w:rPr>
                <w:sz w:val="15"/>
              </w:rPr>
              <w:t>55</w:t>
            </w:r>
          </w:p>
        </w:tc>
        <w:tc>
          <w:tcPr>
            <w:tcW w:type="dxa" w:w="1694"/>
            <w:tcMar>
              <w:top w:w="45" w:type="dxa"/>
              <w:start w:w="65" w:type="dxa"/>
              <w:bottom w:w="45" w:type="dxa"/>
              <w:end w:w="65" w:type="dxa"/>
            </w:tcMar>
            <w:vAlign w:val="top"/>
            <w:shd w:fill="F2F7F6"/>
          </w:tcPr>
          <w:p>
            <w:r/>
            <w:r>
              <w:rPr>
                <w:sz w:val="15"/>
              </w:rPr>
              <w:t>42</w:t>
            </w:r>
          </w:p>
        </w:tc>
        <w:tc>
          <w:tcPr>
            <w:tcW w:type="dxa" w:w="1694"/>
            <w:tcMar>
              <w:top w:w="45" w:type="dxa"/>
              <w:start w:w="65" w:type="dxa"/>
              <w:bottom w:w="45" w:type="dxa"/>
              <w:end w:w="65" w:type="dxa"/>
            </w:tcMar>
            <w:vAlign w:val="top"/>
            <w:shd w:fill="F2F7F6"/>
          </w:tcPr>
          <w:p>
            <w:r/>
            <w:r>
              <w:rPr>
                <w:sz w:val="15"/>
              </w:rPr>
              <w:t>13</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100%</w:t>
            </w:r>
          </w:p>
        </w:tc>
      </w:tr>
      <w:tr>
        <w:trPr>
          <w:cantSplit/>
        </w:trPr>
        <w:tc>
          <w:tcPr>
            <w:tcW w:type="dxa" w:w="1694"/>
            <w:tcMar>
              <w:top w:w="45" w:type="dxa"/>
              <w:start w:w="65" w:type="dxa"/>
              <w:bottom w:w="45" w:type="dxa"/>
              <w:end w:w="65" w:type="dxa"/>
            </w:tcMar>
            <w:vAlign w:val="top"/>
          </w:tcPr>
          <w:p>
            <w:r/>
            <w:r>
              <w:rPr>
                <w:sz w:val="15"/>
              </w:rPr>
              <w:t>P04 - Servicing &amp; Exceptions</w:t>
            </w:r>
          </w:p>
        </w:tc>
        <w:tc>
          <w:tcPr>
            <w:tcW w:type="dxa" w:w="1694"/>
            <w:tcMar>
              <w:top w:w="45" w:type="dxa"/>
              <w:start w:w="65" w:type="dxa"/>
              <w:bottom w:w="45" w:type="dxa"/>
              <w:end w:w="65" w:type="dxa"/>
            </w:tcMar>
            <w:vAlign w:val="top"/>
          </w:tcPr>
          <w:p>
            <w:r/>
            <w:r>
              <w:rPr>
                <w:sz w:val="15"/>
              </w:rPr>
              <w:t>35</w:t>
            </w:r>
          </w:p>
        </w:tc>
        <w:tc>
          <w:tcPr>
            <w:tcW w:type="dxa" w:w="1694"/>
            <w:tcMar>
              <w:top w:w="45" w:type="dxa"/>
              <w:start w:w="65" w:type="dxa"/>
              <w:bottom w:w="45" w:type="dxa"/>
              <w:end w:w="65" w:type="dxa"/>
            </w:tcMar>
            <w:vAlign w:val="top"/>
          </w:tcPr>
          <w:p>
            <w:r/>
            <w:r>
              <w:rPr>
                <w:sz w:val="15"/>
              </w:rPr>
              <w:t>29</w:t>
            </w:r>
          </w:p>
        </w:tc>
        <w:tc>
          <w:tcPr>
            <w:tcW w:type="dxa" w:w="1694"/>
            <w:tcMar>
              <w:top w:w="45" w:type="dxa"/>
              <w:start w:w="65" w:type="dxa"/>
              <w:bottom w:w="45" w:type="dxa"/>
              <w:end w:w="65" w:type="dxa"/>
            </w:tcMar>
            <w:vAlign w:val="top"/>
          </w:tcPr>
          <w:p>
            <w:r/>
            <w:r>
              <w:rPr>
                <w:sz w:val="15"/>
              </w:rPr>
              <w:t>6</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100%</w:t>
            </w:r>
          </w:p>
        </w:tc>
      </w:tr>
    </w:tbl>
    <w:p>
      <w:pPr>
        <w:spacing w:after="20"/>
      </w:pPr>
    </w:p>
    <w:p>
      <w:pPr>
        <w:pStyle w:val="Heading1"/>
      </w:pPr>
      <w:r>
        <w:t>11. Functional requirements by page</w:t>
      </w:r>
    </w:p>
    <w:p>
      <w:pPr>
        <w:pStyle w:val="Heading2"/>
      </w:pPr>
      <w:r>
        <w:t>11.1 P01 - Cohort Command Center</w:t>
      </w:r>
    </w:p>
    <w:p>
      <w:r>
        <w:rPr>
          <w:b/>
        </w:rPr>
        <w:t>Business question:</w:t>
      </w:r>
      <w:r>
        <w:t xml:space="preserve"> What does the current cohort look like, how was it decisioned and funded, and what is its current endpoint posture?</w:t>
      </w:r>
    </w:p>
    <w:p>
      <w:r>
        <w:t>Required controls:</w:t>
      </w:r>
    </w:p>
    <w:p>
      <w:pPr>
        <w:pStyle w:val="ListBullet"/>
        <w:spacing w:after="30"/>
      </w:pPr>
      <w:r>
        <w:t>Scenario</w:t>
      </w:r>
    </w:p>
    <w:p>
      <w:pPr>
        <w:pStyle w:val="ListBullet"/>
        <w:spacing w:after="30"/>
      </w:pPr>
      <w:r>
        <w:t>Industry</w:t>
      </w:r>
    </w:p>
    <w:p>
      <w:pPr>
        <w:pStyle w:val="ListBullet"/>
        <w:spacing w:after="30"/>
      </w:pPr>
      <w:r>
        <w:t>Acquisition source</w:t>
      </w:r>
    </w:p>
    <w:p>
      <w:pPr>
        <w:pStyle w:val="ListBullet"/>
        <w:spacing w:after="30"/>
      </w:pPr>
      <w:r>
        <w:t>Observation date</w:t>
      </w:r>
    </w:p>
    <w:p>
      <w:r>
        <w:t>Required KPIs:</w:t>
      </w:r>
    </w:p>
    <w:p>
      <w:pPr>
        <w:pStyle w:val="ListBullet"/>
        <w:spacing w:after="30"/>
      </w:pPr>
      <w:r>
        <w:t>Funded accounts</w:t>
      </w:r>
    </w:p>
    <w:p>
      <w:pPr>
        <w:pStyle w:val="ListBullet"/>
        <w:spacing w:after="30"/>
      </w:pPr>
      <w:r>
        <w:t>Funded amount</w:t>
      </w:r>
    </w:p>
    <w:p>
      <w:pPr>
        <w:pStyle w:val="ListBullet"/>
        <w:spacing w:after="30"/>
      </w:pPr>
      <w:r>
        <w:t>Current exposure</w:t>
      </w:r>
    </w:p>
    <w:p>
      <w:pPr>
        <w:pStyle w:val="ListBullet"/>
        <w:spacing w:after="30"/>
      </w:pPr>
      <w:r>
        <w:t>Remittance fulfillment</w:t>
      </w:r>
    </w:p>
    <w:p>
      <w:pPr>
        <w:pStyle w:val="ListBullet"/>
        <w:spacing w:after="30"/>
      </w:pPr>
      <w:r>
        <w:t>Supportable path rate</w:t>
      </w:r>
    </w:p>
    <w:p>
      <w:pPr>
        <w:pStyle w:val="ListBullet"/>
        <w:spacing w:after="30"/>
      </w:pPr>
      <w:r>
        <w:t>Comparative expected-loss rate</w:t>
      </w:r>
    </w:p>
    <w:p>
      <w:r>
        <w:t>Required analyses:</w:t>
      </w:r>
    </w:p>
    <w:p>
      <w:pPr>
        <w:pStyle w:val="ListBullet"/>
        <w:spacing w:after="30"/>
      </w:pPr>
      <w:r>
        <w:t>Funding by acquisition source</w:t>
      </w:r>
    </w:p>
    <w:p>
      <w:pPr>
        <w:pStyle w:val="ListBullet"/>
        <w:spacing w:after="30"/>
      </w:pPr>
      <w:r>
        <w:t>Seven governed decision outcomes</w:t>
      </w:r>
    </w:p>
    <w:p>
      <w:pPr>
        <w:pStyle w:val="ListBullet"/>
        <w:spacing w:after="30"/>
      </w:pPr>
      <w:r>
        <w:t>Industry risk and economics</w:t>
      </w:r>
    </w:p>
    <w:p>
      <w:pPr>
        <w:pStyle w:val="ListBullet"/>
        <w:spacing w:after="30"/>
      </w:pPr>
      <w:r>
        <w:t>Endpoint status</w:t>
      </w:r>
    </w:p>
    <w:p>
      <w:pPr>
        <w:pStyle w:val="ListBullet"/>
        <w:spacing w:after="30"/>
      </w:pPr>
      <w:r>
        <w:t>Active alerts as of the observation date</w:t>
      </w:r>
    </w:p>
    <w:p>
      <w:pPr>
        <w:pStyle w:val="ListBullet"/>
        <w:spacing w:after="30"/>
      </w:pPr>
      <w:r>
        <w:t>Evidence and governance status</w:t>
      </w:r>
    </w:p>
    <w:p>
      <w:r>
        <w:t>The page must distinguish operational-alert breadth from adverse monitoring. It must preserve fixed decision/funding populations while allowing account performance to vary by observation date.</w:t>
      </w:r>
    </w:p>
    <w:p>
      <w:pPr>
        <w:jc w:val="center"/>
      </w:pPr>
      <w:r>
        <w:drawing>
          <wp:inline xmlns:a="http://schemas.openxmlformats.org/drawingml/2006/main" xmlns:pic="http://schemas.openxmlformats.org/drawingml/2006/picture">
            <wp:extent cx="6080760" cy="3512944"/>
            <wp:docPr id="1" name="Picture 1" title="P01 Baseline" descr="P01 Baseline. Owner-approved Power BI presentation capture."/>
            <wp:cNvGraphicFramePr>
              <a:graphicFrameLocks noChangeAspect="1"/>
            </wp:cNvGraphicFramePr>
            <a:graphic>
              <a:graphicData uri="http://schemas.openxmlformats.org/drawingml/2006/picture">
                <pic:pic>
                  <pic:nvPicPr>
                    <pic:cNvPr id="0" name="p01_command_center_baseline.png"/>
                    <pic:cNvPicPr/>
                  </pic:nvPicPr>
                  <pic:blipFill>
                    <a:blip r:embed="rId11"/>
                    <a:stretch>
                      <a:fillRect/>
                    </a:stretch>
                  </pic:blipFill>
                  <pic:spPr>
                    <a:xfrm>
                      <a:off x="0" y="0"/>
                      <a:ext cx="6080760" cy="3512944"/>
                    </a:xfrm>
                    <a:prstGeom prst="rect"/>
                  </pic:spPr>
                </pic:pic>
              </a:graphicData>
            </a:graphic>
          </wp:inline>
        </w:drawing>
      </w:r>
    </w:p>
    <w:p>
      <w:pPr>
        <w:pStyle w:val="Caption"/>
        <w:jc w:val="center"/>
      </w:pPr>
      <w:r>
        <w:rPr>
          <w:i/>
        </w:rPr>
        <w:t>Figure: P01 Baseline</w:t>
      </w:r>
    </w:p>
    <w:p>
      <w:pPr>
        <w:pStyle w:val="Heading2"/>
      </w:pPr>
      <w:r>
        <w:t>11.2 P02 - Cohort Lifecycle</w:t>
      </w:r>
    </w:p>
    <w:p>
      <w:r>
        <w:rPr>
          <w:b/>
        </w:rPr>
        <w:t>Business question:</w:t>
      </w:r>
      <w:r>
        <w:t xml:space="preserve"> How did the selected funded cohort perform through the governed synthetic lifecycle?</w:t>
      </w:r>
    </w:p>
    <w:p>
      <w:r>
        <w:t>Required controls:</w:t>
      </w:r>
    </w:p>
    <w:p>
      <w:pPr>
        <w:pStyle w:val="ListBullet"/>
        <w:spacing w:after="30"/>
      </w:pPr>
      <w:r>
        <w:t>Scenario</w:t>
      </w:r>
    </w:p>
    <w:p>
      <w:pPr>
        <w:pStyle w:val="ListBullet"/>
        <w:spacing w:after="30"/>
      </w:pPr>
      <w:r>
        <w:t>Industry</w:t>
      </w:r>
    </w:p>
    <w:p>
      <w:pPr>
        <w:pStyle w:val="ListBullet"/>
        <w:spacing w:after="30"/>
      </w:pPr>
      <w:r>
        <w:t>Acquisition source</w:t>
      </w:r>
    </w:p>
    <w:p>
      <w:pPr>
        <w:pStyle w:val="ListBullet"/>
        <w:spacing w:after="30"/>
      </w:pPr>
      <w:r>
        <w:t>Observation period</w:t>
      </w:r>
    </w:p>
    <w:p>
      <w:r>
        <w:t>Required KPIs:</w:t>
      </w:r>
    </w:p>
    <w:p>
      <w:pPr>
        <w:pStyle w:val="ListBullet"/>
        <w:spacing w:after="30"/>
      </w:pPr>
      <w:r>
        <w:t>Funded accounts</w:t>
      </w:r>
    </w:p>
    <w:p>
      <w:pPr>
        <w:pStyle w:val="ListBullet"/>
        <w:spacing w:after="30"/>
      </w:pPr>
      <w:r>
        <w:t>Funded amount</w:t>
      </w:r>
    </w:p>
    <w:p>
      <w:pPr>
        <w:pStyle w:val="ListBullet"/>
        <w:spacing w:after="30"/>
      </w:pPr>
      <w:r>
        <w:t>Average funded amount</w:t>
      </w:r>
    </w:p>
    <w:p>
      <w:pPr>
        <w:pStyle w:val="ListBullet"/>
        <w:spacing w:after="30"/>
      </w:pPr>
      <w:r>
        <w:t>Authorized-offer rate</w:t>
      </w:r>
    </w:p>
    <w:p>
      <w:pPr>
        <w:pStyle w:val="ListBullet"/>
        <w:spacing w:after="30"/>
      </w:pPr>
      <w:r>
        <w:t>Comparative expected-loss rate</w:t>
      </w:r>
    </w:p>
    <w:p>
      <w:pPr>
        <w:pStyle w:val="ListBullet"/>
        <w:spacing w:after="30"/>
      </w:pPr>
      <w:r>
        <w:t>Risk-adjusted contribution</w:t>
      </w:r>
    </w:p>
    <w:p>
      <w:r>
        <w:t>Required analyses:</w:t>
      </w:r>
    </w:p>
    <w:p>
      <w:pPr>
        <w:pStyle w:val="ListBullet"/>
        <w:spacing w:after="30"/>
      </w:pPr>
      <w:r>
        <w:t>Receivable runoff</w:t>
      </w:r>
    </w:p>
    <w:p>
      <w:pPr>
        <w:pStyle w:val="ListBullet"/>
        <w:spacing w:after="30"/>
      </w:pPr>
      <w:r>
        <w:t>Remittance fulfillment</w:t>
      </w:r>
    </w:p>
    <w:p>
      <w:pPr>
        <w:pStyle w:val="ListBullet"/>
        <w:spacing w:after="30"/>
      </w:pPr>
      <w:r>
        <w:t>Monitoring breadth and severity</w:t>
      </w:r>
    </w:p>
    <w:p>
      <w:pPr>
        <w:pStyle w:val="ListBullet"/>
        <w:spacing w:after="30"/>
      </w:pPr>
      <w:r>
        <w:t>Payoff timing versus plan</w:t>
      </w:r>
    </w:p>
    <w:p>
      <w:r>
        <w:t>The page must:</w:t>
      </w:r>
    </w:p>
    <w:p>
      <w:pPr>
        <w:pStyle w:val="ListBullet"/>
        <w:spacing w:after="30"/>
      </w:pPr>
      <w:r>
        <w:t>use current R1 monitoring;</w:t>
      </w:r>
    </w:p>
    <w:p>
      <w:pPr>
        <w:pStyle w:val="ListBullet"/>
        <w:spacing w:after="30"/>
      </w:pPr>
      <w:r>
        <w:t>retain valid scenario comparison behavior;</w:t>
      </w:r>
    </w:p>
    <w:p>
      <w:pPr>
        <w:pStyle w:val="ListBullet"/>
        <w:spacing w:after="30"/>
      </w:pPr>
      <w:r>
        <w:t>distinguish operational alerts from adverse status;</w:t>
      </w:r>
    </w:p>
    <w:p>
      <w:pPr>
        <w:pStyle w:val="ListBullet"/>
        <w:spacing w:after="30"/>
      </w:pPr>
      <w:r>
        <w:t>stop at the governed evidence endpoint;</w:t>
      </w:r>
    </w:p>
    <w:p>
      <w:pPr>
        <w:pStyle w:val="ListBullet"/>
        <w:spacing w:after="30"/>
      </w:pPr>
      <w:r>
        <w:t>provide diagnostic tooltips for alert conditions and families;</w:t>
      </w:r>
    </w:p>
    <w:p>
      <w:pPr>
        <w:pStyle w:val="ListBullet"/>
        <w:spacing w:after="30"/>
      </w:pPr>
      <w:r>
        <w:t>preserve a hidden diagnostic page for attention-state analysis.</w:t>
      </w:r>
    </w:p>
    <w:p>
      <w:pPr>
        <w:jc w:val="center"/>
      </w:pPr>
      <w:r>
        <w:drawing>
          <wp:inline xmlns:a="http://schemas.openxmlformats.org/drawingml/2006/main" xmlns:pic="http://schemas.openxmlformats.org/drawingml/2006/picture">
            <wp:extent cx="6080760" cy="3506140"/>
            <wp:docPr id="2" name="Picture 2" title="P02 Baseline" descr="P02 Baseline. Owner-approved Power BI presentation capture."/>
            <wp:cNvGraphicFramePr>
              <a:graphicFrameLocks noChangeAspect="1"/>
            </wp:cNvGraphicFramePr>
            <a:graphic>
              <a:graphicData uri="http://schemas.openxmlformats.org/drawingml/2006/picture">
                <pic:pic>
                  <pic:nvPicPr>
                    <pic:cNvPr id="0" name="p02_cohort_lifecycle_baseline.png"/>
                    <pic:cNvPicPr/>
                  </pic:nvPicPr>
                  <pic:blipFill>
                    <a:blip r:embed="rId12"/>
                    <a:stretch>
                      <a:fillRect/>
                    </a:stretch>
                  </pic:blipFill>
                  <pic:spPr>
                    <a:xfrm>
                      <a:off x="0" y="0"/>
                      <a:ext cx="6080760" cy="3506140"/>
                    </a:xfrm>
                    <a:prstGeom prst="rect"/>
                  </pic:spPr>
                </pic:pic>
              </a:graphicData>
            </a:graphic>
          </wp:inline>
        </w:drawing>
      </w:r>
    </w:p>
    <w:p>
      <w:pPr>
        <w:pStyle w:val="Caption"/>
        <w:jc w:val="center"/>
      </w:pPr>
      <w:r>
        <w:rPr>
          <w:i/>
        </w:rPr>
        <w:t>Figure: P02 Baseline</w:t>
      </w:r>
    </w:p>
    <w:p>
      <w:pPr>
        <w:pStyle w:val="Heading2"/>
      </w:pPr>
      <w:r>
        <w:t>11.3 P03 - Application Journey</w:t>
      </w:r>
    </w:p>
    <w:p>
      <w:r>
        <w:rPr>
          <w:b/>
        </w:rPr>
        <w:t>Business question:</w:t>
      </w:r>
      <w:r>
        <w:t xml:space="preserve"> Why did this application receive its governed outcome and proposed structure, and what happened after funding?</w:t>
      </w:r>
    </w:p>
    <w:p>
      <w:r>
        <w:t>Required selectors:</w:t>
      </w:r>
    </w:p>
    <w:p>
      <w:pPr>
        <w:pStyle w:val="ListBullet"/>
        <w:spacing w:after="30"/>
      </w:pPr>
      <w:r>
        <w:t>Merchant</w:t>
      </w:r>
    </w:p>
    <w:p>
      <w:pPr>
        <w:pStyle w:val="ListBullet"/>
        <w:spacing w:after="30"/>
      </w:pPr>
      <w:r>
        <w:t>Scenario</w:t>
      </w:r>
    </w:p>
    <w:p>
      <w:r>
        <w:t>Required merchant context:</w:t>
      </w:r>
    </w:p>
    <w:p>
      <w:pPr>
        <w:pStyle w:val="ListBullet"/>
        <w:spacing w:after="30"/>
      </w:pPr>
      <w:r>
        <w:t>Industry</w:t>
      </w:r>
    </w:p>
    <w:p>
      <w:pPr>
        <w:pStyle w:val="ListBullet"/>
        <w:spacing w:after="30"/>
      </w:pPr>
      <w:r>
        <w:t>Size tier</w:t>
      </w:r>
    </w:p>
    <w:p>
      <w:pPr>
        <w:pStyle w:val="ListBullet"/>
        <w:spacing w:after="30"/>
      </w:pPr>
      <w:r>
        <w:t>Annual sales band</w:t>
      </w:r>
    </w:p>
    <w:p>
      <w:pPr>
        <w:pStyle w:val="ListBullet"/>
        <w:spacing w:after="30"/>
      </w:pPr>
      <w:r>
        <w:t>Relationship stage</w:t>
      </w:r>
    </w:p>
    <w:p>
      <w:pPr>
        <w:pStyle w:val="ListBullet"/>
        <w:spacing w:after="30"/>
      </w:pPr>
      <w:r>
        <w:t>Relationship quality</w:t>
      </w:r>
    </w:p>
    <w:p>
      <w:pPr>
        <w:pStyle w:val="ListBullet"/>
        <w:spacing w:after="30"/>
      </w:pPr>
      <w:r>
        <w:t>Prior advances</w:t>
      </w:r>
    </w:p>
    <w:p>
      <w:pPr>
        <w:pStyle w:val="ListBullet"/>
        <w:spacing w:after="30"/>
      </w:pPr>
      <w:r>
        <w:t>Prior funded amount</w:t>
      </w:r>
    </w:p>
    <w:p>
      <w:r>
        <w:t>Required request context:</w:t>
      </w:r>
    </w:p>
    <w:p>
      <w:pPr>
        <w:pStyle w:val="ListBullet"/>
        <w:spacing w:after="30"/>
      </w:pPr>
      <w:r>
        <w:t>Applied date</w:t>
      </w:r>
    </w:p>
    <w:p>
      <w:pPr>
        <w:pStyle w:val="ListBullet"/>
        <w:spacing w:after="30"/>
      </w:pPr>
      <w:r>
        <w:t>Requested amount</w:t>
      </w:r>
    </w:p>
    <w:p>
      <w:pPr>
        <w:pStyle w:val="ListBullet"/>
        <w:spacing w:after="30"/>
      </w:pPr>
      <w:r>
        <w:t>Use of proceeds</w:t>
      </w:r>
    </w:p>
    <w:p>
      <w:pPr>
        <w:pStyle w:val="ListBullet"/>
        <w:spacing w:after="30"/>
      </w:pPr>
      <w:r>
        <w:t>Channel</w:t>
      </w:r>
    </w:p>
    <w:p>
      <w:pPr>
        <w:pStyle w:val="ListBullet"/>
        <w:spacing w:after="30"/>
      </w:pPr>
      <w:r>
        <w:t>Requested remittance</w:t>
      </w:r>
    </w:p>
    <w:p>
      <w:pPr>
        <w:pStyle w:val="ListBullet"/>
        <w:spacing w:after="30"/>
      </w:pPr>
      <w:r>
        <w:t>Payback multiple</w:t>
      </w:r>
    </w:p>
    <w:p>
      <w:pPr>
        <w:pStyle w:val="ListBullet"/>
        <w:spacing w:after="30"/>
      </w:pPr>
      <w:r>
        <w:t>Payoff days</w:t>
      </w:r>
    </w:p>
    <w:p>
      <w:pPr>
        <w:pStyle w:val="ListBullet"/>
        <w:spacing w:after="30"/>
      </w:pPr>
      <w:r>
        <w:t>Total repayment</w:t>
      </w:r>
    </w:p>
    <w:p>
      <w:r>
        <w:t>Required decision content:</w:t>
      </w:r>
    </w:p>
    <w:p>
      <w:pPr>
        <w:pStyle w:val="ListBullet"/>
        <w:spacing w:after="30"/>
      </w:pPr>
      <w:r>
        <w:t>Decision class</w:t>
      </w:r>
    </w:p>
    <w:p>
      <w:pPr>
        <w:pStyle w:val="ListBullet"/>
        <w:spacing w:after="30"/>
      </w:pPr>
      <w:r>
        <w:t>Decision label</w:t>
      </w:r>
    </w:p>
    <w:p>
      <w:pPr>
        <w:pStyle w:val="ListBullet"/>
        <w:spacing w:after="30"/>
      </w:pPr>
      <w:r>
        <w:t>Proposed structure</w:t>
      </w:r>
    </w:p>
    <w:p>
      <w:pPr>
        <w:pStyle w:val="ListBullet"/>
        <w:spacing w:after="30"/>
      </w:pPr>
      <w:r>
        <w:t>Physical funding date</w:t>
      </w:r>
    </w:p>
    <w:p>
      <w:pPr>
        <w:pStyle w:val="ListBullet"/>
        <w:spacing w:after="30"/>
      </w:pPr>
      <w:r>
        <w:t>Merchant operating evidence narrative</w:t>
      </w:r>
    </w:p>
    <w:p>
      <w:pPr>
        <w:pStyle w:val="ListBullet"/>
        <w:spacing w:after="30"/>
      </w:pPr>
      <w:r>
        <w:t>Risk &amp; economics assessment narrative</w:t>
      </w:r>
    </w:p>
    <w:p>
      <w:pPr>
        <w:pStyle w:val="ListBullet"/>
        <w:spacing w:after="30"/>
      </w:pPr>
      <w:r>
        <w:t>Decision narrative</w:t>
      </w:r>
    </w:p>
    <w:p>
      <w:r>
        <w:t>Required funded-path content:</w:t>
      </w:r>
    </w:p>
    <w:p>
      <w:pPr>
        <w:pStyle w:val="ListBullet"/>
        <w:spacing w:after="30"/>
      </w:pPr>
      <w:r>
        <w:t>Account performance: remaining receivable and remittance pace</w:t>
      </w:r>
    </w:p>
    <w:p>
      <w:pPr>
        <w:pStyle w:val="ListBullet"/>
        <w:spacing w:after="30"/>
      </w:pPr>
      <w:r>
        <w:t>Performance tooltips: monitoring status, remitted, expected, shortfall</w:t>
      </w:r>
    </w:p>
    <w:p>
      <w:pPr>
        <w:pStyle w:val="ListBullet"/>
        <w:spacing w:after="30"/>
      </w:pPr>
      <w:r>
        <w:t>Monitoring journey and status transitions</w:t>
      </w:r>
    </w:p>
    <w:p>
      <w:pPr>
        <w:pStyle w:val="ListBullet"/>
        <w:spacing w:after="30"/>
      </w:pPr>
      <w:r>
        <w:t>Monitoring tooltips: alert family, shortfall alert, pace, shortfall, days since remittance, alert counts</w:t>
      </w:r>
    </w:p>
    <w:p>
      <w:pPr>
        <w:pStyle w:val="ListBullet"/>
        <w:spacing w:after="30"/>
      </w:pPr>
      <w:r>
        <w:t>Servicing &amp; intervention: intervention, queue, priority, exposure, reason</w:t>
      </w:r>
    </w:p>
    <w:p>
      <w:r>
        <w:t>The narrative layer must cover all seven governed outcomes and material reason branches, remain scenario-isolated, and pass the complete 1,500-path QA.</w:t>
      </w:r>
    </w:p>
    <w:p>
      <w:pPr>
        <w:jc w:val="center"/>
      </w:pPr>
      <w:r>
        <w:drawing>
          <wp:inline xmlns:a="http://schemas.openxmlformats.org/drawingml/2006/main" xmlns:pic="http://schemas.openxmlformats.org/drawingml/2006/picture">
            <wp:extent cx="6080760" cy="3498164"/>
            <wp:docPr id="3" name="Picture 3" title="P03 738 Baseline" descr="P03 738 Baseline. Owner-approved Power BI presentation capture."/>
            <wp:cNvGraphicFramePr>
              <a:graphicFrameLocks noChangeAspect="1"/>
            </wp:cNvGraphicFramePr>
            <a:graphic>
              <a:graphicData uri="http://schemas.openxmlformats.org/drawingml/2006/picture">
                <pic:pic>
                  <pic:nvPicPr>
                    <pic:cNvPr id="0" name="p03_application_journey_738_baseline.png"/>
                    <pic:cNvPicPr/>
                  </pic:nvPicPr>
                  <pic:blipFill>
                    <a:blip r:embed="rId13"/>
                    <a:stretch>
                      <a:fillRect/>
                    </a:stretch>
                  </pic:blipFill>
                  <pic:spPr>
                    <a:xfrm>
                      <a:off x="0" y="0"/>
                      <a:ext cx="6080760" cy="3498164"/>
                    </a:xfrm>
                    <a:prstGeom prst="rect"/>
                  </pic:spPr>
                </pic:pic>
              </a:graphicData>
            </a:graphic>
          </wp:inline>
        </w:drawing>
      </w:r>
    </w:p>
    <w:p>
      <w:pPr>
        <w:pStyle w:val="Caption"/>
        <w:jc w:val="center"/>
      </w:pPr>
      <w:r>
        <w:rPr>
          <w:i/>
        </w:rPr>
        <w:t>Figure: P03 738 Baseline</w:t>
      </w:r>
    </w:p>
    <w:p>
      <w:pPr>
        <w:pStyle w:val="Heading2"/>
      </w:pPr>
      <w:r>
        <w:t>11.4 P04 - Servicing &amp; Exceptions</w:t>
      </w:r>
    </w:p>
    <w:p>
      <w:r>
        <w:rPr>
          <w:b/>
        </w:rPr>
        <w:t>Business question:</w:t>
      </w:r>
      <w:r>
        <w:t xml:space="preserve"> Which funded accounts require endpoint attention, what operational path was assigned, and did the downstream account state reconcile and certify?</w:t>
      </w:r>
    </w:p>
    <w:p>
      <w:r>
        <w:t>Required control:</w:t>
      </w:r>
    </w:p>
    <w:p>
      <w:pPr>
        <w:pStyle w:val="ListBullet"/>
        <w:spacing w:after="30"/>
      </w:pPr>
      <w:r>
        <w:t>Scenario only</w:t>
      </w:r>
    </w:p>
    <w:p>
      <w:r>
        <w:t>Required KPIs:</w:t>
      </w:r>
    </w:p>
    <w:p>
      <w:pPr>
        <w:pStyle w:val="ListBullet"/>
        <w:spacing w:after="30"/>
      </w:pPr>
      <w:r>
        <w:t>Requiring attention</w:t>
      </w:r>
    </w:p>
    <w:p>
      <w:pPr>
        <w:pStyle w:val="ListBullet"/>
        <w:spacing w:after="30"/>
      </w:pPr>
      <w:r>
        <w:t>Attention exposure</w:t>
      </w:r>
    </w:p>
    <w:p>
      <w:pPr>
        <w:pStyle w:val="ListBullet"/>
        <w:spacing w:after="30"/>
      </w:pPr>
      <w:r>
        <w:t>Active servicing</w:t>
      </w:r>
    </w:p>
    <w:p>
      <w:pPr>
        <w:pStyle w:val="ListBullet"/>
        <w:spacing w:after="30"/>
      </w:pPr>
      <w:r>
        <w:t>Review holds</w:t>
      </w:r>
    </w:p>
    <w:p>
      <w:pPr>
        <w:pStyle w:val="ListBullet"/>
        <w:spacing w:after="30"/>
      </w:pPr>
      <w:r>
        <w:t>Certified exposure</w:t>
      </w:r>
    </w:p>
    <w:p>
      <w:pPr>
        <w:pStyle w:val="ListBullet"/>
        <w:spacing w:after="30"/>
      </w:pPr>
      <w:r>
        <w:t>Unresolved exceptions</w:t>
      </w:r>
    </w:p>
    <w:p>
      <w:r>
        <w:t>Required analyses:</w:t>
      </w:r>
    </w:p>
    <w:p>
      <w:pPr>
        <w:pStyle w:val="ListBullet"/>
        <w:spacing w:after="30"/>
      </w:pPr>
      <w:r>
        <w:t>Endpoint monitoring posture</w:t>
      </w:r>
    </w:p>
    <w:p>
      <w:pPr>
        <w:pStyle w:val="ListBullet"/>
        <w:spacing w:after="30"/>
      </w:pPr>
      <w:r>
        <w:t>Servicing disposition</w:t>
      </w:r>
    </w:p>
    <w:p>
      <w:pPr>
        <w:pStyle w:val="ListBullet"/>
        <w:spacing w:after="30"/>
      </w:pPr>
      <w:r>
        <w:t>Account attention workbench</w:t>
      </w:r>
    </w:p>
    <w:p>
      <w:pPr>
        <w:pStyle w:val="ListBullet"/>
        <w:spacing w:after="30"/>
      </w:pPr>
      <w:r>
        <w:t>Payment &amp; certification detail</w:t>
      </w:r>
    </w:p>
    <w:p>
      <w:r>
        <w:t>The workbench shall trace:</w:t>
      </w:r>
    </w:p>
    <w:p>
      <w:pPr>
        <w:pStyle w:val="MSBFCallout"/>
        <w:shd w:fill="DCEFED"/>
      </w:pPr>
      <w:r>
        <w:t>monitoring status -&gt; recommended intervention -&gt; operational setup -&gt; servicing execution -&gt; endpoint state.</w:t>
      </w:r>
    </w:p>
    <w:p>
      <w:r>
        <w:t>The lower detail shall show:</w:t>
      </w:r>
    </w:p>
    <w:p>
      <w:pPr>
        <w:pStyle w:val="ListBullet"/>
        <w:spacing w:after="30"/>
      </w:pPr>
      <w:r>
        <w:t>execution state;</w:t>
      </w:r>
    </w:p>
    <w:p>
      <w:pPr>
        <w:pStyle w:val="ListBullet"/>
        <w:spacing w:after="30"/>
      </w:pPr>
      <w:r>
        <w:t>payment-event count;</w:t>
      </w:r>
    </w:p>
    <w:p>
      <w:pPr>
        <w:pStyle w:val="ListBullet"/>
        <w:spacing w:after="30"/>
      </w:pPr>
      <w:r>
        <w:t>processed amount;</w:t>
      </w:r>
    </w:p>
    <w:p>
      <w:pPr>
        <w:pStyle w:val="ListBullet"/>
        <w:spacing w:after="30"/>
      </w:pPr>
      <w:r>
        <w:t>return/retry behavior;</w:t>
      </w:r>
    </w:p>
    <w:p>
      <w:pPr>
        <w:pStyle w:val="ListBullet"/>
        <w:spacing w:after="30"/>
      </w:pPr>
      <w:r>
        <w:t>reconciliation result;</w:t>
      </w:r>
    </w:p>
    <w:p>
      <w:pPr>
        <w:pStyle w:val="ListBullet"/>
        <w:spacing w:after="30"/>
      </w:pPr>
      <w:r>
        <w:t>certification date;</w:t>
      </w:r>
    </w:p>
    <w:p>
      <w:pPr>
        <w:pStyle w:val="ListBullet"/>
        <w:spacing w:after="30"/>
      </w:pPr>
      <w:r>
        <w:t>certified exposure.</w:t>
      </w:r>
    </w:p>
    <w:p>
      <w:r>
        <w:t>The visible page shall not display servicing burden units because the report does not otherwise establish an interpretable scale or benchmark. The measure may remain available for technical QA.</w:t>
      </w:r>
    </w:p>
    <w:p>
      <w:pPr>
        <w:jc w:val="center"/>
      </w:pPr>
      <w:r>
        <w:drawing>
          <wp:inline xmlns:a="http://schemas.openxmlformats.org/drawingml/2006/main" xmlns:pic="http://schemas.openxmlformats.org/drawingml/2006/picture">
            <wp:extent cx="6080760" cy="3510452"/>
            <wp:docPr id="4" name="Picture 4" title="P04 Baseline" descr="P04 Baseline. Owner-approved Power BI presentation capture."/>
            <wp:cNvGraphicFramePr>
              <a:graphicFrameLocks noChangeAspect="1"/>
            </wp:cNvGraphicFramePr>
            <a:graphic>
              <a:graphicData uri="http://schemas.openxmlformats.org/drawingml/2006/picture">
                <pic:pic>
                  <pic:nvPicPr>
                    <pic:cNvPr id="0" name="p04_servicing_exceptions_baseline.png"/>
                    <pic:cNvPicPr/>
                  </pic:nvPicPr>
                  <pic:blipFill>
                    <a:blip r:embed="rId14"/>
                    <a:stretch>
                      <a:fillRect/>
                    </a:stretch>
                  </pic:blipFill>
                  <pic:spPr>
                    <a:xfrm>
                      <a:off x="0" y="0"/>
                      <a:ext cx="6080760" cy="3510452"/>
                    </a:xfrm>
                    <a:prstGeom prst="rect"/>
                  </pic:spPr>
                </pic:pic>
              </a:graphicData>
            </a:graphic>
          </wp:inline>
        </w:drawing>
      </w:r>
    </w:p>
    <w:p>
      <w:pPr>
        <w:pStyle w:val="Caption"/>
        <w:jc w:val="center"/>
      </w:pPr>
      <w:r>
        <w:rPr>
          <w:i/>
        </w:rPr>
        <w:t>Figure: P04 Baseline</w:t>
      </w:r>
    </w:p>
    <w:p>
      <w:pPr>
        <w:pStyle w:val="Heading1"/>
      </w:pPr>
      <w:r>
        <w:t>12. Interaction requirements</w:t>
      </w:r>
    </w:p>
    <w:p>
      <w:pPr>
        <w:pStyle w:val="ListBullet"/>
        <w:spacing w:after="30"/>
      </w:pPr>
      <w:r>
        <w:t>Scenario shall filter every intended visual on each page.</w:t>
      </w:r>
    </w:p>
    <w:p>
      <w:pPr>
        <w:pStyle w:val="ListBullet"/>
        <w:spacing w:after="30"/>
      </w:pPr>
      <w:r>
        <w:t>Industry and acquisition source shall filter intended P01/P02 visuals.</w:t>
      </w:r>
    </w:p>
    <w:p>
      <w:pPr>
        <w:pStyle w:val="ListBullet"/>
        <w:spacing w:after="30"/>
      </w:pPr>
      <w:r>
        <w:t>Observation date/period shall affect only valid date-sensitive measures.</w:t>
      </w:r>
    </w:p>
    <w:p>
      <w:pPr>
        <w:pStyle w:val="ListBullet"/>
        <w:spacing w:after="30"/>
      </w:pPr>
      <w:r>
        <w:t>P03 Merchant and Scenario shall resolve one exact application-scenario path.</w:t>
      </w:r>
    </w:p>
    <w:p>
      <w:pPr>
        <w:pStyle w:val="ListBullet"/>
        <w:spacing w:after="30"/>
      </w:pPr>
      <w:r>
        <w:t>P04 workbench selection shall filter Payment &amp; certification detail.</w:t>
      </w:r>
    </w:p>
    <w:p>
      <w:pPr>
        <w:pStyle w:val="ListBullet"/>
        <w:spacing w:after="30"/>
      </w:pPr>
      <w:r>
        <w:t>P04 workbench selection shall not change portfolio-level KPI or posture charts.</w:t>
      </w:r>
    </w:p>
    <w:p>
      <w:pPr>
        <w:pStyle w:val="ListBullet"/>
        <w:spacing w:after="30"/>
      </w:pPr>
      <w:r>
        <w:t>Hidden diagnostics shall not enter public navigation.</w:t>
      </w:r>
    </w:p>
    <w:p>
      <w:pPr>
        <w:pStyle w:val="Heading1"/>
      </w:pPr>
      <w:r>
        <w:t>13. Narrative and terminology requirements</w:t>
      </w:r>
    </w:p>
    <w:p>
      <w:r>
        <w:t>The product shall use terminology appropriate for a client-facing merchant-financing portfolio:</w:t>
      </w:r>
    </w:p>
    <w:p>
      <w:pPr>
        <w:pStyle w:val="ListBullet"/>
        <w:spacing w:after="30"/>
      </w:pPr>
      <w:r>
        <w:rPr>
          <w:b/>
        </w:rPr>
        <w:t>Proposed structure</w:t>
      </w:r>
      <w:r>
        <w:t>, not selected structure, where authorization is not guaranteed.</w:t>
      </w:r>
    </w:p>
    <w:p>
      <w:pPr>
        <w:pStyle w:val="ListBullet"/>
        <w:spacing w:after="30"/>
      </w:pPr>
      <w:r>
        <w:rPr>
          <w:b/>
        </w:rPr>
        <w:t>Reassessment</w:t>
      </w:r>
      <w:r>
        <w:t xml:space="preserve"> and </w:t>
      </w:r>
      <w:r>
        <w:rPr>
          <w:b/>
        </w:rPr>
        <w:t>Review hold</w:t>
      </w:r>
      <w:r>
        <w:t xml:space="preserve"> as concise chart labels, with full queue wording in tooltips.</w:t>
      </w:r>
    </w:p>
    <w:p>
      <w:pPr>
        <w:pStyle w:val="ListBullet"/>
        <w:spacing w:after="30"/>
      </w:pPr>
      <w:r>
        <w:rPr>
          <w:b/>
        </w:rPr>
        <w:t>Dormant</w:t>
      </w:r>
      <w:r>
        <w:t xml:space="preserve"> for compact P04 endpoint labels and </w:t>
      </w:r>
      <w:r>
        <w:rPr>
          <w:b/>
        </w:rPr>
        <w:t>Dormant / no remittance</w:t>
      </w:r>
      <w:r>
        <w:t xml:space="preserve"> where P03 journey context benefits from the full meaning.</w:t>
      </w:r>
    </w:p>
    <w:p>
      <w:pPr>
        <w:pStyle w:val="ListBullet"/>
        <w:spacing w:after="30"/>
      </w:pPr>
      <w:r>
        <w:rPr>
          <w:b/>
        </w:rPr>
        <w:t>Counteroffer review</w:t>
      </w:r>
      <w:r>
        <w:t xml:space="preserve">, </w:t>
      </w:r>
      <w:r>
        <w:rPr>
          <w:b/>
        </w:rPr>
        <w:t>Underwriting review</w:t>
      </w:r>
      <w:r>
        <w:t xml:space="preserve">, </w:t>
      </w:r>
      <w:r>
        <w:rPr>
          <w:b/>
        </w:rPr>
        <w:t>Evidence decline</w:t>
      </w:r>
      <w:r>
        <w:t xml:space="preserve">, </w:t>
      </w:r>
      <w:r>
        <w:rPr>
          <w:b/>
        </w:rPr>
        <w:t>No feasible structure</w:t>
      </w:r>
      <w:r>
        <w:t xml:space="preserve">, and </w:t>
      </w:r>
      <w:r>
        <w:rPr>
          <w:b/>
        </w:rPr>
        <w:t>Policy hard stop</w:t>
      </w:r>
      <w:r>
        <w:t xml:space="preserve"> as distinct outcomes.</w:t>
      </w:r>
    </w:p>
    <w:p>
      <w:r>
        <w:t>Narratives must explain evidence and economics without overstating certainty or inventing facts.</w:t>
      </w:r>
    </w:p>
    <w:p>
      <w:pPr>
        <w:pStyle w:val="Heading1"/>
      </w:pPr>
      <w:r>
        <w:t>14. Accessibility requirements</w:t>
      </w:r>
    </w:p>
    <w:p>
      <w:pPr>
        <w:pStyle w:val="ListBullet"/>
        <w:spacing w:after="30"/>
      </w:pPr>
      <w:r>
        <w:t>Substantive title, KPI, chart, and table visuals shall receive meaningful alt text.</w:t>
      </w:r>
    </w:p>
    <w:p>
      <w:pPr>
        <w:pStyle w:val="ListBullet"/>
        <w:spacing w:after="30"/>
      </w:pPr>
      <w:r>
        <w:t>Dynamic KPI alt text may state current values and grammar.</w:t>
      </w:r>
    </w:p>
    <w:p>
      <w:pPr>
        <w:pStyle w:val="ListBullet"/>
        <w:spacing w:after="30"/>
      </w:pPr>
      <w:r>
        <w:t>Separate narrative tables shall have distinct purpose-oriented alt text.</w:t>
      </w:r>
    </w:p>
    <w:p>
      <w:pPr>
        <w:pStyle w:val="ListBullet"/>
        <w:spacing w:after="30"/>
      </w:pPr>
      <w:r>
        <w:t>Slicers and visible footer text shall use native readable labels without redundant custom alt text.</w:t>
      </w:r>
    </w:p>
    <w:p>
      <w:pPr>
        <w:pStyle w:val="ListBullet"/>
        <w:spacing w:after="30"/>
      </w:pPr>
      <w:r>
        <w:t>Tab order shall follow the page's analytical reading sequence.</w:t>
      </w:r>
    </w:p>
    <w:p>
      <w:pPr>
        <w:pStyle w:val="ListBullet"/>
        <w:spacing w:after="30"/>
      </w:pPr>
      <w:r>
        <w:t>Tooltips shall not be the only place where essential meaning is conveyed.</w:t>
      </w:r>
    </w:p>
    <w:p>
      <w:pPr>
        <w:pStyle w:val="ListBullet"/>
        <w:spacing w:after="30"/>
      </w:pPr>
      <w:r>
        <w:t>Short axis labels may be backed by full tooltip descriptions.</w:t>
      </w:r>
    </w:p>
    <w:p>
      <w:pPr>
        <w:pStyle w:val="Heading1"/>
      </w:pPr>
      <w:r>
        <w:t>15. Nonfunctional requirements</w:t>
      </w:r>
    </w:p>
    <w:p>
      <w:pPr>
        <w:pStyle w:val="Heading2"/>
      </w:pPr>
      <w:r>
        <w:t>15.1 Integrity</w:t>
      </w:r>
    </w:p>
    <w:p>
      <w:pPr>
        <w:pStyle w:val="ListBullet"/>
        <w:spacing w:after="30"/>
      </w:pPr>
      <w:r>
        <w:t>PBIX CRC shall pass.</w:t>
      </w:r>
    </w:p>
    <w:p>
      <w:pPr>
        <w:pStyle w:val="ListBullet"/>
        <w:spacing w:after="30"/>
      </w:pPr>
      <w:r>
        <w:t>Package paths shall be safe and noncolliding.</w:t>
      </w:r>
    </w:p>
    <w:p>
      <w:pPr>
        <w:pStyle w:val="ListBullet"/>
        <w:spacing w:after="30"/>
      </w:pPr>
      <w:r>
        <w:t>Source and publication artifacts shall carry SHA-256 checksums.</w:t>
      </w:r>
    </w:p>
    <w:p>
      <w:pPr>
        <w:pStyle w:val="ListBullet"/>
        <w:spacing w:after="30"/>
      </w:pPr>
      <w:r>
        <w:t>Publication ZIPs shall extract cleanly with ordinary Windows-native tooling.</w:t>
      </w:r>
    </w:p>
    <w:p>
      <w:pPr>
        <w:pStyle w:val="Heading2"/>
      </w:pPr>
      <w:r>
        <w:t>15.2 Maintainability</w:t>
      </w:r>
    </w:p>
    <w:p>
      <w:pPr>
        <w:pStyle w:val="ListBullet"/>
        <w:spacing w:after="30"/>
      </w:pPr>
      <w:r>
        <w:t>Canonical and page-specific measures shall be documented.</w:t>
      </w:r>
    </w:p>
    <w:p>
      <w:pPr>
        <w:pStyle w:val="ListBullet"/>
        <w:spacing w:after="30"/>
      </w:pPr>
      <w:r>
        <w:t>Requirements and validation shall be traceable.</w:t>
      </w:r>
    </w:p>
    <w:p>
      <w:pPr>
        <w:pStyle w:val="ListBullet"/>
        <w:spacing w:after="30"/>
      </w:pPr>
      <w:r>
        <w:t>Friendly-label logic shall preserve underlying codes.</w:t>
      </w:r>
    </w:p>
    <w:p>
      <w:pPr>
        <w:pStyle w:val="ListBullet"/>
        <w:spacing w:after="30"/>
      </w:pPr>
      <w:r>
        <w:t>Future additions shall update the source-of-truth register and change log.</w:t>
      </w:r>
    </w:p>
    <w:p>
      <w:pPr>
        <w:pStyle w:val="ListBullet"/>
        <w:spacing w:after="30"/>
      </w:pPr>
      <w:r>
        <w:t>P05/P06 shall not be activated without separate completion and validation.</w:t>
      </w:r>
    </w:p>
    <w:p>
      <w:pPr>
        <w:pStyle w:val="Heading2"/>
      </w:pPr>
      <w:r>
        <w:t>15.3 Performance and usability</w:t>
      </w:r>
    </w:p>
    <w:p>
      <w:r>
        <w:t>The report shall remain usable in Power BI Desktop with native visuals and bounded page complexity. The current build was developed on an older desktop where interaction latency was observed; publication does not assert enterprise-scale Power BI Service performance.</w:t>
      </w:r>
    </w:p>
    <w:p>
      <w:pPr>
        <w:pStyle w:val="Heading2"/>
      </w:pPr>
      <w:r>
        <w:t>15.4 Privacy and security</w:t>
      </w:r>
    </w:p>
    <w:p>
      <w:r>
        <w:t>The public package shall contain deterministic synthetic data and public-candidate presentation assets only. Private owner evidence, raw Desktop QA captures, and internal development packages shall remain outside the public package unless separately authorized.</w:t>
      </w:r>
    </w:p>
    <w:p>
      <w:pPr>
        <w:pStyle w:val="Heading1"/>
      </w:pPr>
      <w:r>
        <w:t>16. Validation and acceptance requirements</w:t>
      </w:r>
    </w:p>
    <w:p>
      <w:r>
        <w:t>Acceptance requires:</w:t>
      </w:r>
    </w:p>
    <w:p>
      <w:pPr>
        <w:pStyle w:val="ListBullet"/>
        <w:spacing w:after="30"/>
      </w:pPr>
      <w:r>
        <w:t>physical package validation;</w:t>
      </w:r>
    </w:p>
    <w:p>
      <w:pPr>
        <w:pStyle w:val="ListBullet"/>
        <w:spacing w:after="30"/>
      </w:pPr>
      <w:r>
        <w:t>report page and binding inventory;</w:t>
      </w:r>
    </w:p>
    <w:p>
      <w:pPr>
        <w:pStyle w:val="ListBullet"/>
        <w:spacing w:after="30"/>
      </w:pPr>
      <w:r>
        <w:t>G3-v2 certification;</w:t>
      </w:r>
    </w:p>
    <w:p>
      <w:pPr>
        <w:pStyle w:val="ListBullet"/>
        <w:spacing w:after="30"/>
      </w:pPr>
      <w:r>
        <w:t>source-population reconciliation;</w:t>
      </w:r>
    </w:p>
    <w:p>
      <w:pPr>
        <w:pStyle w:val="ListBullet"/>
        <w:spacing w:after="30"/>
      </w:pPr>
      <w:r>
        <w:t>P03 narrative and monitoring QA;</w:t>
      </w:r>
    </w:p>
    <w:p>
      <w:pPr>
        <w:pStyle w:val="ListBullet"/>
        <w:spacing w:after="30"/>
      </w:pPr>
      <w:r>
        <w:t>P04 M2.6-M2.10 QA;</w:t>
      </w:r>
    </w:p>
    <w:p>
      <w:pPr>
        <w:pStyle w:val="ListBullet"/>
        <w:spacing w:after="30"/>
      </w:pPr>
      <w:r>
        <w:t>interaction and scenario testing;</w:t>
      </w:r>
    </w:p>
    <w:p>
      <w:pPr>
        <w:pStyle w:val="ListBullet"/>
        <w:spacing w:after="30"/>
      </w:pPr>
      <w:r>
        <w:t>accessibility evidence;</w:t>
      </w:r>
    </w:p>
    <w:p>
      <w:pPr>
        <w:pStyle w:val="ListBullet"/>
        <w:spacing w:after="30"/>
      </w:pPr>
      <w:r>
        <w:t>temporal and interpretation-boundary review;</w:t>
      </w:r>
    </w:p>
    <w:p>
      <w:pPr>
        <w:pStyle w:val="ListBullet"/>
        <w:spacing w:after="30"/>
      </w:pPr>
      <w:r>
        <w:t>final refresh/save/close/reopen persistence and nonregression;</w:t>
      </w:r>
    </w:p>
    <w:p>
      <w:pPr>
        <w:pStyle w:val="ListBullet"/>
        <w:spacing w:after="30"/>
      </w:pPr>
      <w:r>
        <w:t>separate GitHub release authorization.</w:t>
      </w:r>
    </w:p>
    <w:p>
      <w:r>
        <w:t>The current validation state is: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7F7A"/>
            <w:tcMar>
              <w:top w:w="70" w:type="dxa"/>
              <w:start w:w="75" w:type="dxa"/>
              <w:bottom w:w="70" w:type="dxa"/>
              <w:end w:w="75" w:type="dxa"/>
            </w:tcMar>
            <w:vAlign w:val="center"/>
          </w:tcPr>
          <w:p>
            <w:r/>
            <w:r>
              <w:rPr>
                <w:b/>
                <w:color w:val="FFFFFF"/>
                <w:sz w:val="16"/>
              </w:rPr>
              <w:t>Status</w:t>
            </w:r>
          </w:p>
        </w:tc>
        <w:tc>
          <w:tcPr>
            <w:tcW w:type="dxa" w:w="5083"/>
            <w:shd w:fill="1F7F7A"/>
            <w:tcMar>
              <w:top w:w="70" w:type="dxa"/>
              <w:start w:w="75" w:type="dxa"/>
              <w:bottom w:w="70" w:type="dxa"/>
              <w:end w:w="75" w:type="dxa"/>
            </w:tcMar>
            <w:vAlign w:val="center"/>
          </w:tcPr>
          <w:p>
            <w:r/>
            <w:r>
              <w:rPr>
                <w:b/>
                <w:color w:val="FFFFFF"/>
                <w:sz w:val="16"/>
              </w:rPr>
              <w:t>Controls</w:t>
            </w:r>
          </w:p>
        </w:tc>
      </w:tr>
      <w:tr>
        <w:trPr>
          <w:cantSplit/>
        </w:trPr>
        <w:tc>
          <w:tcPr>
            <w:tcW w:type="dxa" w:w="5083"/>
            <w:tcMar>
              <w:top w:w="45" w:type="dxa"/>
              <w:start w:w="65" w:type="dxa"/>
              <w:bottom w:w="45" w:type="dxa"/>
              <w:end w:w="65" w:type="dxa"/>
            </w:tcMar>
            <w:vAlign w:val="top"/>
          </w:tcPr>
          <w:p>
            <w:r/>
            <w:r>
              <w:rPr>
                <w:sz w:val="16"/>
              </w:rPr>
              <w:t>PASS</w:t>
            </w:r>
          </w:p>
        </w:tc>
        <w:tc>
          <w:tcPr>
            <w:tcW w:type="dxa" w:w="5083"/>
            <w:tcMar>
              <w:top w:w="45" w:type="dxa"/>
              <w:start w:w="65" w:type="dxa"/>
              <w:bottom w:w="45" w:type="dxa"/>
              <w:end w:w="65" w:type="dxa"/>
            </w:tcMar>
            <w:vAlign w:val="top"/>
          </w:tcPr>
          <w:p>
            <w:r/>
            <w:r>
              <w:rPr>
                <w:sz w:val="16"/>
              </w:rPr>
              <w:t>46</w:t>
            </w:r>
          </w:p>
        </w:tc>
      </w:tr>
      <w:tr>
        <w:trPr>
          <w:cantSplit/>
        </w:trPr>
        <w:tc>
          <w:tcPr>
            <w:tcW w:type="dxa" w:w="5083"/>
            <w:tcMar>
              <w:top w:w="45" w:type="dxa"/>
              <w:start w:w="65" w:type="dxa"/>
              <w:bottom w:w="45" w:type="dxa"/>
              <w:end w:w="65" w:type="dxa"/>
            </w:tcMar>
            <w:vAlign w:val="top"/>
            <w:shd w:fill="F2F7F6"/>
          </w:tcPr>
          <w:p>
            <w:r/>
            <w:r>
              <w:rPr>
                <w:sz w:val="16"/>
              </w:rPr>
              <w:t>DEFERRED</w:t>
            </w:r>
          </w:p>
        </w:tc>
        <w:tc>
          <w:tcPr>
            <w:tcW w:type="dxa" w:w="5083"/>
            <w:tcMar>
              <w:top w:w="45" w:type="dxa"/>
              <w:start w:w="65" w:type="dxa"/>
              <w:bottom w:w="45" w:type="dxa"/>
              <w:end w:w="65" w:type="dxa"/>
            </w:tcMar>
            <w:vAlign w:val="top"/>
            <w:shd w:fill="F2F7F6"/>
          </w:tcPr>
          <w:p>
            <w:r/>
            <w:r>
              <w:rPr>
                <w:sz w:val="16"/>
              </w:rPr>
              <w:t>0</w:t>
            </w:r>
          </w:p>
        </w:tc>
      </w:tr>
      <w:tr>
        <w:trPr>
          <w:cantSplit/>
        </w:trPr>
        <w:tc>
          <w:tcPr>
            <w:tcW w:type="dxa" w:w="5083"/>
            <w:tcMar>
              <w:top w:w="45" w:type="dxa"/>
              <w:start w:w="65" w:type="dxa"/>
              <w:bottom w:w="45" w:type="dxa"/>
              <w:end w:w="65" w:type="dxa"/>
            </w:tcMar>
            <w:vAlign w:val="top"/>
          </w:tcPr>
          <w:p>
            <w:r/>
            <w:r>
              <w:rPr>
                <w:sz w:val="16"/>
              </w:rPr>
              <w:t>PENDING</w:t>
            </w:r>
          </w:p>
        </w:tc>
        <w:tc>
          <w:tcPr>
            <w:tcW w:type="dxa" w:w="5083"/>
            <w:tcMar>
              <w:top w:w="45" w:type="dxa"/>
              <w:start w:w="65" w:type="dxa"/>
              <w:bottom w:w="45" w:type="dxa"/>
              <w:end w:w="65" w:type="dxa"/>
            </w:tcMar>
            <w:vAlign w:val="top"/>
          </w:tcPr>
          <w:p>
            <w:r/>
            <w:r>
              <w:rPr>
                <w:sz w:val="16"/>
              </w:rPr>
              <w:t>1</w:t>
            </w:r>
          </w:p>
        </w:tc>
      </w:tr>
    </w:tbl>
    <w:p>
      <w:pPr>
        <w:spacing w:after="20"/>
      </w:pPr>
    </w:p>
    <w:p>
      <w:r>
        <w:t>The current pages are accepted and frozen at the page-production level. The owner has closed the portfolio-wide persistence/nonregression gate using the final post-reopen report state. The only remaining release activity is the separately authorized GitHub publication/public-supersession action.</w:t>
      </w:r>
    </w:p>
    <w:p>
      <w:pPr>
        <w:pStyle w:val="Heading1"/>
      </w:pPr>
      <w:r>
        <w:t>17. Requirements baseline</w:t>
      </w:r>
    </w:p>
    <w:p>
      <w:r>
        <w:t xml:space="preserve">The companion register contains </w:t>
      </w:r>
      <w:r>
        <w:rPr>
          <w:b/>
        </w:rPr>
        <w:t>142 requirements</w:t>
      </w:r>
      <w:r>
        <w:t>.</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7F7A"/>
            <w:tcMar>
              <w:top w:w="70" w:type="dxa"/>
              <w:start w:w="75" w:type="dxa"/>
              <w:bottom w:w="70" w:type="dxa"/>
              <w:end w:w="75" w:type="dxa"/>
            </w:tcMar>
            <w:vAlign w:val="center"/>
          </w:tcPr>
          <w:p>
            <w:r/>
            <w:r>
              <w:rPr>
                <w:b/>
                <w:color w:val="FFFFFF"/>
                <w:sz w:val="16"/>
              </w:rPr>
              <w:t>Category</w:t>
            </w:r>
          </w:p>
        </w:tc>
        <w:tc>
          <w:tcPr>
            <w:tcW w:type="dxa" w:w="1694"/>
            <w:shd w:fill="1F7F7A"/>
            <w:tcMar>
              <w:top w:w="70" w:type="dxa"/>
              <w:start w:w="75" w:type="dxa"/>
              <w:bottom w:w="70" w:type="dxa"/>
              <w:end w:w="75" w:type="dxa"/>
            </w:tcMar>
            <w:vAlign w:val="center"/>
          </w:tcPr>
          <w:p>
            <w:r/>
            <w:r>
              <w:rPr>
                <w:b/>
                <w:color w:val="FFFFFF"/>
                <w:sz w:val="16"/>
              </w:rPr>
              <w:t>Total</w:t>
            </w:r>
          </w:p>
        </w:tc>
        <w:tc>
          <w:tcPr>
            <w:tcW w:type="dxa" w:w="1694"/>
            <w:shd w:fill="1F7F7A"/>
            <w:tcMar>
              <w:top w:w="70" w:type="dxa"/>
              <w:start w:w="75" w:type="dxa"/>
              <w:bottom w:w="70" w:type="dxa"/>
              <w:end w:w="75" w:type="dxa"/>
            </w:tcMar>
            <w:vAlign w:val="center"/>
          </w:tcPr>
          <w:p>
            <w:r/>
            <w:r>
              <w:rPr>
                <w:b/>
                <w:color w:val="FFFFFF"/>
                <w:sz w:val="16"/>
              </w:rPr>
              <w:t>Verified</w:t>
            </w:r>
          </w:p>
        </w:tc>
        <w:tc>
          <w:tcPr>
            <w:tcW w:type="dxa" w:w="1694"/>
            <w:shd w:fill="1F7F7A"/>
            <w:tcMar>
              <w:top w:w="70" w:type="dxa"/>
              <w:start w:w="75" w:type="dxa"/>
              <w:bottom w:w="70" w:type="dxa"/>
              <w:end w:w="75" w:type="dxa"/>
            </w:tcMar>
            <w:vAlign w:val="center"/>
          </w:tcPr>
          <w:p>
            <w:r/>
            <w:r>
              <w:rPr>
                <w:b/>
                <w:color w:val="FFFFFF"/>
                <w:sz w:val="16"/>
              </w:rPr>
              <w:t>Deferred</w:t>
            </w:r>
          </w:p>
        </w:tc>
        <w:tc>
          <w:tcPr>
            <w:tcW w:type="dxa" w:w="1694"/>
            <w:shd w:fill="1F7F7A"/>
            <w:tcMar>
              <w:top w:w="70" w:type="dxa"/>
              <w:start w:w="75" w:type="dxa"/>
              <w:bottom w:w="70" w:type="dxa"/>
              <w:end w:w="75" w:type="dxa"/>
            </w:tcMar>
            <w:vAlign w:val="center"/>
          </w:tcPr>
          <w:p>
            <w:r/>
            <w:r>
              <w:rPr>
                <w:b/>
                <w:color w:val="FFFFFF"/>
                <w:sz w:val="16"/>
              </w:rPr>
              <w:t>Pending</w:t>
            </w:r>
          </w:p>
        </w:tc>
        <w:tc>
          <w:tcPr>
            <w:tcW w:type="dxa" w:w="1694"/>
            <w:shd w:fill="1F7F7A"/>
            <w:tcMar>
              <w:top w:w="70" w:type="dxa"/>
              <w:start w:w="75" w:type="dxa"/>
              <w:bottom w:w="70" w:type="dxa"/>
              <w:end w:w="75" w:type="dxa"/>
            </w:tcMar>
            <w:vAlign w:val="center"/>
          </w:tcPr>
          <w:p>
            <w:r/>
            <w:r>
              <w:rPr>
                <w:b/>
                <w:color w:val="FFFFFF"/>
                <w:sz w:val="16"/>
              </w:rPr>
              <w:t>Planned</w:t>
            </w:r>
          </w:p>
        </w:tc>
      </w:tr>
      <w:tr>
        <w:trPr>
          <w:cantSplit/>
        </w:trPr>
        <w:tc>
          <w:tcPr>
            <w:tcW w:type="dxa" w:w="1694"/>
            <w:tcMar>
              <w:top w:w="45" w:type="dxa"/>
              <w:start w:w="65" w:type="dxa"/>
              <w:bottom w:w="45" w:type="dxa"/>
              <w:end w:w="65" w:type="dxa"/>
            </w:tcMar>
            <w:vAlign w:val="top"/>
          </w:tcPr>
          <w:p>
            <w:r/>
            <w:r>
              <w:rPr>
                <w:sz w:val="15"/>
              </w:rPr>
              <w:t>Accessibility</w:t>
            </w:r>
          </w:p>
        </w:tc>
        <w:tc>
          <w:tcPr>
            <w:tcW w:type="dxa" w:w="1694"/>
            <w:tcMar>
              <w:top w:w="45" w:type="dxa"/>
              <w:start w:w="65" w:type="dxa"/>
              <w:bottom w:w="45" w:type="dxa"/>
              <w:end w:w="65" w:type="dxa"/>
            </w:tcMar>
            <w:vAlign w:val="top"/>
          </w:tcPr>
          <w:p>
            <w:r/>
            <w:r>
              <w:rPr>
                <w:sz w:val="15"/>
              </w:rPr>
              <w:t>6</w:t>
            </w:r>
          </w:p>
        </w:tc>
        <w:tc>
          <w:tcPr>
            <w:tcW w:type="dxa" w:w="1694"/>
            <w:tcMar>
              <w:top w:w="45" w:type="dxa"/>
              <w:start w:w="65" w:type="dxa"/>
              <w:bottom w:w="45" w:type="dxa"/>
              <w:end w:w="65" w:type="dxa"/>
            </w:tcMar>
            <w:vAlign w:val="top"/>
          </w:tcPr>
          <w:p>
            <w:r/>
            <w:r>
              <w:rPr>
                <w:sz w:val="15"/>
              </w:rPr>
              <w:t>6</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r>
      <w:tr>
        <w:trPr>
          <w:cantSplit/>
        </w:trPr>
        <w:tc>
          <w:tcPr>
            <w:tcW w:type="dxa" w:w="1694"/>
            <w:tcMar>
              <w:top w:w="45" w:type="dxa"/>
              <w:start w:w="65" w:type="dxa"/>
              <w:bottom w:w="45" w:type="dxa"/>
              <w:end w:w="65" w:type="dxa"/>
            </w:tcMar>
            <w:vAlign w:val="top"/>
            <w:shd w:fill="F2F7F6"/>
          </w:tcPr>
          <w:p>
            <w:r/>
            <w:r>
              <w:rPr>
                <w:sz w:val="15"/>
              </w:rPr>
              <w:t>Data Sources</w:t>
            </w:r>
          </w:p>
        </w:tc>
        <w:tc>
          <w:tcPr>
            <w:tcW w:type="dxa" w:w="1694"/>
            <w:tcMar>
              <w:top w:w="45" w:type="dxa"/>
              <w:start w:w="65" w:type="dxa"/>
              <w:bottom w:w="45" w:type="dxa"/>
              <w:end w:w="65" w:type="dxa"/>
            </w:tcMar>
            <w:vAlign w:val="top"/>
            <w:shd w:fill="F2F7F6"/>
          </w:tcPr>
          <w:p>
            <w:r/>
            <w:r>
              <w:rPr>
                <w:sz w:val="15"/>
              </w:rPr>
              <w:t>17</w:t>
            </w:r>
          </w:p>
        </w:tc>
        <w:tc>
          <w:tcPr>
            <w:tcW w:type="dxa" w:w="1694"/>
            <w:tcMar>
              <w:top w:w="45" w:type="dxa"/>
              <w:start w:w="65" w:type="dxa"/>
              <w:bottom w:w="45" w:type="dxa"/>
              <w:end w:w="65" w:type="dxa"/>
            </w:tcMar>
            <w:vAlign w:val="top"/>
            <w:shd w:fill="F2F7F6"/>
          </w:tcPr>
          <w:p>
            <w:r/>
            <w:r>
              <w:rPr>
                <w:sz w:val="15"/>
              </w:rPr>
              <w:t>17</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r>
      <w:tr>
        <w:trPr>
          <w:cantSplit/>
        </w:trPr>
        <w:tc>
          <w:tcPr>
            <w:tcW w:type="dxa" w:w="1694"/>
            <w:tcMar>
              <w:top w:w="45" w:type="dxa"/>
              <w:start w:w="65" w:type="dxa"/>
              <w:bottom w:w="45" w:type="dxa"/>
              <w:end w:w="65" w:type="dxa"/>
            </w:tcMar>
            <w:vAlign w:val="top"/>
          </w:tcPr>
          <w:p>
            <w:r/>
            <w:r>
              <w:rPr>
                <w:sz w:val="15"/>
              </w:rPr>
              <w:t>Governance</w:t>
            </w:r>
          </w:p>
        </w:tc>
        <w:tc>
          <w:tcPr>
            <w:tcW w:type="dxa" w:w="1694"/>
            <w:tcMar>
              <w:top w:w="45" w:type="dxa"/>
              <w:start w:w="65" w:type="dxa"/>
              <w:bottom w:w="45" w:type="dxa"/>
              <w:end w:w="65" w:type="dxa"/>
            </w:tcMar>
            <w:vAlign w:val="top"/>
          </w:tcPr>
          <w:p>
            <w:r/>
            <w:r>
              <w:rPr>
                <w:sz w:val="15"/>
              </w:rPr>
              <w:t>12</w:t>
            </w:r>
          </w:p>
        </w:tc>
        <w:tc>
          <w:tcPr>
            <w:tcW w:type="dxa" w:w="1694"/>
            <w:tcMar>
              <w:top w:w="45" w:type="dxa"/>
              <w:start w:w="65" w:type="dxa"/>
              <w:bottom w:w="45" w:type="dxa"/>
              <w:end w:w="65" w:type="dxa"/>
            </w:tcMar>
            <w:vAlign w:val="top"/>
          </w:tcPr>
          <w:p>
            <w:r/>
            <w:r>
              <w:rPr>
                <w:sz w:val="15"/>
              </w:rPr>
              <w:t>12</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r>
      <w:tr>
        <w:trPr>
          <w:cantSplit/>
        </w:trPr>
        <w:tc>
          <w:tcPr>
            <w:tcW w:type="dxa" w:w="1694"/>
            <w:tcMar>
              <w:top w:w="45" w:type="dxa"/>
              <w:start w:w="65" w:type="dxa"/>
              <w:bottom w:w="45" w:type="dxa"/>
              <w:end w:w="65" w:type="dxa"/>
            </w:tcMar>
            <w:vAlign w:val="top"/>
            <w:shd w:fill="F2F7F6"/>
          </w:tcPr>
          <w:p>
            <w:r/>
            <w:r>
              <w:rPr>
                <w:sz w:val="15"/>
              </w:rPr>
              <w:t>Nonfunctional</w:t>
            </w:r>
          </w:p>
        </w:tc>
        <w:tc>
          <w:tcPr>
            <w:tcW w:type="dxa" w:w="1694"/>
            <w:tcMar>
              <w:top w:w="45" w:type="dxa"/>
              <w:start w:w="65" w:type="dxa"/>
              <w:bottom w:w="45" w:type="dxa"/>
              <w:end w:w="65" w:type="dxa"/>
            </w:tcMar>
            <w:vAlign w:val="top"/>
            <w:shd w:fill="F2F7F6"/>
          </w:tcPr>
          <w:p>
            <w:r/>
            <w:r>
              <w:rPr>
                <w:sz w:val="15"/>
              </w:rPr>
              <w:t>5</w:t>
            </w:r>
          </w:p>
        </w:tc>
        <w:tc>
          <w:tcPr>
            <w:tcW w:type="dxa" w:w="1694"/>
            <w:tcMar>
              <w:top w:w="45" w:type="dxa"/>
              <w:start w:w="65" w:type="dxa"/>
              <w:bottom w:w="45" w:type="dxa"/>
              <w:end w:w="65" w:type="dxa"/>
            </w:tcMar>
            <w:vAlign w:val="top"/>
            <w:shd w:fill="F2F7F6"/>
          </w:tcPr>
          <w:p>
            <w:r/>
            <w:r>
              <w:rPr>
                <w:sz w:val="15"/>
              </w:rPr>
              <w:t>5</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r>
      <w:tr>
        <w:trPr>
          <w:cantSplit/>
        </w:trPr>
        <w:tc>
          <w:tcPr>
            <w:tcW w:type="dxa" w:w="1694"/>
            <w:tcMar>
              <w:top w:w="45" w:type="dxa"/>
              <w:start w:w="65" w:type="dxa"/>
              <w:bottom w:w="45" w:type="dxa"/>
              <w:end w:w="65" w:type="dxa"/>
            </w:tcMar>
            <w:vAlign w:val="top"/>
          </w:tcPr>
          <w:p>
            <w:r/>
            <w:r>
              <w:rPr>
                <w:sz w:val="15"/>
              </w:rPr>
              <w:t>P01 Command Center</w:t>
            </w:r>
          </w:p>
        </w:tc>
        <w:tc>
          <w:tcPr>
            <w:tcW w:type="dxa" w:w="1694"/>
            <w:tcMar>
              <w:top w:w="45" w:type="dxa"/>
              <w:start w:w="65" w:type="dxa"/>
              <w:bottom w:w="45" w:type="dxa"/>
              <w:end w:w="65" w:type="dxa"/>
            </w:tcMar>
            <w:vAlign w:val="top"/>
          </w:tcPr>
          <w:p>
            <w:r/>
            <w:r>
              <w:rPr>
                <w:sz w:val="15"/>
              </w:rPr>
              <w:t>12</w:t>
            </w:r>
          </w:p>
        </w:tc>
        <w:tc>
          <w:tcPr>
            <w:tcW w:type="dxa" w:w="1694"/>
            <w:tcMar>
              <w:top w:w="45" w:type="dxa"/>
              <w:start w:w="65" w:type="dxa"/>
              <w:bottom w:w="45" w:type="dxa"/>
              <w:end w:w="65" w:type="dxa"/>
            </w:tcMar>
            <w:vAlign w:val="top"/>
          </w:tcPr>
          <w:p>
            <w:r/>
            <w:r>
              <w:rPr>
                <w:sz w:val="15"/>
              </w:rPr>
              <w:t>12</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r>
      <w:tr>
        <w:trPr>
          <w:cantSplit/>
        </w:trPr>
        <w:tc>
          <w:tcPr>
            <w:tcW w:type="dxa" w:w="1694"/>
            <w:tcMar>
              <w:top w:w="45" w:type="dxa"/>
              <w:start w:w="65" w:type="dxa"/>
              <w:bottom w:w="45" w:type="dxa"/>
              <w:end w:w="65" w:type="dxa"/>
            </w:tcMar>
            <w:vAlign w:val="top"/>
            <w:shd w:fill="F2F7F6"/>
          </w:tcPr>
          <w:p>
            <w:r/>
            <w:r>
              <w:rPr>
                <w:sz w:val="15"/>
              </w:rPr>
              <w:t>P02 Cohort Lifecycle</w:t>
            </w:r>
          </w:p>
        </w:tc>
        <w:tc>
          <w:tcPr>
            <w:tcW w:type="dxa" w:w="1694"/>
            <w:tcMar>
              <w:top w:w="45" w:type="dxa"/>
              <w:start w:w="65" w:type="dxa"/>
              <w:bottom w:w="45" w:type="dxa"/>
              <w:end w:w="65" w:type="dxa"/>
            </w:tcMar>
            <w:vAlign w:val="top"/>
            <w:shd w:fill="F2F7F6"/>
          </w:tcPr>
          <w:p>
            <w:r/>
            <w:r>
              <w:rPr>
                <w:sz w:val="15"/>
              </w:rPr>
              <w:t>12</w:t>
            </w:r>
          </w:p>
        </w:tc>
        <w:tc>
          <w:tcPr>
            <w:tcW w:type="dxa" w:w="1694"/>
            <w:tcMar>
              <w:top w:w="45" w:type="dxa"/>
              <w:start w:w="65" w:type="dxa"/>
              <w:bottom w:w="45" w:type="dxa"/>
              <w:end w:w="65" w:type="dxa"/>
            </w:tcMar>
            <w:vAlign w:val="top"/>
            <w:shd w:fill="F2F7F6"/>
          </w:tcPr>
          <w:p>
            <w:r/>
            <w:r>
              <w:rPr>
                <w:sz w:val="15"/>
              </w:rPr>
              <w:t>12</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r>
      <w:tr>
        <w:trPr>
          <w:cantSplit/>
        </w:trPr>
        <w:tc>
          <w:tcPr>
            <w:tcW w:type="dxa" w:w="1694"/>
            <w:tcMar>
              <w:top w:w="45" w:type="dxa"/>
              <w:start w:w="65" w:type="dxa"/>
              <w:bottom w:w="45" w:type="dxa"/>
              <w:end w:w="65" w:type="dxa"/>
            </w:tcMar>
            <w:vAlign w:val="top"/>
          </w:tcPr>
          <w:p>
            <w:r/>
            <w:r>
              <w:rPr>
                <w:sz w:val="15"/>
              </w:rPr>
              <w:t>P03 Application Journey</w:t>
            </w:r>
          </w:p>
        </w:tc>
        <w:tc>
          <w:tcPr>
            <w:tcW w:type="dxa" w:w="1694"/>
            <w:tcMar>
              <w:top w:w="45" w:type="dxa"/>
              <w:start w:w="65" w:type="dxa"/>
              <w:bottom w:w="45" w:type="dxa"/>
              <w:end w:w="65" w:type="dxa"/>
            </w:tcMar>
            <w:vAlign w:val="top"/>
          </w:tcPr>
          <w:p>
            <w:r/>
            <w:r>
              <w:rPr>
                <w:sz w:val="15"/>
              </w:rPr>
              <w:t>18</w:t>
            </w:r>
          </w:p>
        </w:tc>
        <w:tc>
          <w:tcPr>
            <w:tcW w:type="dxa" w:w="1694"/>
            <w:tcMar>
              <w:top w:w="45" w:type="dxa"/>
              <w:start w:w="65" w:type="dxa"/>
              <w:bottom w:w="45" w:type="dxa"/>
              <w:end w:w="65" w:type="dxa"/>
            </w:tcMar>
            <w:vAlign w:val="top"/>
          </w:tcPr>
          <w:p>
            <w:r/>
            <w:r>
              <w:rPr>
                <w:sz w:val="15"/>
              </w:rPr>
              <w:t>18</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r>
      <w:tr>
        <w:trPr>
          <w:cantSplit/>
        </w:trPr>
        <w:tc>
          <w:tcPr>
            <w:tcW w:type="dxa" w:w="1694"/>
            <w:tcMar>
              <w:top w:w="45" w:type="dxa"/>
              <w:start w:w="65" w:type="dxa"/>
              <w:bottom w:w="45" w:type="dxa"/>
              <w:end w:w="65" w:type="dxa"/>
            </w:tcMar>
            <w:vAlign w:val="top"/>
            <w:shd w:fill="F2F7F6"/>
          </w:tcPr>
          <w:p>
            <w:r/>
            <w:r>
              <w:rPr>
                <w:sz w:val="15"/>
              </w:rPr>
              <w:t>P04 Servicing &amp; Exceptions</w:t>
            </w:r>
          </w:p>
        </w:tc>
        <w:tc>
          <w:tcPr>
            <w:tcW w:type="dxa" w:w="1694"/>
            <w:tcMar>
              <w:top w:w="45" w:type="dxa"/>
              <w:start w:w="65" w:type="dxa"/>
              <w:bottom w:w="45" w:type="dxa"/>
              <w:end w:w="65" w:type="dxa"/>
            </w:tcMar>
            <w:vAlign w:val="top"/>
            <w:shd w:fill="F2F7F6"/>
          </w:tcPr>
          <w:p>
            <w:r/>
            <w:r>
              <w:rPr>
                <w:sz w:val="15"/>
              </w:rPr>
              <w:t>18</w:t>
            </w:r>
          </w:p>
        </w:tc>
        <w:tc>
          <w:tcPr>
            <w:tcW w:type="dxa" w:w="1694"/>
            <w:tcMar>
              <w:top w:w="45" w:type="dxa"/>
              <w:start w:w="65" w:type="dxa"/>
              <w:bottom w:w="45" w:type="dxa"/>
              <w:end w:w="65" w:type="dxa"/>
            </w:tcMar>
            <w:vAlign w:val="top"/>
            <w:shd w:fill="F2F7F6"/>
          </w:tcPr>
          <w:p>
            <w:r/>
            <w:r>
              <w:rPr>
                <w:sz w:val="15"/>
              </w:rPr>
              <w:t>18</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r>
      <w:tr>
        <w:trPr>
          <w:cantSplit/>
        </w:trPr>
        <w:tc>
          <w:tcPr>
            <w:tcW w:type="dxa" w:w="1694"/>
            <w:tcMar>
              <w:top w:w="45" w:type="dxa"/>
              <w:start w:w="65" w:type="dxa"/>
              <w:bottom w:w="45" w:type="dxa"/>
              <w:end w:w="65" w:type="dxa"/>
            </w:tcMar>
            <w:vAlign w:val="top"/>
          </w:tcPr>
          <w:p>
            <w:r/>
            <w:r>
              <w:rPr>
                <w:sz w:val="15"/>
              </w:rPr>
              <w:t>Product</w:t>
            </w:r>
          </w:p>
        </w:tc>
        <w:tc>
          <w:tcPr>
            <w:tcW w:type="dxa" w:w="1694"/>
            <w:tcMar>
              <w:top w:w="45" w:type="dxa"/>
              <w:start w:w="65" w:type="dxa"/>
              <w:bottom w:w="45" w:type="dxa"/>
              <w:end w:w="65" w:type="dxa"/>
            </w:tcMar>
            <w:vAlign w:val="top"/>
          </w:tcPr>
          <w:p>
            <w:r/>
            <w:r>
              <w:rPr>
                <w:sz w:val="15"/>
              </w:rPr>
              <w:t>10</w:t>
            </w:r>
          </w:p>
        </w:tc>
        <w:tc>
          <w:tcPr>
            <w:tcW w:type="dxa" w:w="1694"/>
            <w:tcMar>
              <w:top w:w="45" w:type="dxa"/>
              <w:start w:w="65" w:type="dxa"/>
              <w:bottom w:w="45" w:type="dxa"/>
              <w:end w:w="65" w:type="dxa"/>
            </w:tcMar>
            <w:vAlign w:val="top"/>
          </w:tcPr>
          <w:p>
            <w:r/>
            <w:r>
              <w:rPr>
                <w:sz w:val="15"/>
              </w:rPr>
              <w:t>10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r>
      <w:tr>
        <w:trPr>
          <w:cantSplit/>
        </w:trPr>
        <w:tc>
          <w:tcPr>
            <w:tcW w:type="dxa" w:w="1694"/>
            <w:tcMar>
              <w:top w:w="45" w:type="dxa"/>
              <w:start w:w="65" w:type="dxa"/>
              <w:bottom w:w="45" w:type="dxa"/>
              <w:end w:w="65" w:type="dxa"/>
            </w:tcMar>
            <w:vAlign w:val="top"/>
            <w:shd w:fill="F2F7F6"/>
          </w:tcPr>
          <w:p>
            <w:r/>
            <w:r>
              <w:rPr>
                <w:sz w:val="15"/>
              </w:rPr>
              <w:t>Release</w:t>
            </w:r>
          </w:p>
        </w:tc>
        <w:tc>
          <w:tcPr>
            <w:tcW w:type="dxa" w:w="1694"/>
            <w:tcMar>
              <w:top w:w="45" w:type="dxa"/>
              <w:start w:w="65" w:type="dxa"/>
              <w:bottom w:w="45" w:type="dxa"/>
              <w:end w:w="65" w:type="dxa"/>
            </w:tcMar>
            <w:vAlign w:val="top"/>
            <w:shd w:fill="F2F7F6"/>
          </w:tcPr>
          <w:p>
            <w:r/>
            <w:r>
              <w:rPr>
                <w:sz w:val="15"/>
              </w:rPr>
              <w:t>6</w:t>
            </w:r>
          </w:p>
        </w:tc>
        <w:tc>
          <w:tcPr>
            <w:tcW w:type="dxa" w:w="1694"/>
            <w:tcMar>
              <w:top w:w="45" w:type="dxa"/>
              <w:start w:w="65" w:type="dxa"/>
              <w:bottom w:w="45" w:type="dxa"/>
              <w:end w:w="65" w:type="dxa"/>
            </w:tcMar>
            <w:vAlign w:val="top"/>
            <w:shd w:fill="F2F7F6"/>
          </w:tcPr>
          <w:p>
            <w:r/>
            <w:r>
              <w:rPr>
                <w:sz w:val="15"/>
              </w:rPr>
              <w:t>6</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r>
      <w:tr>
        <w:trPr>
          <w:cantSplit/>
        </w:trPr>
        <w:tc>
          <w:tcPr>
            <w:tcW w:type="dxa" w:w="1694"/>
            <w:tcMar>
              <w:top w:w="45" w:type="dxa"/>
              <w:start w:w="65" w:type="dxa"/>
              <w:bottom w:w="45" w:type="dxa"/>
              <w:end w:w="65" w:type="dxa"/>
            </w:tcMar>
            <w:vAlign w:val="top"/>
          </w:tcPr>
          <w:p>
            <w:r/>
            <w:r>
              <w:rPr>
                <w:sz w:val="15"/>
              </w:rPr>
              <w:t>Semantic Model</w:t>
            </w:r>
          </w:p>
        </w:tc>
        <w:tc>
          <w:tcPr>
            <w:tcW w:type="dxa" w:w="1694"/>
            <w:tcMar>
              <w:top w:w="45" w:type="dxa"/>
              <w:start w:w="65" w:type="dxa"/>
              <w:bottom w:w="45" w:type="dxa"/>
              <w:end w:w="65" w:type="dxa"/>
            </w:tcMar>
            <w:vAlign w:val="top"/>
          </w:tcPr>
          <w:p>
            <w:r/>
            <w:r>
              <w:rPr>
                <w:sz w:val="15"/>
              </w:rPr>
              <w:t>16</w:t>
            </w:r>
          </w:p>
        </w:tc>
        <w:tc>
          <w:tcPr>
            <w:tcW w:type="dxa" w:w="1694"/>
            <w:tcMar>
              <w:top w:w="45" w:type="dxa"/>
              <w:start w:w="65" w:type="dxa"/>
              <w:bottom w:w="45" w:type="dxa"/>
              <w:end w:w="65" w:type="dxa"/>
            </w:tcMar>
            <w:vAlign w:val="top"/>
          </w:tcPr>
          <w:p>
            <w:r/>
            <w:r>
              <w:rPr>
                <w:sz w:val="15"/>
              </w:rPr>
              <w:t>16</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r>
      <w:tr>
        <w:trPr>
          <w:cantSplit/>
        </w:trPr>
        <w:tc>
          <w:tcPr>
            <w:tcW w:type="dxa" w:w="1694"/>
            <w:tcMar>
              <w:top w:w="45" w:type="dxa"/>
              <w:start w:w="65" w:type="dxa"/>
              <w:bottom w:w="45" w:type="dxa"/>
              <w:end w:w="65" w:type="dxa"/>
            </w:tcMar>
            <w:vAlign w:val="top"/>
            <w:shd w:fill="F2F7F6"/>
          </w:tcPr>
          <w:p>
            <w:r/>
            <w:r>
              <w:rPr>
                <w:sz w:val="15"/>
              </w:rPr>
              <w:t>User Experience</w:t>
            </w:r>
          </w:p>
        </w:tc>
        <w:tc>
          <w:tcPr>
            <w:tcW w:type="dxa" w:w="1694"/>
            <w:tcMar>
              <w:top w:w="45" w:type="dxa"/>
              <w:start w:w="65" w:type="dxa"/>
              <w:bottom w:w="45" w:type="dxa"/>
              <w:end w:w="65" w:type="dxa"/>
            </w:tcMar>
            <w:vAlign w:val="top"/>
            <w:shd w:fill="F2F7F6"/>
          </w:tcPr>
          <w:p>
            <w:r/>
            <w:r>
              <w:rPr>
                <w:sz w:val="15"/>
              </w:rPr>
              <w:t>4</w:t>
            </w:r>
          </w:p>
        </w:tc>
        <w:tc>
          <w:tcPr>
            <w:tcW w:type="dxa" w:w="1694"/>
            <w:tcMar>
              <w:top w:w="45" w:type="dxa"/>
              <w:start w:w="65" w:type="dxa"/>
              <w:bottom w:w="45" w:type="dxa"/>
              <w:end w:w="65" w:type="dxa"/>
            </w:tcMar>
            <w:vAlign w:val="top"/>
            <w:shd w:fill="F2F7F6"/>
          </w:tcPr>
          <w:p>
            <w:r/>
            <w:r>
              <w:rPr>
                <w:sz w:val="15"/>
              </w:rPr>
              <w:t>4</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c>
          <w:tcPr>
            <w:tcW w:type="dxa" w:w="1694"/>
            <w:tcMar>
              <w:top w:w="45" w:type="dxa"/>
              <w:start w:w="65" w:type="dxa"/>
              <w:bottom w:w="45" w:type="dxa"/>
              <w:end w:w="65" w:type="dxa"/>
            </w:tcMar>
            <w:vAlign w:val="top"/>
            <w:shd w:fill="F2F7F6"/>
          </w:tcPr>
          <w:p>
            <w:r/>
            <w:r>
              <w:rPr>
                <w:sz w:val="15"/>
              </w:rPr>
              <w:t>0</w:t>
            </w:r>
          </w:p>
        </w:tc>
      </w:tr>
      <w:tr>
        <w:trPr>
          <w:cantSplit/>
        </w:trPr>
        <w:tc>
          <w:tcPr>
            <w:tcW w:type="dxa" w:w="1694"/>
            <w:tcMar>
              <w:top w:w="45" w:type="dxa"/>
              <w:start w:w="65" w:type="dxa"/>
              <w:bottom w:w="45" w:type="dxa"/>
              <w:end w:w="65" w:type="dxa"/>
            </w:tcMar>
            <w:vAlign w:val="top"/>
          </w:tcPr>
          <w:p>
            <w:r/>
            <w:r>
              <w:rPr>
                <w:sz w:val="15"/>
              </w:rPr>
              <w:t>Validation</w:t>
            </w:r>
          </w:p>
        </w:tc>
        <w:tc>
          <w:tcPr>
            <w:tcW w:type="dxa" w:w="1694"/>
            <w:tcMar>
              <w:top w:w="45" w:type="dxa"/>
              <w:start w:w="65" w:type="dxa"/>
              <w:bottom w:w="45" w:type="dxa"/>
              <w:end w:w="65" w:type="dxa"/>
            </w:tcMar>
            <w:vAlign w:val="top"/>
          </w:tcPr>
          <w:p>
            <w:r/>
            <w:r>
              <w:rPr>
                <w:sz w:val="15"/>
              </w:rPr>
              <w:t>6</w:t>
            </w:r>
          </w:p>
        </w:tc>
        <w:tc>
          <w:tcPr>
            <w:tcW w:type="dxa" w:w="1694"/>
            <w:tcMar>
              <w:top w:w="45" w:type="dxa"/>
              <w:start w:w="65" w:type="dxa"/>
              <w:bottom w:w="45" w:type="dxa"/>
              <w:end w:w="65" w:type="dxa"/>
            </w:tcMar>
            <w:vAlign w:val="top"/>
          </w:tcPr>
          <w:p>
            <w:r/>
            <w:r>
              <w:rPr>
                <w:sz w:val="15"/>
              </w:rPr>
              <w:t>6</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c>
          <w:tcPr>
            <w:tcW w:type="dxa" w:w="1694"/>
            <w:tcMar>
              <w:top w:w="45" w:type="dxa"/>
              <w:start w:w="65" w:type="dxa"/>
              <w:bottom w:w="45" w:type="dxa"/>
              <w:end w:w="65" w:type="dxa"/>
            </w:tcMar>
            <w:vAlign w:val="top"/>
          </w:tcPr>
          <w:p>
            <w:r/>
            <w:r>
              <w:rPr>
                <w:sz w:val="15"/>
              </w:rPr>
              <w:t>0</w:t>
            </w:r>
          </w:p>
        </w:tc>
      </w:tr>
    </w:tbl>
    <w:p>
      <w:pPr>
        <w:spacing w:after="20"/>
      </w:pPr>
    </w:p>
    <w:p>
      <w:r>
        <w:t>The complete requirement text, rationale, authority, verification method, current status, and evidence mapping are available in:</w:t>
      </w:r>
    </w:p>
    <w:p>
      <w:pPr>
        <w:pStyle w:val="ListBullet"/>
        <w:spacing w:after="30"/>
      </w:pPr>
      <w:r>
        <w:rPr>
          <w:rFonts w:ascii="Aptos Mono" w:hAnsi="Aptos Mono" w:eastAsia="Aptos Mono"/>
          <w:color w:val="0F6663"/>
        </w:rPr>
        <w:t>registers/MSBF_MCI_POWER_BI_BUSINESS_REQUIREMENTS_REGISTER_R3_20260904.csv</w:t>
      </w:r>
    </w:p>
    <w:p>
      <w:pPr>
        <w:pStyle w:val="ListBullet"/>
        <w:spacing w:after="30"/>
      </w:pPr>
      <w:r>
        <w:rPr>
          <w:rFonts w:ascii="Aptos Mono" w:hAnsi="Aptos Mono" w:eastAsia="Aptos Mono"/>
          <w:color w:val="0F6663"/>
        </w:rPr>
        <w:t>registers/MSBF_MCI_POWER_BI_REQUIREMENTS_TRACEABILITY_MATRIX_R3_20260904.csv</w:t>
      </w:r>
    </w:p>
    <w:p>
      <w:pPr>
        <w:pStyle w:val="ListBullet"/>
        <w:spacing w:after="30"/>
      </w:pPr>
      <w:r>
        <w:t>registers/MSBF_MCI_POWER_BI_CANONICAL_SOURCE_OF_TRUTH_R7_20260904.xlsx</w:t>
      </w:r>
    </w:p>
    <w:p>
      <w:pPr>
        <w:pStyle w:val="Heading1"/>
      </w:pPr>
      <w:r>
        <w:t>18. Release and change management</w:t>
      </w:r>
    </w:p>
    <w:p>
      <w:r>
        <w:t>Final persistence/nonregression has been completed and owner-confirmed for the current PBIX. Before GitHub publication:</w:t>
      </w:r>
    </w:p>
    <w:p>
      <w:pPr>
        <w:spacing w:after="30"/>
        <w:ind w:left="346" w:hanging="259"/>
      </w:pPr>
      <w:r>
        <w:t>1. use the final persisted PBIX and publication-support package without further report edits;</w:t>
      </w:r>
    </w:p>
    <w:p>
      <w:pPr>
        <w:spacing w:after="30"/>
        <w:ind w:left="346" w:hanging="259"/>
      </w:pPr>
      <w:r>
        <w:t>2. verify the package manifest and SHA-256 identities;</w:t>
      </w:r>
    </w:p>
    <w:p>
      <w:pPr>
        <w:spacing w:after="30"/>
        <w:ind w:left="346" w:hanging="259"/>
      </w:pPr>
      <w:r>
        <w:t>3. obtain the required independent-audit acceptance of the final publication-candidate package;</w:t>
      </w:r>
    </w:p>
    <w:p>
      <w:pPr>
        <w:spacing w:after="30"/>
        <w:ind w:left="346" w:hanging="259"/>
      </w:pPr>
      <w:r>
        <w:t>4. execute the separately authorized GitHub release/public-supersession action;</w:t>
      </w:r>
    </w:p>
    <w:p>
      <w:pPr>
        <w:spacing w:after="30"/>
        <w:ind w:left="346" w:hanging="259"/>
      </w:pPr>
      <w:r>
        <w:t>5. download every hosted asset and verify exact hash and byte size against the final release register;</w:t>
      </w:r>
    </w:p>
    <w:p>
      <w:pPr>
        <w:spacing w:after="30"/>
        <w:ind w:left="346" w:hanging="259"/>
      </w:pPr>
      <w:r>
        <w:t>6. validate Windows-native clean extraction of hosted archives;</w:t>
      </w:r>
    </w:p>
    <w:p>
      <w:pPr>
        <w:spacing w:after="30"/>
        <w:ind w:left="346" w:hanging="259"/>
      </w:pPr>
      <w:r>
        <w:t>7. record the publication and hosted-asset verification receipt.</w:t>
      </w:r>
    </w:p>
    <w:p>
      <w:r>
        <w:t>Any later change shall identify affected requirements and controls, update the canonical register, rerun bounded QA, and preserve the synthetic and authority boundaries.</w:t>
      </w:r>
    </w:p>
    <w:p>
      <w:pPr>
        <w:pStyle w:val="Heading1"/>
      </w:pPr>
      <w:r>
        <w:t>Appendix A - Requirement-status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7F7A"/>
            <w:tcMar>
              <w:top w:w="70" w:type="dxa"/>
              <w:start w:w="75" w:type="dxa"/>
              <w:bottom w:w="70" w:type="dxa"/>
              <w:end w:w="75" w:type="dxa"/>
            </w:tcMar>
            <w:vAlign w:val="center"/>
          </w:tcPr>
          <w:p>
            <w:r/>
            <w:r>
              <w:rPr>
                <w:b/>
                <w:color w:val="FFFFFF"/>
                <w:sz w:val="16"/>
              </w:rPr>
              <w:t>Status</w:t>
            </w:r>
          </w:p>
        </w:tc>
        <w:tc>
          <w:tcPr>
            <w:tcW w:type="dxa" w:w="5083"/>
            <w:shd w:fill="1F7F7A"/>
            <w:tcMar>
              <w:top w:w="70" w:type="dxa"/>
              <w:start w:w="75" w:type="dxa"/>
              <w:bottom w:w="70" w:type="dxa"/>
              <w:end w:w="75" w:type="dxa"/>
            </w:tcMar>
            <w:vAlign w:val="center"/>
          </w:tcPr>
          <w:p>
            <w:r/>
            <w:r>
              <w:rPr>
                <w:b/>
                <w:color w:val="FFFFFF"/>
                <w:sz w:val="16"/>
              </w:rPr>
              <w:t>Meaning</w:t>
            </w:r>
          </w:p>
        </w:tc>
      </w:tr>
      <w:tr>
        <w:trPr>
          <w:cantSplit/>
        </w:trPr>
        <w:tc>
          <w:tcPr>
            <w:tcW w:type="dxa" w:w="5083"/>
            <w:tcMar>
              <w:top w:w="45" w:type="dxa"/>
              <w:start w:w="65" w:type="dxa"/>
              <w:bottom w:w="45" w:type="dxa"/>
              <w:end w:w="65" w:type="dxa"/>
            </w:tcMar>
            <w:vAlign w:val="top"/>
          </w:tcPr>
          <w:p>
            <w:r/>
            <w:r>
              <w:rPr>
                <w:sz w:val="16"/>
              </w:rPr>
              <w:t>VERIFIED</w:t>
            </w:r>
          </w:p>
        </w:tc>
        <w:tc>
          <w:tcPr>
            <w:tcW w:type="dxa" w:w="5083"/>
            <w:tcMar>
              <w:top w:w="45" w:type="dxa"/>
              <w:start w:w="65" w:type="dxa"/>
              <w:bottom w:w="45" w:type="dxa"/>
              <w:end w:w="65" w:type="dxa"/>
            </w:tcMar>
            <w:vAlign w:val="top"/>
          </w:tcPr>
          <w:p>
            <w:r/>
            <w:r>
              <w:rPr>
                <w:sz w:val="16"/>
              </w:rPr>
              <w:t>Implemented and supported by automated validation, physical inspection, binding review, or approved owner evidence</w:t>
            </w:r>
          </w:p>
        </w:tc>
      </w:tr>
      <w:tr>
        <w:trPr>
          <w:cantSplit/>
        </w:trPr>
        <w:tc>
          <w:tcPr>
            <w:tcW w:type="dxa" w:w="5083"/>
            <w:tcMar>
              <w:top w:w="45" w:type="dxa"/>
              <w:start w:w="65" w:type="dxa"/>
              <w:bottom w:w="45" w:type="dxa"/>
              <w:end w:w="65" w:type="dxa"/>
            </w:tcMar>
            <w:vAlign w:val="top"/>
            <w:shd w:fill="F2F7F6"/>
          </w:tcPr>
          <w:p>
            <w:r/>
            <w:r>
              <w:rPr>
                <w:sz w:val="16"/>
              </w:rPr>
              <w:t>DEFERRED</w:t>
            </w:r>
          </w:p>
        </w:tc>
        <w:tc>
          <w:tcPr>
            <w:tcW w:type="dxa" w:w="5083"/>
            <w:tcMar>
              <w:top w:w="45" w:type="dxa"/>
              <w:start w:w="65" w:type="dxa"/>
              <w:bottom w:w="45" w:type="dxa"/>
              <w:end w:w="65" w:type="dxa"/>
            </w:tcMar>
            <w:vAlign w:val="top"/>
            <w:shd w:fill="F2F7F6"/>
          </w:tcPr>
          <w:p>
            <w:r/>
            <w:r>
              <w:rPr>
                <w:sz w:val="16"/>
              </w:rPr>
              <w:t>Required but intentionally scheduled for the portfolio-wide final gate</w:t>
            </w:r>
          </w:p>
        </w:tc>
      </w:tr>
      <w:tr>
        <w:trPr>
          <w:cantSplit/>
        </w:trPr>
        <w:tc>
          <w:tcPr>
            <w:tcW w:type="dxa" w:w="5083"/>
            <w:tcMar>
              <w:top w:w="45" w:type="dxa"/>
              <w:start w:w="65" w:type="dxa"/>
              <w:bottom w:w="45" w:type="dxa"/>
              <w:end w:w="65" w:type="dxa"/>
            </w:tcMar>
            <w:vAlign w:val="top"/>
          </w:tcPr>
          <w:p>
            <w:r/>
            <w:r>
              <w:rPr>
                <w:sz w:val="16"/>
              </w:rPr>
              <w:t>PENDING</w:t>
            </w:r>
          </w:p>
        </w:tc>
        <w:tc>
          <w:tcPr>
            <w:tcW w:type="dxa" w:w="5083"/>
            <w:tcMar>
              <w:top w:w="45" w:type="dxa"/>
              <w:start w:w="65" w:type="dxa"/>
              <w:bottom w:w="45" w:type="dxa"/>
              <w:end w:w="65" w:type="dxa"/>
            </w:tcMar>
            <w:vAlign w:val="top"/>
          </w:tcPr>
          <w:p>
            <w:r/>
            <w:r>
              <w:rPr>
                <w:sz w:val="16"/>
              </w:rPr>
              <w:t>Awaiting a separate authorized action</w:t>
            </w:r>
          </w:p>
        </w:tc>
      </w:tr>
      <w:tr>
        <w:trPr>
          <w:cantSplit/>
        </w:trPr>
        <w:tc>
          <w:tcPr>
            <w:tcW w:type="dxa" w:w="5083"/>
            <w:tcMar>
              <w:top w:w="45" w:type="dxa"/>
              <w:start w:w="65" w:type="dxa"/>
              <w:bottom w:w="45" w:type="dxa"/>
              <w:end w:w="65" w:type="dxa"/>
            </w:tcMar>
            <w:vAlign w:val="top"/>
            <w:shd w:fill="F2F7F6"/>
          </w:tcPr>
          <w:p>
            <w:r/>
            <w:r>
              <w:rPr>
                <w:sz w:val="16"/>
              </w:rPr>
              <w:t>PLANNED</w:t>
            </w:r>
          </w:p>
        </w:tc>
        <w:tc>
          <w:tcPr>
            <w:tcW w:type="dxa" w:w="5083"/>
            <w:tcMar>
              <w:top w:w="45" w:type="dxa"/>
              <w:start w:w="65" w:type="dxa"/>
              <w:bottom w:w="45" w:type="dxa"/>
              <w:end w:w="65" w:type="dxa"/>
            </w:tcMar>
            <w:vAlign w:val="top"/>
            <w:shd w:fill="F2F7F6"/>
          </w:tcPr>
          <w:p>
            <w:r/>
            <w:r>
              <w:rPr>
                <w:sz w:val="16"/>
              </w:rPr>
              <w:t>Future requirement not yet implemented; no current requirements remain in this state</w:t>
            </w:r>
          </w:p>
        </w:tc>
      </w:tr>
    </w:tbl>
    <w:p>
      <w:pPr>
        <w:spacing w:after="20"/>
      </w:pPr>
    </w:p>
    <w:p>
      <w:pPr>
        <w:pStyle w:val="Heading1"/>
      </w:pPr>
      <w:r>
        <w:t>Appendix B - Current release artifacts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7F7A"/>
            <w:tcMar>
              <w:top w:w="70" w:type="dxa"/>
              <w:start w:w="75" w:type="dxa"/>
              <w:bottom w:w="70" w:type="dxa"/>
              <w:end w:w="75" w:type="dxa"/>
            </w:tcMar>
            <w:vAlign w:val="center"/>
          </w:tcPr>
          <w:p>
            <w:r/>
            <w:r>
              <w:rPr>
                <w:b/>
                <w:color w:val="FFFFFF"/>
                <w:sz w:val="16"/>
              </w:rPr>
              <w:t>Artifact</w:t>
            </w:r>
          </w:p>
        </w:tc>
        <w:tc>
          <w:tcPr>
            <w:tcW w:type="dxa" w:w="5083"/>
            <w:shd w:fill="1F7F7A"/>
            <w:tcMar>
              <w:top w:w="70" w:type="dxa"/>
              <w:start w:w="75" w:type="dxa"/>
              <w:bottom w:w="70" w:type="dxa"/>
              <w:end w:w="75" w:type="dxa"/>
            </w:tcMar>
            <w:vAlign w:val="center"/>
          </w:tcPr>
          <w:p>
            <w:r/>
            <w:r>
              <w:rPr>
                <w:b/>
                <w:color w:val="FFFFFF"/>
                <w:sz w:val="16"/>
              </w:rPr>
              <w:t>Role</w:t>
            </w:r>
          </w:p>
        </w:tc>
      </w:tr>
      <w:tr>
        <w:trPr>
          <w:cantSplit/>
        </w:trPr>
        <w:tc>
          <w:tcPr>
            <w:tcW w:type="dxa" w:w="5083"/>
            <w:tcMar>
              <w:top w:w="45" w:type="dxa"/>
              <w:start w:w="65" w:type="dxa"/>
              <w:bottom w:w="45" w:type="dxa"/>
              <w:end w:w="65" w:type="dxa"/>
            </w:tcMar>
            <w:vAlign w:val="top"/>
          </w:tcPr>
          <w:p>
            <w:r/>
            <w:r>
              <w:rPr>
                <w:rFonts w:ascii="Aptos Mono" w:hAnsi="Aptos Mono" w:eastAsia="Aptos Mono"/>
                <w:color w:val="0F6663"/>
                <w:sz w:val="16"/>
              </w:rPr>
              <w:t>MSBF_Merchant_Credit_Intelligence_M2_v2.1.0-rc2.pbix</w:t>
            </w:r>
          </w:p>
        </w:tc>
        <w:tc>
          <w:tcPr>
            <w:tcW w:type="dxa" w:w="5083"/>
            <w:tcMar>
              <w:top w:w="45" w:type="dxa"/>
              <w:start w:w="65" w:type="dxa"/>
              <w:bottom w:w="45" w:type="dxa"/>
              <w:end w:w="65" w:type="dxa"/>
            </w:tcMar>
            <w:vAlign w:val="top"/>
          </w:tcPr>
          <w:p>
            <w:r/>
            <w:r>
              <w:rPr>
                <w:sz w:val="16"/>
              </w:rPr>
              <w:t>Primary client-facing Power BI release candidate</w:t>
            </w:r>
          </w:p>
        </w:tc>
      </w:tr>
      <w:tr>
        <w:trPr>
          <w:cantSplit/>
        </w:trPr>
        <w:tc>
          <w:tcPr>
            <w:tcW w:type="dxa" w:w="5083"/>
            <w:tcMar>
              <w:top w:w="45" w:type="dxa"/>
              <w:start w:w="65" w:type="dxa"/>
              <w:bottom w:w="45" w:type="dxa"/>
              <w:end w:w="65" w:type="dxa"/>
            </w:tcMar>
            <w:vAlign w:val="top"/>
            <w:shd w:fill="F2F7F6"/>
          </w:tcPr>
          <w:p>
            <w:r/>
            <w:r>
              <w:rPr>
                <w:rFonts w:ascii="Aptos Mono" w:hAnsi="Aptos Mono" w:eastAsia="Aptos Mono"/>
                <w:color w:val="0F6663"/>
                <w:sz w:val="16"/>
              </w:rPr>
              <w:t>CANONICAL_SOURCE_OF_TRUTH.md</w:t>
            </w:r>
          </w:p>
        </w:tc>
        <w:tc>
          <w:tcPr>
            <w:tcW w:type="dxa" w:w="5083"/>
            <w:tcMar>
              <w:top w:w="45" w:type="dxa"/>
              <w:start w:w="65" w:type="dxa"/>
              <w:bottom w:w="45" w:type="dxa"/>
              <w:end w:w="65" w:type="dxa"/>
            </w:tcMar>
            <w:vAlign w:val="top"/>
            <w:shd w:fill="F2F7F6"/>
          </w:tcPr>
          <w:p>
            <w:r/>
            <w:r>
              <w:rPr>
                <w:sz w:val="16"/>
              </w:rPr>
              <w:t>Human-readable current state</w:t>
            </w:r>
          </w:p>
        </w:tc>
      </w:tr>
      <w:tr>
        <w:trPr>
          <w:cantSplit/>
        </w:trPr>
        <w:tc>
          <w:tcPr>
            <w:tcW w:type="dxa" w:w="5083"/>
            <w:tcMar>
              <w:top w:w="45" w:type="dxa"/>
              <w:start w:w="65" w:type="dxa"/>
              <w:bottom w:w="45" w:type="dxa"/>
              <w:end w:w="65" w:type="dxa"/>
            </w:tcMar>
            <w:vAlign w:val="top"/>
          </w:tcPr>
          <w:p>
            <w:r>
              <w:t>MSBF_MCI_POWER_BI_CANONICAL_SOURCE_OF_TRUTH_R7_20260904.xlsx</w:t>
            </w:r>
          </w:p>
        </w:tc>
        <w:tc>
          <w:tcPr>
            <w:tcW w:type="dxa" w:w="5083"/>
            <w:tcMar>
              <w:top w:w="45" w:type="dxa"/>
              <w:start w:w="65" w:type="dxa"/>
              <w:bottom w:w="45" w:type="dxa"/>
              <w:end w:w="65" w:type="dxa"/>
            </w:tcMar>
            <w:vAlign w:val="top"/>
          </w:tcPr>
          <w:p>
            <w:r/>
            <w:r>
              <w:rPr>
                <w:sz w:val="16"/>
              </w:rPr>
              <w:t>Detailed machine/audit-friendly source-of-truth workbook</w:t>
            </w:r>
          </w:p>
        </w:tc>
      </w:tr>
      <w:tr>
        <w:trPr>
          <w:cantSplit/>
        </w:trPr>
        <w:tc>
          <w:tcPr>
            <w:tcW w:type="dxa" w:w="5083"/>
            <w:tcMar>
              <w:top w:w="45" w:type="dxa"/>
              <w:start w:w="65" w:type="dxa"/>
              <w:bottom w:w="45" w:type="dxa"/>
              <w:end w:w="65" w:type="dxa"/>
            </w:tcMar>
            <w:vAlign w:val="top"/>
            <w:shd w:fill="F2F7F6"/>
          </w:tcPr>
          <w:p>
            <w:r/>
            <w:r>
              <w:rPr>
                <w:rFonts w:ascii="Aptos Mono" w:hAnsi="Aptos Mono" w:eastAsia="Aptos Mono"/>
                <w:color w:val="0F6663"/>
                <w:sz w:val="16"/>
              </w:rPr>
              <w:t>POWER_BI_BUSINESS_REQUIREMENTS.md</w:t>
            </w:r>
          </w:p>
        </w:tc>
        <w:tc>
          <w:tcPr>
            <w:tcW w:type="dxa" w:w="5083"/>
            <w:tcMar>
              <w:top w:w="45" w:type="dxa"/>
              <w:start w:w="65" w:type="dxa"/>
              <w:bottom w:w="45" w:type="dxa"/>
              <w:end w:w="65" w:type="dxa"/>
            </w:tcMar>
            <w:vAlign w:val="top"/>
            <w:shd w:fill="F2F7F6"/>
          </w:tcPr>
          <w:p>
            <w:r/>
            <w:r>
              <w:rPr>
                <w:sz w:val="16"/>
              </w:rPr>
              <w:t>GitHub-facing BRD</w:t>
            </w:r>
          </w:p>
        </w:tc>
      </w:tr>
      <w:tr>
        <w:trPr>
          <w:cantSplit/>
        </w:trPr>
        <w:tc>
          <w:tcPr>
            <w:tcW w:type="dxa" w:w="5083"/>
            <w:tcMar>
              <w:top w:w="45" w:type="dxa"/>
              <w:start w:w="65" w:type="dxa"/>
              <w:bottom w:w="45" w:type="dxa"/>
              <w:end w:w="65" w:type="dxa"/>
            </w:tcMar>
            <w:vAlign w:val="top"/>
          </w:tcPr>
          <w:p>
            <w:r/>
            <w:r>
              <w:rPr>
                <w:rFonts w:ascii="Aptos Mono" w:hAnsi="Aptos Mono" w:eastAsia="Aptos Mono"/>
                <w:color w:val="0F6663"/>
                <w:sz w:val="16"/>
              </w:rPr>
              <w:t>POWER_BI_VALIDATION_REPORT.md</w:t>
            </w:r>
          </w:p>
        </w:tc>
        <w:tc>
          <w:tcPr>
            <w:tcW w:type="dxa" w:w="5083"/>
            <w:tcMar>
              <w:top w:w="45" w:type="dxa"/>
              <w:start w:w="65" w:type="dxa"/>
              <w:bottom w:w="45" w:type="dxa"/>
              <w:end w:w="65" w:type="dxa"/>
            </w:tcMar>
            <w:vAlign w:val="top"/>
          </w:tcPr>
          <w:p>
            <w:r/>
            <w:r>
              <w:rPr>
                <w:sz w:val="16"/>
              </w:rPr>
              <w:t>GitHub-facing validation report</w:t>
            </w:r>
          </w:p>
        </w:tc>
      </w:tr>
      <w:tr>
        <w:trPr>
          <w:cantSplit/>
        </w:trPr>
        <w:tc>
          <w:tcPr>
            <w:tcW w:type="dxa" w:w="5083"/>
            <w:tcMar>
              <w:top w:w="45" w:type="dxa"/>
              <w:start w:w="65" w:type="dxa"/>
              <w:bottom w:w="45" w:type="dxa"/>
              <w:end w:w="65" w:type="dxa"/>
            </w:tcMar>
            <w:vAlign w:val="top"/>
            <w:shd w:fill="F2F7F6"/>
          </w:tcPr>
          <w:p>
            <w:r/>
            <w:r>
              <w:rPr>
                <w:sz w:val="16"/>
              </w:rPr>
              <w:t>Requirements and validation CSVs</w:t>
            </w:r>
          </w:p>
        </w:tc>
        <w:tc>
          <w:tcPr>
            <w:tcW w:type="dxa" w:w="5083"/>
            <w:tcMar>
              <w:top w:w="45" w:type="dxa"/>
              <w:start w:w="65" w:type="dxa"/>
              <w:bottom w:w="45" w:type="dxa"/>
              <w:end w:w="65" w:type="dxa"/>
            </w:tcMar>
            <w:vAlign w:val="top"/>
            <w:shd w:fill="F2F7F6"/>
          </w:tcPr>
          <w:p>
            <w:r/>
            <w:r>
              <w:rPr>
                <w:sz w:val="16"/>
              </w:rPr>
              <w:t>Traceability and machine-readable control registers</w:t>
            </w:r>
          </w:p>
        </w:tc>
      </w:tr>
      <w:tr>
        <w:trPr>
          <w:cantSplit/>
        </w:trPr>
        <w:tc>
          <w:tcPr>
            <w:tcW w:type="dxa" w:w="5083"/>
            <w:tcMar>
              <w:top w:w="45" w:type="dxa"/>
              <w:start w:w="65" w:type="dxa"/>
              <w:bottom w:w="45" w:type="dxa"/>
              <w:end w:w="65" w:type="dxa"/>
            </w:tcMar>
            <w:vAlign w:val="top"/>
          </w:tcPr>
          <w:p>
            <w:r/>
            <w:r>
              <w:rPr>
                <w:rFonts w:ascii="Aptos Mono" w:hAnsi="Aptos Mono" w:eastAsia="Aptos Mono"/>
                <w:color w:val="0F6663"/>
                <w:sz w:val="16"/>
              </w:rPr>
              <w:t>assets/power_bi/core/</w:t>
            </w:r>
          </w:p>
        </w:tc>
        <w:tc>
          <w:tcPr>
            <w:tcW w:type="dxa" w:w="5083"/>
            <w:tcMar>
              <w:top w:w="45" w:type="dxa"/>
              <w:start w:w="65" w:type="dxa"/>
              <w:bottom w:w="45" w:type="dxa"/>
              <w:end w:w="65" w:type="dxa"/>
            </w:tcMar>
            <w:vAlign w:val="top"/>
          </w:tcPr>
          <w:p>
            <w:r/>
            <w:r>
              <w:rPr>
                <w:sz w:val="16"/>
              </w:rPr>
              <w:t>Curated public-candidate visual evidence</w:t>
            </w:r>
          </w:p>
        </w:tc>
      </w:tr>
    </w:tbl>
    <w:p>
      <w:pPr>
        <w:spacing w:after="20"/>
      </w:pPr>
    </w:p>
    <w:sectPr w:rsidR="00FC693F" w:rsidRPr="0006063C" w:rsidSect="00034616">
      <w:headerReference w:type="default" r:id="rId9"/>
      <w:footerReference w:type="default" r:id="rId10"/>
      <w:pgSz w:w="12240" w:h="15840"/>
      <w:pgMar w:top="936"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06363"/>
        <w:sz w:val="15"/>
      </w:rPr>
      <w:t xml:space="preserve">MSBF-MCI-PBI-BRD-R2 | Publication-support release candidate | </w:t>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6363"/>
        <w:sz w:val="16"/>
      </w:rPr>
      <w:t>Power BI Business Requirements | Module 2 v2.1.0-rc2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color w:val="263B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F666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7F7A"/>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263B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F66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eastAsia="Aptos Display"/>
      <w:b w:val="0"/>
      <w:i/>
      <w:iCs/>
      <w:color w:val="5063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ptos" w:hAnsi="Aptos"/>
      <w:b/>
      <w:bCs/>
      <w:i/>
      <w:color w:val="50636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BFCallout">
    <w:name w:val="MSBF Callout"/>
    <w:pPr>
      <w:spacing w:before="100" w:after="140"/>
      <w:ind w:left="259" w:right="259"/>
    </w:pPr>
    <w:rPr>
      <w:rFonts w:ascii="Aptos" w:hAnsi="Aptos"/>
      <w:b/>
      <w:color w:val="263B3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Business Requirements Document</dc:title>
  <dc:subject>MSBF Merchant Credit Intelligence - Module 2 v2.1.0-rc2</dc:subject>
  <dc:creator>MSBF Portfolio Project</dc:creator>
  <cp:keywords>Power BI, merchant finance, credit intelligence, business requirements, validation</cp:keywords>
  <dc:description>Deterministic synthetic evidence. Publication-support release candidate.</dc:description>
  <cp:lastModifiedBy/>
  <cp:revision>1</cp:revision>
  <dcterms:created xsi:type="dcterms:W3CDTF">2013-12-23T23:15:00Z</dcterms:created>
  <dcterms:modified xsi:type="dcterms:W3CDTF">2013-12-23T23:15:00Z</dcterms:modified>
  <cp:category/>
</cp:coreProperties>
</file>