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12354A"/>
            <w:tcMar>
              <w:top w:w="380" w:type="dxa"/>
              <w:start w:w="300" w:type="dxa"/>
              <w:bottom w:w="380" w:type="dxa"/>
              <w:end w:w="3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C89B3C"/>
                <w:sz w:val="20"/>
              </w:rPr>
              <w:t>MERCHANT SALES-BASED FINANCING STRATEGY SIMULATOR</w:t>
            </w:r>
          </w:p>
        </w:tc>
      </w:tr>
    </w:tbl>
    <w:p>
      <w:pPr>
        <w:spacing w:before="840"/>
        <w:jc w:val="left"/>
      </w:pPr>
      <w:r>
        <w:rPr>
          <w:rFonts w:ascii="Arial" w:hAnsi="Arial"/>
          <w:b/>
          <w:color w:val="12354A"/>
          <w:sz w:val="54"/>
        </w:rPr>
        <w:t>MSBF Module 1/2 v2.1 Technical Successor</w:t>
      </w:r>
    </w:p>
    <w:p>
      <w:pPr>
        <w:jc w:val="left"/>
      </w:pPr>
      <w:r>
        <w:rPr>
          <w:rFonts w:ascii="Arial" w:hAnsi="Arial"/>
          <w:b/>
          <w:color w:val="0B8F87"/>
          <w:sz w:val="30"/>
        </w:rPr>
        <w:t>Technical Validation and Evidence Report</w:t>
      </w:r>
    </w:p>
    <w:p>
      <w:pPr>
        <w:pBdr>
          <w:bottom w:val="single" w:sz="20" w:space="6" w:color="C89B3C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508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354A"/>
                <w:sz w:val="17"/>
              </w:rPr>
              <w:t>Report date</w:t>
            </w:r>
          </w:p>
        </w:tc>
        <w:tc>
          <w:tcPr>
            <w:tcW w:type="dxa" w:w="508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5B6770"/>
                <w:sz w:val="17"/>
              </w:rPr>
              <w:t>2026-09-04</w:t>
            </w:r>
          </w:p>
        </w:tc>
      </w:tr>
      <w:tr>
        <w:tc>
          <w:tcPr>
            <w:tcW w:type="dxa" w:w="508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354A"/>
                <w:sz w:val="17"/>
              </w:rPr>
              <w:t>Report version</w:t>
            </w:r>
          </w:p>
        </w:tc>
        <w:tc>
          <w:tcPr>
            <w:tcW w:type="dxa" w:w="508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5B6770"/>
                <w:sz w:val="17"/>
              </w:rPr>
              <w:t>R1</w:t>
            </w:r>
          </w:p>
        </w:tc>
      </w:tr>
      <w:tr>
        <w:tc>
          <w:tcPr>
            <w:tcW w:type="dxa" w:w="508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354A"/>
                <w:sz w:val="17"/>
              </w:rPr>
              <w:t>Validation classification</w:t>
            </w:r>
          </w:p>
        </w:tc>
        <w:tc>
          <w:tcPr>
            <w:tcW w:type="dxa" w:w="508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5B6770"/>
                <w:sz w:val="17"/>
              </w:rPr>
              <w:t>Publication-candidate support; not publication authority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B9D5D2"/>
          <w:left w:val="single" w:sz="8" w:space="0" w:color="B9D5D2"/>
          <w:bottom w:val="single" w:sz="8" w:space="0" w:color="B9D5D2"/>
          <w:right w:val="single" w:sz="8" w:space="0" w:color="B9D5D2"/>
          <w:insideH w:val="single" w:sz="8" w:space="0" w:color="B9D5D2"/>
          <w:insideV w:val="single" w:sz="8" w:space="0" w:color="B9D5D2"/>
        </w:tblBorders>
      </w:tblPr>
      <w:tblGrid>
        <w:gridCol w:w="10166"/>
      </w:tblGrid>
      <w:tr>
        <w:tc>
          <w:tcPr>
            <w:tcW w:type="dxa" w:w="10166"/>
            <w:shd w:fill="EAF5F4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354A"/>
                <w:sz w:val="20"/>
              </w:rPr>
              <w:t>CONTROLLED STATUS: Technical successor accepted; version-separated integration authorized; public supersession and publication not authorized.</w:t>
            </w:r>
          </w:p>
        </w:tc>
      </w:tr>
    </w:tbl>
    <w:p>
      <w:pPr>
        <w:spacing w:before="1400"/>
        <w:jc w:val="center"/>
      </w:pPr>
      <w:r>
        <w:rPr>
          <w:i/>
          <w:color w:val="5B6770"/>
          <w:sz w:val="18"/>
        </w:rPr>
        <w:t>Deterministic synthetic data  |  Non-production  |  No real funds movement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sz w:val="18"/>
        </w:rPr>
        <w:t>1. Validation objective</w:t>
      </w:r>
    </w:p>
    <w:p>
      <w:pPr>
        <w:pStyle w:val="ListBullet"/>
      </w:pPr>
      <w:r>
        <w:rPr>
          <w:sz w:val="18"/>
        </w:rPr>
        <w:t>2. Physical sources used</w:t>
      </w:r>
    </w:p>
    <w:p>
      <w:pPr>
        <w:pStyle w:val="ListBullet"/>
      </w:pPr>
      <w:r>
        <w:rPr>
          <w:sz w:val="18"/>
        </w:rPr>
        <w:t>3. Re-performance controls</w:t>
      </w:r>
    </w:p>
    <w:p>
      <w:pPr>
        <w:pStyle w:val="ListBullet"/>
      </w:pPr>
      <w:r>
        <w:rPr>
          <w:sz w:val="18"/>
        </w:rPr>
        <w:t>4. Decision reconciliation method</w:t>
      </w:r>
    </w:p>
    <w:p>
      <w:pPr>
        <w:pStyle w:val="ListBullet"/>
      </w:pPr>
      <w:r>
        <w:rPr>
          <w:sz w:val="18"/>
        </w:rPr>
        <w:t>5. M2.4 funding reconciliation method</w:t>
      </w:r>
    </w:p>
    <w:p>
      <w:pPr>
        <w:pStyle w:val="ListBullet"/>
      </w:pPr>
      <w:r>
        <w:rPr>
          <w:sz w:val="18"/>
        </w:rPr>
        <w:t>6. Monitoring reconciliation method</w:t>
      </w:r>
    </w:p>
    <w:p>
      <w:pPr>
        <w:pStyle w:val="ListBullet"/>
      </w:pPr>
      <w:r>
        <w:rPr>
          <w:sz w:val="18"/>
        </w:rPr>
        <w:t>7. Downstream nonregression method</w:t>
      </w:r>
    </w:p>
    <w:p>
      <w:pPr>
        <w:pStyle w:val="ListBullet"/>
      </w:pPr>
      <w:r>
        <w:rPr>
          <w:sz w:val="18"/>
        </w:rPr>
        <w:t>8. Strategy-profile interpretation method</w:t>
      </w:r>
    </w:p>
    <w:p>
      <w:pPr>
        <w:pStyle w:val="ListBullet"/>
      </w:pPr>
      <w:r>
        <w:rPr>
          <w:sz w:val="18"/>
        </w:rPr>
        <w:t>9. Identity and provenance validation</w:t>
      </w:r>
    </w:p>
    <w:p>
      <w:pPr>
        <w:pStyle w:val="ListBullet"/>
      </w:pPr>
      <w:r>
        <w:rPr>
          <w:sz w:val="18"/>
        </w:rPr>
        <w:t>10. Repository validation</w:t>
      </w:r>
    </w:p>
    <w:p>
      <w:pPr>
        <w:pStyle w:val="ListBullet"/>
      </w:pPr>
      <w:r>
        <w:rPr>
          <w:sz w:val="18"/>
        </w:rPr>
        <w:t>11. Package-level validation requirements</w:t>
      </w:r>
    </w:p>
    <w:p>
      <w:pPr>
        <w:pStyle w:val="ListBullet"/>
      </w:pPr>
      <w:r>
        <w:rPr>
          <w:sz w:val="18"/>
        </w:rPr>
        <w:t>12. Validation disposition</w:t>
      </w:r>
    </w:p>
    <w:p>
      <w:r>
        <w:br w:type="page"/>
      </w:r>
    </w:p>
    <w:p>
      <w:pPr>
        <w:pStyle w:val="Heading1"/>
      </w:pPr>
      <w:r>
        <w:rPr>
          <w:sz w:val="36"/>
        </w:rPr>
        <w:t>1. Validation objective</w:t>
      </w:r>
    </w:p>
    <w:p>
      <w:r>
        <w:rPr>
          <w:sz w:val="18"/>
        </w:rPr>
        <w:t>This report documents how the change log and data reconciliation were independently re-performed from physical artifacts. It is designed so an auditor or technical reviewer can distinguish:</w:t>
      </w:r>
    </w:p>
    <w:p>
      <w:pPr>
        <w:pStyle w:val="ListBullet"/>
      </w:pPr>
      <w:r>
        <w:rPr>
          <w:sz w:val="18"/>
        </w:rPr>
        <w:t>source facts from interpretive statements;</w:t>
      </w:r>
    </w:p>
    <w:p>
      <w:pPr>
        <w:pStyle w:val="ListBullet"/>
      </w:pPr>
      <w:r>
        <w:rPr>
          <w:sz w:val="18"/>
        </w:rPr>
        <w:t>direct before/after comparisons from taxonomy-related comparisons;</w:t>
      </w:r>
    </w:p>
    <w:p>
      <w:pPr>
        <w:pStyle w:val="ListBullet"/>
      </w:pPr>
      <w:r>
        <w:rPr>
          <w:sz w:val="18"/>
        </w:rPr>
        <w:t>accepted predecessor authority from successor candidate evidence;</w:t>
      </w:r>
    </w:p>
    <w:p>
      <w:pPr>
        <w:pStyle w:val="ListBullet"/>
      </w:pPr>
      <w:r>
        <w:rPr>
          <w:sz w:val="18"/>
        </w:rPr>
        <w:t>business-output changes from identity-only changes;</w:t>
      </w:r>
    </w:p>
    <w:p>
      <w:pPr>
        <w:pStyle w:val="ListBullet"/>
      </w:pPr>
      <w:r>
        <w:rPr>
          <w:sz w:val="18"/>
        </w:rPr>
        <w:t>final PASS evidence from failed historical provenance.</w:t>
      </w:r>
    </w:p>
    <w:p>
      <w:r>
        <w:br w:type="page"/>
      </w:r>
    </w:p>
    <w:p>
      <w:pPr>
        <w:pStyle w:val="Heading1"/>
      </w:pPr>
      <w:r>
        <w:rPr>
          <w:sz w:val="36"/>
        </w:rPr>
        <w:t>2. Physical sources used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family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Representative artifact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Prior public code/repository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Public v2.0.0 Git HEAD and accepted stage sign-offs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Comparator authority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Prior data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M2.2 summary; M2.4 and M2.5 formal sign-offs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Prior counts and values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R4 strategy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R1B Phase 2C R4 final-decision, candidate, gate, proof and comparison files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logic and migration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R6 activation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M2.4 R6 closure receipt and 130 advance rows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Funded counts/amounts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R17 Wave A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Final M2.5-M2.10 exports, validation and transformed sources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Portable lifecycle predecessor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 R2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Failed runtime receipt and transformed sources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Policy implementation and FAIL provenance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 resume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Wave A exports, M2.11 populations, G3-v2 controls and identities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 technical successor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R23 repository audit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Repository patch, diff index, candidate tree and audit decision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Pre-R26 integration evidence</w:t>
            </w:r>
          </w:p>
        </w:tc>
      </w:tr>
      <w:tr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Power BI evidence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P01-P04 physical evidence and QA</w:t>
            </w:r>
          </w:p>
        </w:tc>
        <w:tc>
          <w:tcPr>
            <w:tcW w:type="dxa" w:w="338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Presentation/consumption state</w:t>
            </w:r>
          </w:p>
        </w:tc>
      </w:tr>
    </w:tbl>
    <w:p>
      <w:pPr>
        <w:spacing w:after="40"/>
      </w:pPr>
    </w:p>
    <w:p>
      <w:r>
        <w:rPr>
          <w:sz w:val="18"/>
        </w:rPr>
        <w:t>All raw sources remain outside this public documentation package. This package includes derived registers, reports, exact source names and identities, but not private database evidence or local Desktop artifacts.</w:t>
      </w:r>
    </w:p>
    <w:p>
      <w:r>
        <w:br w:type="page"/>
      </w:r>
    </w:p>
    <w:p>
      <w:pPr>
        <w:pStyle w:val="Heading1"/>
      </w:pPr>
      <w:r>
        <w:rPr>
          <w:sz w:val="36"/>
        </w:rPr>
        <w:t>3. Re-performance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Control ID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Observed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PRIOR_PUBLIC_REPOSITORY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Public v2.0.0 HEAD reconstruction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1,934 files / public validator PASS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PRIOR_DATA_SNAPSHOT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M2/G3 CSV snapshot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253 files / 1,115,469 rows / 6,954 columns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R4_DECISION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R4 strategy outputs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1,500 final decisions / 6,519 candidates / 84,228 gate rows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R4_MIGRATION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Predecessor-successor migration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1,500 rows; row/column totals reconcile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R6_ACTIVATION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M2.4 activation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130 accounts; 120/120 positive; 20/20 negative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R17_WAVE_A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M2.5-M2.10 rebuild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115/115 controls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R17_ROUNDING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Known retry recurrence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0.00 reconciliation and exposure variance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R26_POLICY_STATIC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Monitoring-policy static re-performance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16/16 controls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R26_MONITORING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Daily monitoring checkpoints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18/18 checkpoints; 15,600 rows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R26_DOWNSTREAM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M2.6-M2.10 R17/R26 business-output comparison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5/5 stage exports exact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R26_RESUME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Retained-final resume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Wave A re-execution = false; nine exports exact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PASS_WITH_OBSERVATIONS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R26_M211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M2.11 simulation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8 / 52,152 / 12,000 / 1,040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R26_G3V2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G3-v2 certification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70/70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R23_REPOSITORY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Pre-R26 repository candidate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508 paths; zero accepted-stage changes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PASS_PRE_R26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P01_P04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Power BI successor public-scope pages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P01-P04 complete and tested; P03 2/0/1,500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PASS_CANDIDATE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P05_P06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Strategy-profile public showcase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Held from publication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HOLD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FINAL_R26_REPOSITORY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 final v2.1 Git integration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Not yet built/frozen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PENDING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sz w:val="36"/>
        </w:rPr>
        <w:t>4. Decision reconciliation method</w:t>
      </w:r>
    </w:p>
    <w:p>
      <w:r>
        <w:rPr>
          <w:sz w:val="18"/>
        </w:rPr>
        <w:t xml:space="preserve">The migration matrix is generated by a crosstab of the exact 1,500-row </w:t>
      </w:r>
      <w:r>
        <w:rPr>
          <w:rFonts w:ascii="Liberation Mono" w:hAnsi="Liberation Mono"/>
          <w:color w:val="12354A"/>
          <w:sz w:val="17"/>
        </w:rPr>
        <w:t>predecessor_outcome_code</w:t>
      </w:r>
      <w:r>
        <w:rPr>
          <w:sz w:val="18"/>
        </w:rPr>
        <w:t xml:space="preserve"> and </w:t>
      </w:r>
      <w:r>
        <w:rPr>
          <w:rFonts w:ascii="Liberation Mono" w:hAnsi="Liberation Mono"/>
          <w:color w:val="12354A"/>
          <w:sz w:val="17"/>
        </w:rPr>
        <w:t>successor_governed_outcome_code</w:t>
      </w:r>
      <w:r>
        <w:rPr>
          <w:sz w:val="18"/>
        </w:rPr>
        <w:t xml:space="preserve"> fields.</w:t>
      </w:r>
    </w:p>
    <w:p>
      <w:r>
        <w:rPr>
          <w:sz w:val="18"/>
        </w:rPr>
        <w:t>Required invariants: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color w:val="12354A"/>
                <w:sz w:val="14"/>
              </w:rPr>
              <w:t>Source rows                                  1,500</w:t>
              <w:br/>
              <w:t>Migration-matrix grand total                 1,500</w:t>
              <w:br/>
              <w:t>Predecessor row totals match source counts   PASS</w:t>
              <w:br/>
              <w:t>Successor column totals match R4 outcomes    PASS</w:t>
              <w:br/>
              <w:t>Missing/extra application-scenario keys      0</w:t>
              <w:br/>
              <w:t>Duplicate comparison keys                    0</w:t>
            </w:r>
          </w:p>
        </w:tc>
      </w:tr>
    </w:tbl>
    <w:p>
      <w:pPr>
        <w:spacing w:after="20"/>
      </w:pPr>
    </w:p>
    <w:p>
      <w:r>
        <w:rPr>
          <w:sz w:val="18"/>
        </w:rPr>
        <w:t xml:space="preserve">The public register is </w:t>
      </w:r>
      <w:r>
        <w:rPr>
          <w:rFonts w:ascii="Liberation Mono" w:hAnsi="Liberation Mono"/>
          <w:color w:val="12354A"/>
          <w:sz w:val="17"/>
        </w:rPr>
        <w:t>registers/03_DECISION_OUTCOME_MIGRATION_MATRIX.csv</w:t>
      </w:r>
      <w:r>
        <w:rPr>
          <w:sz w:val="18"/>
        </w:rPr>
        <w:t>.</w:t>
      </w:r>
    </w:p>
    <w:p>
      <w:r>
        <w:br w:type="page"/>
      </w:r>
    </w:p>
    <w:p>
      <w:pPr>
        <w:pStyle w:val="Heading1"/>
      </w:pPr>
      <w:r>
        <w:rPr>
          <w:sz w:val="36"/>
        </w:rPr>
        <w:t>5. M2.4 funding reconciliation method</w:t>
      </w:r>
    </w:p>
    <w:p>
      <w:r>
        <w:rPr>
          <w:sz w:val="18"/>
        </w:rPr>
        <w:t xml:space="preserve">Funded paths are counted from the physical </w:t>
      </w:r>
      <w:r>
        <w:rPr>
          <w:rFonts w:ascii="Liberation Mono" w:hAnsi="Liberation Mono"/>
          <w:color w:val="12354A"/>
          <w:sz w:val="17"/>
        </w:rPr>
        <w:t>synthetic_advance_funding</w:t>
      </w:r>
      <w:r>
        <w:rPr>
          <w:sz w:val="18"/>
        </w:rPr>
        <w:t xml:space="preserve"> rows. Funded amount is the direct sum of </w:t>
      </w:r>
      <w:r>
        <w:rPr>
          <w:rFonts w:ascii="Liberation Mono" w:hAnsi="Liberation Mono"/>
          <w:color w:val="12354A"/>
          <w:sz w:val="17"/>
        </w:rPr>
        <w:t>funded_amount</w:t>
      </w:r>
      <w:r>
        <w:rPr>
          <w:sz w:val="18"/>
        </w:rPr>
        <w:t xml:space="preserve">; scenario splits are filtered by </w:t>
      </w:r>
      <w:r>
        <w:rPr>
          <w:rFonts w:ascii="Liberation Mono" w:hAnsi="Liberation Mono"/>
          <w:color w:val="12354A"/>
          <w:sz w:val="17"/>
        </w:rPr>
        <w:t>scenario_code</w:t>
      </w:r>
      <w:r>
        <w:rPr>
          <w:sz w:val="18"/>
        </w:rPr>
        <w:t>.</w:t>
      </w:r>
    </w:p>
    <w:p>
      <w:r>
        <w:rPr>
          <w:sz w:val="18"/>
        </w:rPr>
        <w:t>Required invariants: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color w:val="12354A"/>
                <w:sz w:val="14"/>
              </w:rPr>
              <w:t>Advance rows                             130</w:t>
              <w:br/>
              <w:t>Unique application-scenario keys         130</w:t>
              <w:br/>
              <w:t>Unique synthetic accounts                130</w:t>
              <w:br/>
              <w:t>Unique synthetic advances                130</w:t>
              <w:br/>
              <w:t>Baseline rows                             103</w:t>
              <w:br/>
              <w:t>Recession Energy rows                      27</w:t>
              <w:br/>
              <w:t>Total funded amount              $1,729,500</w:t>
              <w:br/>
              <w:t>Real-funds movement flags true               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sz w:val="36"/>
        </w:rPr>
        <w:t>6. Monitoring reconciliation method</w:t>
      </w:r>
    </w:p>
    <w:p>
      <w:r>
        <w:rPr>
          <w:sz w:val="18"/>
        </w:rPr>
        <w:t>R17 and R26 monitoring facts are sorted and joined by: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color w:val="12354A"/>
                <w:sz w:val="14"/>
              </w:rPr>
              <w:t>module1_run_id</w:t>
              <w:br/>
              <w:t>+ scenario_code</w:t>
              <w:br/>
              <w:t>+ merchant_application_id</w:t>
              <w:br/>
              <w:t>+ synthetic_advance_id</w:t>
              <w:br/>
              <w:t>+ monitoring_day_index</w:t>
              <w:br/>
              <w:t>+ monitoring_date</w:t>
            </w:r>
          </w:p>
        </w:tc>
      </w:tr>
    </w:tbl>
    <w:p>
      <w:pPr>
        <w:spacing w:after="20"/>
      </w:pPr>
    </w:p>
    <w:p>
      <w:r>
        <w:rPr>
          <w:sz w:val="18"/>
        </w:rPr>
        <w:t xml:space="preserve">Every shared field is compared across all 15,600 rows. Numeric values are compared at stable decimal precision; null-state equality is separately required. The complete result is </w:t>
      </w:r>
      <w:r>
        <w:rPr>
          <w:rFonts w:ascii="Liberation Mono" w:hAnsi="Liberation Mono"/>
          <w:color w:val="12354A"/>
          <w:sz w:val="17"/>
        </w:rPr>
        <w:t>registers/05_R17_TO_R26_MONITORING_FIELD_RECONCILIATION.csv</w:t>
      </w:r>
      <w:r>
        <w:rPr>
          <w:sz w:val="18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Different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Unchanged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cumulative_pace_ratio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9249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6351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cumulative_shortfall_amount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4840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10760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monitoring_status_code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3300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12300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cumulative_pace_watch_alert_flag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1656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13944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daily_shortfall_alert_flag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1084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14516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cumulative_pace_high_alert_flag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591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15009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stress_status_floor_applied_flag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216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15384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BUSINESS_CALIBRATION_CHANGE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actual_remittance_amount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cumulative_remittance_amount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horizon_overrun_alert_flag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liquidity_stress_alert_flag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merchant_application_id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module1_run_id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monitoring_date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monitoring_day_index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paid_off_flag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principal_exposure_proxy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receivable_balance_after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scenario_code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source_eligible_pos_sales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synthetic_advance_id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zero_sales_streak_alert_flag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15600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EXACT_NONREGRESSION</w:t>
            </w:r>
          </w:p>
        </w:tc>
      </w:tr>
    </w:tbl>
    <w:p>
      <w:pPr>
        <w:spacing w:after="40"/>
      </w:pPr>
    </w:p>
    <w:p>
      <w:r>
        <w:rPr>
          <w:sz w:val="18"/>
        </w:rPr>
        <w:t>The 11 R26-only columns are validated as an additive alert-family/policy layer rather than treated as missing R17 fields.</w:t>
      </w:r>
    </w:p>
    <w:p>
      <w:r>
        <w:br w:type="page"/>
      </w:r>
    </w:p>
    <w:p>
      <w:pPr>
        <w:pStyle w:val="Heading1"/>
      </w:pPr>
      <w:r>
        <w:rPr>
          <w:sz w:val="36"/>
        </w:rPr>
        <w:t>7. Downstream nonregression method</w:t>
      </w:r>
    </w:p>
    <w:p>
      <w:r>
        <w:rPr>
          <w:sz w:val="18"/>
        </w:rPr>
        <w:t>M2.6-M2.10 R17 and R26 exports are sorted on their stable application/account keys. Every shared business field is compared. Results: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Rows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Shared columns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Different cells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M2.6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130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EXACT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M2.7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130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EXACT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M2.8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130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EXACT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M2.9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130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4"/>
              </w:rPr>
              <w:t>EXACT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M2.10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130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0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EXACT</w:t>
            </w:r>
          </w:p>
        </w:tc>
      </w:tr>
    </w:tbl>
    <w:p>
      <w:pPr>
        <w:spacing w:after="40"/>
      </w:pPr>
    </w:p>
    <w:p>
      <w:r>
        <w:rPr>
          <w:sz w:val="18"/>
        </w:rPr>
        <w:t>This proves the R26 policy calibration did not silently alter final intervention, setup, servicing execution, account certification, or portfolio performance outputs.</w:t>
      </w:r>
    </w:p>
    <w:p>
      <w:r>
        <w:br w:type="page"/>
      </w:r>
    </w:p>
    <w:p>
      <w:pPr>
        <w:pStyle w:val="Heading1"/>
      </w:pPr>
      <w:r>
        <w:rPr>
          <w:sz w:val="36"/>
        </w:rPr>
        <w:t>8. Strategy-profile interpretation method</w:t>
      </w:r>
    </w:p>
    <w:p>
      <w:r>
        <w:rPr>
          <w:sz w:val="18"/>
        </w:rPr>
        <w:t>Application simulations are grouped by application-scenario key across the eight profiles. The validator counts distinct strategy outcomes, selected candidates, and selected amounts.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Application-scenario paths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1,500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Paths with profile outcome migration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Paths with selected-candidate change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249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Paths with selected-amount change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247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Candidate-bearing paths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380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Candidate-change rate where applicable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65.5%</w:t>
            </w:r>
          </w:p>
        </w:tc>
      </w:tr>
    </w:tbl>
    <w:p>
      <w:pPr>
        <w:spacing w:after="40"/>
      </w:pPr>
    </w:p>
    <w:p>
      <w:r>
        <w:rPr>
          <w:sz w:val="18"/>
        </w:rPr>
        <w:t>The conclusion that P05/P06 should be held is therefore a business-interpretation decision grounded in physical data, not a technical failure of the simulation.</w:t>
      </w:r>
    </w:p>
    <w:p>
      <w:r>
        <w:br w:type="page"/>
      </w:r>
    </w:p>
    <w:p>
      <w:pPr>
        <w:pStyle w:val="Heading1"/>
      </w:pPr>
      <w:r>
        <w:rPr>
          <w:sz w:val="36"/>
        </w:rPr>
        <w:t>9. Identity and provenance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Prior public Git HEAD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v2.0.0 public predecessor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46fb1f9198475678edc9cabdeefd2f91a59e49c2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CONTROLLING_PUBLIC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Prior Module 2 release commit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v2.0.0 peeled tag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500ec776ca25f1d4ade4eb45ecddb8df5e4f2e65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HISTORICAL_ACCEPTED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R23 repository candidate HEAD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v2.1.0-rc2 pre-R26 candidate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58b4dbda229d7176431cb09eecd1e3e3ec1feeee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ACCEPTED_PRE_R26_BASELINE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 result ZIP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 technical successor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113450c7167c8a5e1b40497c4e39506d276aa0e057bbeb3f316561af5d4096c3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ACCEPTED_TECHNICAL_SUCCESSOR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 resume database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 execution evidence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msbf_r1_r26_resume_g3v2_20260902_070655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ACCEPTED_TECHNICAL_SUCCESSOR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 monitoring policy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Owner-approved calibration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6c6a6f8103bb7276c5d1063d900d96070903e82b5f7143431bc150556e092027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 source root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M2.11 semantic source identity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618ac7ad9278ad0c3876601eb75336bb166132d412f9eae221a145cda770d41f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 simulation bundle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M2.11 physical simulations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569ea013b573b9c1e49592cbca0f078861b8d11f55462c3c49d718462c5b12ee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 control root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G3-v2 controls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3d9e6f264bd220e7a80a7e433945d37a41ade548581d273218b0e3df8b6f2498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 Power BI source bundle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Successor source carrier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b858965c48cd3aa0ca8ef9277305c2b2377db11cec03c1f48690c772764f98af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ACCEPTED_SOURCE_IDENTITY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 report root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G3-v2 master/detail reports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c053dc064ab32a4d21864f943d7efb1d70adffc31701bddfbf26daf2db1b802d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R26 certification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G3-v2 certification ID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G3V2_R26_C053DC064AB32A4D21864F94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R26 R2 failed result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Historical failed provenance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f140d5f51d464b379dc218902f1b61844914a86207665b4ff0699aab8bbe4329</w:t>
            </w:r>
          </w:p>
        </w:tc>
        <w:tc>
          <w:tcPr>
            <w:tcW w:type="dxa" w:w="25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FAIL_HISTORICAL_PROVENANCE</w:t>
            </w:r>
          </w:p>
        </w:tc>
      </w:tr>
    </w:tbl>
    <w:p>
      <w:pPr>
        <w:spacing w:after="40"/>
      </w:pPr>
    </w:p>
    <w:p>
      <w:r>
        <w:rPr>
          <w:sz w:val="18"/>
        </w:rPr>
        <w:t>Critical provenance rule:</w:t>
      </w:r>
    </w:p>
    <w:p>
      <w:pPr>
        <w:pStyle w:val="ListBullet"/>
      </w:pPr>
      <w:r>
        <w:rPr>
          <w:rFonts w:ascii="Liberation Mono" w:hAnsi="Liberation Mono"/>
          <w:color w:val="12354A"/>
          <w:sz w:val="16"/>
        </w:rPr>
        <w:t>f140d5...4329</w:t>
      </w:r>
      <w:r>
        <w:rPr>
          <w:sz w:val="18"/>
        </w:rPr>
        <w:t xml:space="preserve"> remains the failed R26 R2 result.</w:t>
      </w:r>
    </w:p>
    <w:p>
      <w:pPr>
        <w:pStyle w:val="ListBullet"/>
      </w:pPr>
      <w:r>
        <w:rPr>
          <w:rFonts w:ascii="Liberation Mono" w:hAnsi="Liberation Mono"/>
          <w:color w:val="12354A"/>
          <w:sz w:val="16"/>
        </w:rPr>
        <w:t>113450...096c3</w:t>
      </w:r>
      <w:r>
        <w:rPr>
          <w:sz w:val="18"/>
        </w:rPr>
        <w:t xml:space="preserve"> is the accepted resume result.</w:t>
      </w:r>
    </w:p>
    <w:p>
      <w:pPr>
        <w:pStyle w:val="ListBullet"/>
      </w:pPr>
      <w:r>
        <w:rPr>
          <w:sz w:val="18"/>
        </w:rPr>
        <w:t>The failed result is not relabeled or overwritten.</w:t>
      </w:r>
    </w:p>
    <w:p>
      <w:pPr>
        <w:pStyle w:val="ListBullet"/>
      </w:pPr>
      <w:r>
        <w:rPr>
          <w:sz w:val="18"/>
        </w:rPr>
        <w:t>R6 and the retained R2 final database both pass nonmutation.</w:t>
      </w:r>
    </w:p>
    <w:p>
      <w:r>
        <w:br w:type="page"/>
      </w:r>
    </w:p>
    <w:p>
      <w:pPr>
        <w:pStyle w:val="Heading1"/>
      </w:pPr>
      <w:r>
        <w:rPr>
          <w:sz w:val="36"/>
        </w:rPr>
        <w:t>10. Repository validation</w:t>
      </w:r>
    </w:p>
    <w:p>
      <w:r>
        <w:rPr>
          <w:sz w:val="18"/>
        </w:rPr>
        <w:t>R23 independently establishes the version-separated repository pattern, but not the final R26 tree.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2354A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Observed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 base HEAD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46fb1f9198475678edc9cabdeefd2f91a59e49c2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R23 candidate HEAD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58b4dbda229d7176431cb09eecd1e3e3ec1feeee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Changed paths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508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Added / modified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501 / 7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Accepted stage directory changes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Accepted authority-file hash changes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Binary patch apply and candidate reproduction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Candidate overlay validator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Public release validator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Final R26 integrated repository</w:t>
            </w:r>
          </w:p>
        </w:tc>
        <w:tc>
          <w:tcPr>
            <w:tcW w:type="dxa" w:w="50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5F8FA"/>
          </w:tcPr>
          <w:p>
            <w:pPr>
              <w:spacing w:after="0"/>
            </w:pPr>
            <w:r>
              <w:rPr>
                <w:sz w:val="15"/>
              </w:rPr>
              <w:t>PENDING</w:t>
            </w:r>
          </w:p>
        </w:tc>
      </w:tr>
    </w:tbl>
    <w:p>
      <w:pPr>
        <w:spacing w:after="40"/>
      </w:pPr>
    </w:p>
    <w:p>
      <w:r>
        <w:rPr>
          <w:sz w:val="18"/>
        </w:rPr>
        <w:t>The final v2.1 file-level validation must be rerun after R26 integration. This report does not substitute the R23 pre-R26 file list for that future evidence.</w:t>
      </w:r>
    </w:p>
    <w:p>
      <w:r>
        <w:br w:type="page"/>
      </w:r>
    </w:p>
    <w:p>
      <w:pPr>
        <w:pStyle w:val="Heading1"/>
      </w:pPr>
      <w:r>
        <w:rPr>
          <w:sz w:val="36"/>
        </w:rPr>
        <w:t>11. Package-level validation requirements</w:t>
      </w:r>
    </w:p>
    <w:p>
      <w:r>
        <w:rPr>
          <w:sz w:val="18"/>
        </w:rPr>
        <w:t>The companion validator verifies:</w:t>
      </w:r>
    </w:p>
    <w:p>
      <w:pPr>
        <w:pStyle w:val="ListBullet"/>
      </w:pPr>
      <w:r>
        <w:rPr>
          <w:sz w:val="18"/>
        </w:rPr>
        <w:t>required reports/registers/figures exist;</w:t>
      </w:r>
    </w:p>
    <w:p>
      <w:pPr>
        <w:pStyle w:val="ListBullet"/>
      </w:pPr>
      <w:r>
        <w:rPr>
          <w:sz w:val="18"/>
        </w:rPr>
        <w:t>CSVs parse and required columns exist;</w:t>
      </w:r>
    </w:p>
    <w:p>
      <w:pPr>
        <w:pStyle w:val="ListBullet"/>
      </w:pPr>
      <w:r>
        <w:rPr>
          <w:sz w:val="18"/>
        </w:rPr>
        <w:t>all key population formulas reconcile;</w:t>
      </w:r>
    </w:p>
    <w:p>
      <w:pPr>
        <w:pStyle w:val="ListBullet"/>
      </w:pPr>
      <w:r>
        <w:rPr>
          <w:sz w:val="18"/>
        </w:rPr>
        <w:t>decision migration totals equal 1,500;</w:t>
      </w:r>
    </w:p>
    <w:p>
      <w:pPr>
        <w:pStyle w:val="ListBullet"/>
      </w:pPr>
      <w:r>
        <w:rPr>
          <w:sz w:val="18"/>
        </w:rPr>
        <w:t>M2.4 path counts and funded amounts reconcile;</w:t>
      </w:r>
    </w:p>
    <w:p>
      <w:pPr>
        <w:pStyle w:val="ListBullet"/>
      </w:pPr>
      <w:r>
        <w:rPr>
          <w:sz w:val="18"/>
        </w:rPr>
        <w:t>R17/R26 monitoring keys and row counts match;</w:t>
      </w:r>
    </w:p>
    <w:p>
      <w:pPr>
        <w:pStyle w:val="ListBullet"/>
      </w:pPr>
      <w:r>
        <w:rPr>
          <w:sz w:val="18"/>
        </w:rPr>
        <w:t>M2.6-M2.10 cell comparisons are exact;</w:t>
      </w:r>
    </w:p>
    <w:p>
      <w:pPr>
        <w:pStyle w:val="ListBullet"/>
      </w:pPr>
      <w:r>
        <w:rPr>
          <w:sz w:val="18"/>
        </w:rPr>
        <w:t>M2.11 populations equal 8 / 52,152 / 12,000 / 1,040;</w:t>
      </w:r>
    </w:p>
    <w:p>
      <w:pPr>
        <w:pStyle w:val="ListBullet"/>
      </w:pPr>
      <w:r>
        <w:rPr>
          <w:sz w:val="18"/>
        </w:rPr>
        <w:t>G3-v2 controls equal 70/70 PASS;</w:t>
      </w:r>
    </w:p>
    <w:p>
      <w:pPr>
        <w:pStyle w:val="ListBullet"/>
      </w:pPr>
      <w:r>
        <w:rPr>
          <w:sz w:val="18"/>
        </w:rPr>
        <w:t>report status wording does not authorize publication;</w:t>
      </w:r>
    </w:p>
    <w:p>
      <w:pPr>
        <w:pStyle w:val="ListBullet"/>
      </w:pPr>
      <w:r>
        <w:rPr>
          <w:sz w:val="18"/>
        </w:rPr>
        <w:t>no local absolute paths or temporary sandbox links appear in public files;</w:t>
      </w:r>
    </w:p>
    <w:p>
      <w:pPr>
        <w:pStyle w:val="ListBullet"/>
      </w:pPr>
      <w:r>
        <w:rPr>
          <w:sz w:val="18"/>
        </w:rPr>
        <w:t>manifest sizes and SHA-256 values match;</w:t>
      </w:r>
    </w:p>
    <w:p>
      <w:pPr>
        <w:pStyle w:val="ListBullet"/>
      </w:pPr>
      <w:r>
        <w:rPr>
          <w:sz w:val="18"/>
        </w:rPr>
        <w:t>deterministic package replay is possible.</w:t>
      </w:r>
    </w:p>
    <w:p>
      <w:r>
        <w:br w:type="page"/>
      </w:r>
    </w:p>
    <w:p>
      <w:pPr>
        <w:pStyle w:val="Heading1"/>
      </w:pPr>
      <w:r>
        <w:rPr>
          <w:sz w:val="36"/>
        </w:rPr>
        <w:t>12. Validation disposition</w:t>
      </w:r>
    </w:p>
    <w:p>
      <w:r>
        <w:rPr>
          <w:sz w:val="18"/>
        </w:rPr>
        <w:t>The evidence supports the following conclusion: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color w:val="12354A"/>
                <w:sz w:val="14"/>
              </w:rPr>
              <w:t>Technical change specification        PASS</w:t>
              <w:br/>
              <w:t>Data reconciliation                   PASS</w:t>
              <w:br/>
              <w:t>Code-logic change register            PASS</w:t>
              <w:br/>
              <w:t>R26 identity reconciliation           PASS</w:t>
              <w:br/>
              <w:t>Predecessor nonregression              PASS</w:t>
              <w:br/>
              <w:t>R23 pre-R26 repository validation      PASS</w:t>
              <w:br/>
              <w:t>Final R26 repository integration       PENDING</w:t>
              <w:br/>
              <w:t>Public supersession/publication        NOT AUTHORIZED</w:t>
            </w:r>
          </w:p>
        </w:tc>
      </w:tr>
    </w:tbl>
    <w:p>
      <w:pPr>
        <w:spacing w:after="20"/>
      </w:pPr>
    </w:p>
    <w:p>
      <w:r>
        <w:rPr>
          <w:sz w:val="18"/>
        </w:rPr>
        <w:t>The package is suitable for inclusion in the future combined integration-delta audit. It is not by itself a release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B677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0B8F87"/>
      </w:pBdr>
    </w:pPr>
    <w:r/>
    <w:r>
      <w:rPr>
        <w:rFonts w:ascii="Arial" w:hAnsi="Arial"/>
        <w:b/>
        <w:color w:val="5B6770"/>
        <w:sz w:val="16"/>
      </w:rPr>
      <w:t>MSBF  |  Technical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235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8F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5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B677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5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0B8F8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Liberation Mono" w:hAnsi="Liberation Mono"/>
      <w:color w:val="12354A"/>
      <w:sz w:val="15"/>
    </w:rPr>
  </w:style>
  <w:style w:type="paragraph" w:customStyle="1" w:styleId="CaptionMSBF">
    <w:name w:val="Caption MSBF"/>
    <w:pPr>
      <w:spacing w:after="140"/>
      <w:jc w:val="center"/>
    </w:pPr>
    <w:rPr>
      <w:rFonts w:ascii="Arial" w:hAnsi="Arial"/>
      <w:i/>
      <w:color w:val="5B67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MSBF Module 1/2 v2.1 Technical Successor</dc:title>
  <dc:subject>Technical Validation and Evidence Report</dc:subject>
  <dc:creator>MSBF Project</dc:creator>
  <cp:keywords>MSBF, Module 2, v2.1, change log, reconciliation,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