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E46" w:rsidRDefault="00CF3E46" w:rsidP="000355E3">
      <w:r>
        <w:t>Air Results: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6"/>
        <w:gridCol w:w="1908"/>
        <w:gridCol w:w="1908"/>
        <w:gridCol w:w="1834"/>
      </w:tblGrid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Absolute Pressure (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1058" w:type="pct"/>
          </w:tcPr>
          <w:p w:rsidR="00CF3E46" w:rsidRDefault="00CF3E46" w:rsidP="00746DB9">
            <w:pPr>
              <w:jc w:val="center"/>
            </w:pPr>
            <w:r>
              <w:t>Count 1 (Hz)</w:t>
            </w:r>
          </w:p>
        </w:tc>
        <w:tc>
          <w:tcPr>
            <w:tcW w:w="1058" w:type="pct"/>
          </w:tcPr>
          <w:p w:rsidR="00CF3E46" w:rsidRDefault="00CF3E46" w:rsidP="00746DB9">
            <w:pPr>
              <w:jc w:val="center"/>
            </w:pPr>
            <w:r>
              <w:t>Count 2 (Hz)</w:t>
            </w:r>
          </w:p>
        </w:tc>
        <w:tc>
          <w:tcPr>
            <w:tcW w:w="1018" w:type="pct"/>
          </w:tcPr>
          <w:p w:rsidR="00CF3E46" w:rsidRDefault="00CF3E46" w:rsidP="00746DB9">
            <w:pPr>
              <w:jc w:val="center"/>
            </w:pPr>
            <w:r>
              <w:t>Count 3(Hz)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100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22.2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22.65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22.23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90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21.65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21.36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21.4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80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21.16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20.9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20.15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70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18.74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19.82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19.48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60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18.73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18.74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18.03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50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16.19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16.9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16.03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40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14.15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>
              <w:t>14.7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14.7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30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12.13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12.34</w:t>
            </w:r>
          </w:p>
        </w:tc>
        <w:tc>
          <w:tcPr>
            <w:tcW w:w="1018" w:type="pct"/>
          </w:tcPr>
          <w:p w:rsidR="00CF3E46" w:rsidRDefault="00CF3E46" w:rsidP="00746DB9">
            <w:pPr>
              <w:jc w:val="center"/>
            </w:pPr>
            <w:r w:rsidRPr="00A9397B">
              <w:t>12.39</w:t>
            </w:r>
          </w:p>
        </w:tc>
      </w:tr>
    </w:tbl>
    <w:p w:rsidR="00CF3E46" w:rsidRDefault="00CF3E46" w:rsidP="000355E3"/>
    <w:p w:rsidR="00CF3E46" w:rsidRDefault="00CF3E46" w:rsidP="000355E3">
      <w:r>
        <w:t xml:space="preserve">Helium </w:t>
      </w:r>
      <w:proofErr w:type="gramStart"/>
      <w:r>
        <w:t>Results :</w:t>
      </w:r>
      <w:proofErr w:type="gramEnd"/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6"/>
        <w:gridCol w:w="1908"/>
        <w:gridCol w:w="1908"/>
        <w:gridCol w:w="1834"/>
      </w:tblGrid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Absolute Pressure (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1058" w:type="pct"/>
          </w:tcPr>
          <w:p w:rsidR="00746DB9" w:rsidRDefault="00746DB9" w:rsidP="00746DB9">
            <w:pPr>
              <w:jc w:val="center"/>
            </w:pPr>
            <w:r>
              <w:t>Count 1 (Hz)</w:t>
            </w:r>
          </w:p>
        </w:tc>
        <w:tc>
          <w:tcPr>
            <w:tcW w:w="1058" w:type="pct"/>
          </w:tcPr>
          <w:p w:rsidR="00746DB9" w:rsidRDefault="00746DB9" w:rsidP="00746DB9">
            <w:pPr>
              <w:jc w:val="center"/>
            </w:pPr>
            <w:r>
              <w:t>Count 2 (Hz)</w:t>
            </w:r>
          </w:p>
        </w:tc>
        <w:tc>
          <w:tcPr>
            <w:tcW w:w="1018" w:type="pct"/>
          </w:tcPr>
          <w:p w:rsidR="00746DB9" w:rsidRDefault="00746DB9" w:rsidP="00746DB9">
            <w:pPr>
              <w:jc w:val="center"/>
            </w:pPr>
            <w:r>
              <w:t>Count 3(Hz)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150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29.55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28.84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28.84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140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27.11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27.46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27.37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130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26.09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25.86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25.91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120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24.93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25.27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25.48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110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23.99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24.3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23.03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100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23.75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22.27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22.76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90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21.38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22.74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21.36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80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21.12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>
              <w:t>21.74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21.18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70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20.09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20.3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20.84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60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19.27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19.3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18.8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50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17.64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16.28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16.73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40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16.01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15.84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15.56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30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15.16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14.5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14.35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20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13.93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14.25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13.61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13.81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13.3</w:t>
            </w:r>
          </w:p>
        </w:tc>
        <w:tc>
          <w:tcPr>
            <w:tcW w:w="1018" w:type="pct"/>
          </w:tcPr>
          <w:p w:rsidR="00746DB9" w:rsidRDefault="00746DB9" w:rsidP="00746DB9">
            <w:pPr>
              <w:jc w:val="center"/>
            </w:pPr>
            <w:r w:rsidRPr="00B1664A">
              <w:t>14.01</w:t>
            </w:r>
          </w:p>
        </w:tc>
      </w:tr>
    </w:tbl>
    <w:p w:rsidR="00CF3E46" w:rsidRDefault="00CF3E46" w:rsidP="000355E3"/>
    <w:p w:rsidR="00746DB9" w:rsidRDefault="00746DB9" w:rsidP="00746DB9">
      <w:r>
        <w:t xml:space="preserve">Nitrogen </w:t>
      </w:r>
      <w:proofErr w:type="gramStart"/>
      <w:r>
        <w:t>Results :</w:t>
      </w:r>
      <w:proofErr w:type="gramEnd"/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6"/>
        <w:gridCol w:w="1908"/>
        <w:gridCol w:w="1908"/>
        <w:gridCol w:w="1834"/>
      </w:tblGrid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Absolute Pressure (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1058" w:type="pct"/>
          </w:tcPr>
          <w:p w:rsidR="00746DB9" w:rsidRDefault="00746DB9" w:rsidP="00746DB9">
            <w:pPr>
              <w:jc w:val="center"/>
            </w:pPr>
            <w:r>
              <w:t>Count 1 (Hz)</w:t>
            </w:r>
          </w:p>
        </w:tc>
        <w:tc>
          <w:tcPr>
            <w:tcW w:w="1058" w:type="pct"/>
          </w:tcPr>
          <w:p w:rsidR="00746DB9" w:rsidRDefault="00746DB9" w:rsidP="00746DB9">
            <w:pPr>
              <w:jc w:val="center"/>
            </w:pPr>
            <w:r>
              <w:t>Count 2 (Hz)</w:t>
            </w:r>
          </w:p>
        </w:tc>
        <w:tc>
          <w:tcPr>
            <w:tcW w:w="1018" w:type="pct"/>
          </w:tcPr>
          <w:p w:rsidR="00746DB9" w:rsidRDefault="00746DB9" w:rsidP="00746DB9">
            <w:pPr>
              <w:jc w:val="center"/>
            </w:pPr>
            <w:r>
              <w:t>Count 3(Hz)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150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>
              <w:t>29.2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28.46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29.33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140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26.88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26.46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26.98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130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25.75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26.34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25.85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120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>
              <w:t>24.74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25.12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25.05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110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24.48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24.33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23.78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100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23.13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23.39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>
              <w:t>22.58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90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22.22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21.90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21.74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80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19.94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>
              <w:t>19.56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20.30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70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19.45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19.06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18.90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60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18.75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18.75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18.34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50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</w:t>
            </w:r>
            <w:r>
              <w:t>6.56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16.63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16.73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40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14.4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14.40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13.94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30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>
              <w:t>13.05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13.08</w:t>
            </w:r>
          </w:p>
        </w:tc>
        <w:tc>
          <w:tcPr>
            <w:tcW w:w="1018" w:type="pct"/>
          </w:tcPr>
          <w:p w:rsidR="00746DB9" w:rsidRDefault="00746DB9" w:rsidP="00746DB9">
            <w:pPr>
              <w:jc w:val="center"/>
            </w:pPr>
            <w:r w:rsidRPr="00BA05AC">
              <w:t>12.36</w:t>
            </w:r>
          </w:p>
        </w:tc>
      </w:tr>
    </w:tbl>
    <w:p w:rsidR="00746DB9" w:rsidRDefault="00746DB9" w:rsidP="000355E3"/>
    <w:p w:rsidR="00597F38" w:rsidRDefault="00597F38" w:rsidP="000355E3"/>
    <w:p w:rsidR="00597F38" w:rsidRDefault="00597F38" w:rsidP="000355E3"/>
    <w:p w:rsidR="00597F38" w:rsidRDefault="00597F38" w:rsidP="000355E3">
      <w:r>
        <w:rPr>
          <w:noProof/>
          <w:lang w:eastAsia="en-GB"/>
        </w:rPr>
        <w:drawing>
          <wp:inline distT="0" distB="0" distL="0" distR="0">
            <wp:extent cx="5342857" cy="40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342857" cy="40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342857" cy="40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342857" cy="40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342857" cy="40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>
            <wp:extent cx="5342857" cy="40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7F38" w:rsidRDefault="00597F38" w:rsidP="000355E3"/>
    <w:sectPr w:rsidR="00597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41"/>
    <w:rsid w:val="000355E3"/>
    <w:rsid w:val="000939D7"/>
    <w:rsid w:val="00153874"/>
    <w:rsid w:val="00194257"/>
    <w:rsid w:val="001A6241"/>
    <w:rsid w:val="00253CB8"/>
    <w:rsid w:val="00426AAA"/>
    <w:rsid w:val="00574BB2"/>
    <w:rsid w:val="00583B3F"/>
    <w:rsid w:val="00597F38"/>
    <w:rsid w:val="0062617A"/>
    <w:rsid w:val="00671671"/>
    <w:rsid w:val="006D3144"/>
    <w:rsid w:val="00732500"/>
    <w:rsid w:val="00737F43"/>
    <w:rsid w:val="00746DB9"/>
    <w:rsid w:val="00757ED3"/>
    <w:rsid w:val="007F38AA"/>
    <w:rsid w:val="00865B86"/>
    <w:rsid w:val="00A33C0D"/>
    <w:rsid w:val="00C74FA6"/>
    <w:rsid w:val="00CE719E"/>
    <w:rsid w:val="00CF3E46"/>
    <w:rsid w:val="00D11840"/>
    <w:rsid w:val="00D96761"/>
    <w:rsid w:val="00DA5090"/>
    <w:rsid w:val="00DC7973"/>
    <w:rsid w:val="00DE5CE0"/>
    <w:rsid w:val="00E05496"/>
    <w:rsid w:val="00E26D80"/>
    <w:rsid w:val="00E552CD"/>
    <w:rsid w:val="00EE3D1C"/>
    <w:rsid w:val="00F3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AF37C-8BAE-4F4B-92BB-4F0C3F08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2015-04-13T14:22:00Z</dcterms:created>
  <dcterms:modified xsi:type="dcterms:W3CDTF">2015-04-13T14:57:00Z</dcterms:modified>
</cp:coreProperties>
</file>