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TOTAL PROJECT STRATEGIC CONSOLIDATION</w:t>
      </w:r>
    </w:p>
    <w:p>
      <w:pPr>
        <w:pStyle w:val="Subtitle"/>
      </w:pPr>
      <w:r>
        <w:t>Revised Full Ingestion Report (V2)</w:t>
      </w:r>
    </w:p>
    <w:p>
      <w:pPr>
        <w:pStyle w:val="Author"/>
      </w:pPr>
      <w:r>
        <w:t>Andrew Palupillai / FrankMax Digital</w:t>
      </w:r>
    </w:p>
    <w:p>
      <w:pPr>
        <w:pStyle w:val="Date"/>
      </w:pPr>
      <w:r>
        <w:t>February 27,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art-i-executive-reconstruction"/>
      <w:r>
        <w:t xml:space="preserve">PART I — EXECUTIVE RECONSTRUCTION</w:t>
      </w:r>
      <w:bookmarkEnd w:id="20"/>
    </w:p>
    <w:p>
      <w:pPr>
        <w:pStyle w:val="Heading2"/>
      </w:pPr>
      <w:bookmarkStart w:id="21" w:name="project-identity"/>
      <w:r>
        <w:t xml:space="preserve">Project Identity</w:t>
      </w:r>
      <w:bookmarkEnd w:id="21"/>
    </w:p>
    <w:p>
      <w:pPr>
        <w:pStyle w:val="FirstParagraph"/>
      </w:pPr>
      <w:r>
        <w:t xml:space="preserve">The founder (Andrew Palupillai / FrankMax Digital) is building a multi-layered ecosystem with three interlocking pillars: (1) AINEF OS—a sovereign-grade venture production operating system, (2) Frankmax—a pre-incident governance and decision-control system, and (3) Levelupmax—a controlled talent refinery converting human potential into production-grade operators. The project spans 12 strategic documents totaling 172,303 lines.</w:t>
      </w:r>
    </w:p>
    <w:p>
      <w:pPr>
        <w:pStyle w:val="Heading2"/>
      </w:pPr>
      <w:bookmarkStart w:id="22" w:name="true-end-state-vision"/>
      <w:r>
        <w:t xml:space="preserve">True End-State Vision</w:t>
      </w:r>
      <w:bookmarkEnd w:id="22"/>
    </w:p>
    <w:p>
      <w:pPr>
        <w:pStyle w:val="FirstParagraph"/>
      </w:pPr>
      <w:r>
        <w:t xml:space="preserve">A Hybrid Meta-Civilization—layered ecosystem where humans, AI agents, robots, and synthetic economies co-create autonomous institutions, governed by alignment infrastructure. Three concurrent paths converge: cash-generating services (immediate), institutional governance authority (mid-term), and civilization-scale infrastructure (long-horizon).</w:t>
      </w:r>
    </w:p>
    <w:p>
      <w:pPr>
        <w:pStyle w:val="Heading2"/>
      </w:pPr>
      <w:bookmarkStart w:id="23" w:name="core-strategic-dna"/>
      <w:r>
        <w:t xml:space="preserve">Core Strategic DNA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Cash-first execution (revenue within 30-60 days)</w:t>
      </w:r>
    </w:p>
    <w:p>
      <w:pPr>
        <w:numPr>
          <w:ilvl w:val="0"/>
          <w:numId w:val="1001"/>
        </w:numPr>
        <w:pStyle w:val="Compact"/>
      </w:pPr>
      <w:r>
        <w:t xml:space="preserve">Zero-capital starting position (build from nothing)</w:t>
      </w:r>
    </w:p>
    <w:p>
      <w:pPr>
        <w:numPr>
          <w:ilvl w:val="0"/>
          <w:numId w:val="1001"/>
        </w:numPr>
        <w:pStyle w:val="Compact"/>
      </w:pPr>
      <w:r>
        <w:t xml:space="preserve">Service-to-SaaS transition (prove with service, convert to product)</w:t>
      </w:r>
    </w:p>
    <w:p>
      <w:pPr>
        <w:numPr>
          <w:ilvl w:val="0"/>
          <w:numId w:val="1001"/>
        </w:numPr>
        <w:pStyle w:val="Compact"/>
      </w:pPr>
      <w:r>
        <w:t xml:space="preserve">Provider-agnostic architecture (OpenAI, Anthropic, Google, open-source)</w:t>
      </w:r>
    </w:p>
    <w:p>
      <w:pPr>
        <w:numPr>
          <w:ilvl w:val="0"/>
          <w:numId w:val="1001"/>
        </w:numPr>
        <w:pStyle w:val="Compact"/>
      </w:pPr>
      <w:r>
        <w:t xml:space="preserve">Modular everything (every component swappable)</w:t>
      </w:r>
    </w:p>
    <w:p>
      <w:pPr>
        <w:numPr>
          <w:ilvl w:val="0"/>
          <w:numId w:val="1001"/>
        </w:numPr>
        <w:pStyle w:val="Compact"/>
      </w:pPr>
      <w:r>
        <w:t xml:space="preserve">Governance as competitive advantage (baked in, not bolted on)</w:t>
      </w:r>
    </w:p>
    <w:p>
      <w:pPr>
        <w:numPr>
          <w:ilvl w:val="0"/>
          <w:numId w:val="1001"/>
        </w:numPr>
        <w:pStyle w:val="Compact"/>
      </w:pPr>
      <w:r>
        <w:t xml:space="preserve">Agent-native design (AI organisms, not AI features)</w:t>
      </w:r>
    </w:p>
    <w:p>
      <w:pPr>
        <w:numPr>
          <w:ilvl w:val="0"/>
          <w:numId w:val="1001"/>
        </w:numPr>
        <w:pStyle w:val="Compact"/>
      </w:pPr>
      <w:r>
        <w:t xml:space="preserve">Constitutional governance (outlives founders)</w:t>
      </w:r>
    </w:p>
    <w:p>
      <w:pPr>
        <w:numPr>
          <w:ilvl w:val="0"/>
          <w:numId w:val="1001"/>
        </w:numPr>
        <w:pStyle w:val="Compact"/>
      </w:pPr>
      <w:r>
        <w:t xml:space="preserve">Federated sovereignty (scales like courts, not franchises)</w:t>
      </w:r>
    </w:p>
    <w:p>
      <w:pPr>
        <w:pStyle w:val="Heading2"/>
      </w:pPr>
      <w:bookmarkStart w:id="24" w:name="three-interlocking-pillars"/>
      <w:r>
        <w:t xml:space="preserve">Three Interlocking Pillars</w:t>
      </w:r>
      <w:bookmarkEnd w:id="24"/>
    </w:p>
    <w:p>
      <w:pPr>
        <w:pStyle w:val="Heading3"/>
      </w:pPr>
      <w:bookmarkStart w:id="25" w:name="pillar-1ainef-os"/>
      <w:r>
        <w:t xml:space="preserve">Pillar 1—AINEF OS</w:t>
      </w:r>
      <w:bookmarkEnd w:id="25"/>
    </w:p>
    <w:p>
      <w:pPr>
        <w:pStyle w:val="FirstParagraph"/>
      </w:pPr>
      <w:r>
        <w:t xml:space="preserve">Sovereign-grade venture production operating system. Layered architecture: Foundation, Intelligence, Production, Capital, Talent, Learning, Resilience. Controls how ideas are selected, capital allocated, talent refined, execution governed, risk contained, and learning compounds.</w:t>
      </w:r>
    </w:p>
    <w:p>
      <w:pPr>
        <w:pStyle w:val="Heading3"/>
      </w:pPr>
      <w:bookmarkStart w:id="26" w:name="pillar-2frankmax"/>
      <w:r>
        <w:t xml:space="preserve">Pillar 2—Frankmax</w:t>
      </w:r>
      <w:bookmarkEnd w:id="26"/>
    </w:p>
    <w:p>
      <w:pPr>
        <w:pStyle w:val="FirstParagraph"/>
      </w:pPr>
      <w:r>
        <w:t>Pre-incident governance system answering one question before approval: “If this fails, can the people who authorized it survive investigation?” Not consulting, not software. A decision-control system that prevents foreseeable harm, forces redesign where risk remains, and stops any decision that cannot survive investigation.</w:t>
      </w:r>
    </w:p>
    <w:p>
      <w:pPr>
        <w:pStyle w:val="Heading3"/>
      </w:pPr>
      <w:bookmarkStart w:id="27" w:name="pillar-3levelupmax"/>
      <w:r>
        <w:t xml:space="preserve">Pillar 3—Levelupmax</w:t>
      </w:r>
      <w:bookmarkEnd w:id="27"/>
    </w:p>
    <w:p>
      <w:pPr>
        <w:pStyle w:val="FirstParagraph"/>
      </w:pPr>
      <w:r>
        <w:t xml:space="preserve">Controlled talent refinery converting raw ambition into governed execution capacity. Not education, not bootcamp. A production-backed operator licensing system issuing authority tiers (not certificates) based on performance under constraint.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part-ii-frankmax-governance-architecture"/>
      <w:r>
        <w:t xml:space="preserve">PART II — FRANKMAX GOVERNANCE ARCHITECTURE</w:t>
      </w:r>
      <w:bookmarkEnd w:id="28"/>
    </w:p>
    <w:p>
      <w:pPr>
        <w:pStyle w:val="Heading2"/>
      </w:pPr>
      <w:bookmarkStart w:id="29" w:name="core-definition"/>
      <w:r>
        <w:t xml:space="preserve">Core Definition</w:t>
      </w:r>
      <w:bookmarkEnd w:id="29"/>
    </w:p>
    <w:p>
      <w:pPr>
        <w:pStyle w:val="FirstParagraph"/>
      </w:pPr>
      <w:r>
        <w:t xml:space="preserve">Frankmax is a pre-incident decision control system doing two things simultaneously: (1) Prevents foreseeable, avoidable failure, and (2) Makes any decision proceeding despite risk defensible under investigation. If a decision cannot meet both conditions, Frankmax stops it.</w:t>
      </w:r>
    </w:p>
    <w:p>
      <w:pPr>
        <w:pStyle w:val="Heading2"/>
      </w:pPr>
      <w:bookmarkStart w:id="30" w:name="non-negotiable-rule"/>
      <w:r>
        <w:t xml:space="preserve">Non-Negotiable Rule</w:t>
      </w:r>
      <w:bookmarkEnd w:id="30"/>
    </w:p>
    <w:p>
      <w:pPr>
        <w:pStyle w:val="FirstParagraph"/>
      </w:pPr>
      <w:r>
        <w:t xml:space="preserve">No decision progresses if risk is foreseeable, avoidable, and unmitigated—regardless of signature willingness. If leadership overrides, Frankmax documents refusal, escalates to board/regulator equivalents, and withdraws institutional participation.</w:t>
      </w:r>
    </w:p>
    <w:p>
      <w:pPr>
        <w:pStyle w:val="Heading2"/>
      </w:pPr>
      <w:bookmarkStart w:id="31" w:name="three-hard-system-requirements"/>
      <w:r>
        <w:t xml:space="preserve">Three Hard System Requirements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Forces explicit authority: who decided, under what mandate, with what knowledge</w:t>
      </w:r>
    </w:p>
    <w:p>
      <w:pPr>
        <w:numPr>
          <w:ilvl w:val="0"/>
          <w:numId w:val="1002"/>
        </w:numPr>
        <w:pStyle w:val="Compact"/>
      </w:pPr>
      <w:r>
        <w:t xml:space="preserve">Converts judgment into artifacts surviving leadership churn, regulator scrutiny, and hindsight bias</w:t>
      </w:r>
    </w:p>
    <w:p>
      <w:pPr>
        <w:numPr>
          <w:ilvl w:val="0"/>
          <w:numId w:val="1002"/>
        </w:numPr>
        <w:pStyle w:val="Compact"/>
      </w:pPr>
      <w:r>
        <w:t xml:space="preserve">Pre-allocates blame to prevent post-incident accountability retrofit</w:t>
      </w:r>
    </w:p>
    <w:p>
      <w:pPr>
        <w:pStyle w:val="Heading2"/>
      </w:pPr>
      <w:bookmarkStart w:id="32" w:name="five-pillars-functions-not-values"/>
      <w:r>
        <w:t xml:space="preserve">Five Pillars (Functions, Not Values)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AUDIT: Expose failure paths before they become evidence</w:t>
      </w:r>
    </w:p>
    <w:p>
      <w:pPr>
        <w:numPr>
          <w:ilvl w:val="0"/>
          <w:numId w:val="1003"/>
        </w:numPr>
        <w:pStyle w:val="Compact"/>
      </w:pPr>
      <w:r>
        <w:t xml:space="preserve">LEGAL: Anchor decisions in enforceable jurisdictional reality</w:t>
      </w:r>
    </w:p>
    <w:p>
      <w:pPr>
        <w:numPr>
          <w:ilvl w:val="0"/>
          <w:numId w:val="1003"/>
        </w:numPr>
        <w:pStyle w:val="Compact"/>
      </w:pPr>
      <w:r>
        <w:t xml:space="preserve">ADVISORY: Resolve authority before it fragments</w:t>
      </w:r>
    </w:p>
    <w:p>
      <w:pPr>
        <w:numPr>
          <w:ilvl w:val="0"/>
          <w:numId w:val="1003"/>
        </w:numPr>
        <w:pStyle w:val="Compact"/>
      </w:pPr>
      <w:r>
        <w:t xml:space="preserve">LEARNING: Preserve accountability beyond individuals</w:t>
      </w:r>
    </w:p>
    <w:p>
      <w:pPr>
        <w:numPr>
          <w:ilvl w:val="0"/>
          <w:numId w:val="1003"/>
        </w:numPr>
        <w:pStyle w:val="Compact"/>
      </w:pPr>
      <w:r>
        <w:t xml:space="preserve">ACCREDITATION: Make trust structural, not personal</w:t>
      </w:r>
    </w:p>
    <w:p>
      <w:pPr>
        <w:pStyle w:val="Heading2"/>
      </w:pPr>
      <w:bookmarkStart w:id="33" w:name="seven-core-services"/>
      <w:r>
        <w:t xml:space="preserve">Seven Core Services</w:t>
      </w:r>
      <w:bookmarkEnd w:id="33"/>
    </w:p>
    <w:p>
      <w:pPr>
        <w:numPr>
          <w:ilvl w:val="0"/>
          <w:numId w:val="1004"/>
        </w:numPr>
        <w:pStyle w:val="Compact"/>
      </w:pPr>
      <w:r>
        <w:t xml:space="preserve">Pre-Incident Accountability Review (PIAR)—mandatory entry point, outputs Proceed/Redesign/Halt</w:t>
      </w:r>
    </w:p>
    <w:p>
      <w:pPr>
        <w:numPr>
          <w:ilvl w:val="0"/>
          <w:numId w:val="1004"/>
        </w:numPr>
        <w:pStyle w:val="Compact"/>
      </w:pPr>
      <w:r>
        <w:t xml:space="preserve">Authority &amp; Liability Mapping—maps decision authority across people, vendors, jurisdictions</w:t>
      </w:r>
    </w:p>
    <w:p>
      <w:pPr>
        <w:numPr>
          <w:ilvl w:val="0"/>
          <w:numId w:val="1004"/>
        </w:numPr>
        <w:pStyle w:val="Compact"/>
      </w:pPr>
      <w:r>
        <w:t xml:space="preserve">Failure Propagation &amp; Blast-Radius Analysis—models failure spread beyond originating system</w:t>
      </w:r>
    </w:p>
    <w:p>
      <w:pPr>
        <w:numPr>
          <w:ilvl w:val="0"/>
          <w:numId w:val="1004"/>
        </w:numPr>
        <w:pStyle w:val="Compact"/>
      </w:pPr>
      <w:r>
        <w:t xml:space="preserve">Jurisdictional Exposure &amp; Enforcement Readiness—identifies where systems become illegal before operation</w:t>
      </w:r>
    </w:p>
    <w:p>
      <w:pPr>
        <w:numPr>
          <w:ilvl w:val="0"/>
          <w:numId w:val="1004"/>
        </w:numPr>
        <w:pStyle w:val="Compact"/>
      </w:pPr>
      <w:r>
        <w:t xml:space="preserve">Decision Defensibility Structuring—re-structures approvals to survive oath-level scrutiny</w:t>
      </w:r>
    </w:p>
    <w:p>
      <w:pPr>
        <w:numPr>
          <w:ilvl w:val="0"/>
          <w:numId w:val="1004"/>
        </w:numPr>
        <w:pStyle w:val="Compact"/>
      </w:pPr>
      <w:r>
        <w:t xml:space="preserve">Institutional Memory &amp; Accountability Continuity—ensures decisions remain defensible after leadership change</w:t>
      </w:r>
    </w:p>
    <w:p>
      <w:pPr>
        <w:numPr>
          <w:ilvl w:val="0"/>
          <w:numId w:val="1004"/>
        </w:numPr>
        <w:pStyle w:val="Compact"/>
      </w:pPr>
      <w:r>
        <w:t xml:space="preserve">Accreditation &amp; External Defensibility Signals—creates formal trust markers surviving pressure</w:t>
      </w:r>
    </w:p>
    <w:p>
      <w:pPr>
        <w:pStyle w:val="Heading2"/>
      </w:pPr>
      <w:bookmarkStart w:id="34" w:name="enforcement-architecture"/>
      <w:r>
        <w:t xml:space="preserve">Enforcement Architecture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Board-level refusal protocol: agenda items without PIAR procedurally invalid</w:t>
      </w:r>
    </w:p>
    <w:p>
      <w:pPr>
        <w:numPr>
          <w:ilvl w:val="0"/>
          <w:numId w:val="1005"/>
        </w:numPr>
        <w:pStyle w:val="Compact"/>
      </w:pPr>
      <w:r>
        <w:t xml:space="preserve">D&amp;O insurance integration: no PIAR = coverage weakened or voidable</w:t>
      </w:r>
    </w:p>
    <w:p>
      <w:pPr>
        <w:numPr>
          <w:ilvl w:val="0"/>
          <w:numId w:val="1005"/>
        </w:numPr>
        <w:pStyle w:val="Compact"/>
      </w:pPr>
      <w:r>
        <w:t xml:space="preserve">Regulator-safe codification: regulatory test question built in</w:t>
      </w:r>
    </w:p>
    <w:p>
      <w:pPr>
        <w:numPr>
          <w:ilvl w:val="0"/>
          <w:numId w:val="1005"/>
        </w:numPr>
        <w:pStyle w:val="Compact"/>
      </w:pPr>
      <w:r>
        <w:t xml:space="preserve">Override mechanism: requires written resolution accepting personal accountability (becomes evidence)</w:t>
      </w:r>
    </w:p>
    <w:p>
      <w:pPr>
        <w:numPr>
          <w:ilvl w:val="0"/>
          <w:numId w:val="1005"/>
        </w:numPr>
        <w:pStyle w:val="Compact"/>
      </w:pPr>
      <w:r>
        <w:t xml:space="preserve">Bypass consequence: logged as governance misconduct</w:t>
      </w:r>
    </w:p>
    <w:p>
      <w:pPr>
        <w:pStyle w:val="Heading2"/>
      </w:pPr>
      <w:bookmarkStart w:id="35" w:name="monopoly-analysis"/>
      <w:r>
        <w:t xml:space="preserve">Monopoly Analysis</w:t>
      </w:r>
      <w:bookmarkEnd w:id="35"/>
    </w:p>
    <w:p>
      <w:pPr>
        <w:pStyle w:val="FirstParagraph"/>
      </w:pPr>
      <w:r>
        <w:t xml:space="preserve">Frankmax is a functional monopoly—the only credible way to make irreversible, high-risk decisions defensible before they are made. Unique optimization axis: survivability under investigation. Non-bypassable without creating evidence of recklessness. Incumbents structurally conflicted (consultancies advise but cannot block, law firms opine but don’t design authority, auditors review post-incident).</w:t>
      </w:r>
    </w:p>
    <w:p>
      <w:pPr>
        <w:pStyle w:val="Heading2"/>
      </w:pPr>
      <w:bookmarkStart w:id="36" w:name="inevitability-drivers"/>
      <w:r>
        <w:t xml:space="preserve">Inevitability Drivers</w:t>
      </w:r>
      <w:bookmarkEnd w:id="36"/>
    </w:p>
    <w:p>
      <w:pPr>
        <w:pStyle w:val="FirstParagraph"/>
      </w:pPr>
      <w:r>
        <w:t>Three irreversible trends: (1) Decisions outlive decision-makers, (2) Failure assumed not exceptional, (3) Personal liability detached from organizational cover. Once boards/regulators ask “Was independent pre-incident accountability control applied?” and “no” is unacceptable—Frankmax becomes infrastructure.</w:t>
      </w:r>
    </w:p>
    <w:p>
      <w:pPr>
        <w:pStyle w:val="Heading2"/>
      </w:pPr>
      <w:bookmarkStart w:id="37" w:name="federation-model"/>
      <w:r>
        <w:t xml:space="preserve">Federation Model</w:t>
      </w:r>
      <w:bookmarkEnd w:id="37"/>
    </w:p>
    <w:p>
      <w:pPr>
        <w:pStyle w:val="FirstParagraph"/>
      </w:pPr>
      <w:r>
        <w:t xml:space="preserve">Scales like courts: one canonical standard globally, local Frankmax nodes (sovereign but bound), no global approval body, apex body = canon guardian not operator. Licensed operators (portable, protected), capacity constraints (preserves seriousness), anti-franchise rule (cannot be templated or automated).</w:t>
      </w:r>
    </w:p>
    <w:p>
      <w:pPr>
        <w:pStyle w:val="Heading2"/>
      </w:pPr>
      <w:bookmarkStart w:id="38" w:name="self-governance"/>
      <w:r>
        <w:t xml:space="preserve">Self-Governance</w:t>
      </w:r>
      <w:bookmarkEnd w:id="38"/>
    </w:p>
    <w:p>
      <w:pPr>
        <w:pStyle w:val="FirstParagraph"/>
      </w:pPr>
      <w:r>
        <w:t xml:space="preserve">One job/one liability, structural independence, non-removable core (judicial independence model), immutable decisions (append-only), duty to refuse, no emergency bypass, meta-review without control, cannot be scoped down, cannot be commoditized, termination creates evidence.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X55f6b50d485fb0d0e93ae5361785c87535d70a4"/>
      <w:r>
        <w:t xml:space="preserve">PART III — AINEF OS VENTURE PRODUCTION ARCHITECTURE</w:t>
      </w:r>
      <w:bookmarkEnd w:id="39"/>
    </w:p>
    <w:p>
      <w:pPr>
        <w:pStyle w:val="Heading2"/>
      </w:pPr>
      <w:bookmarkStart w:id="40" w:name="the-operating-system"/>
      <w:r>
        <w:t xml:space="preserve">The Operating System</w:t>
      </w:r>
      <w:bookmarkEnd w:id="40"/>
    </w:p>
    <w:p>
      <w:pPr>
        <w:pStyle w:val="FirstParagraph"/>
      </w:pPr>
      <w:r>
        <w:t xml:space="preserve">AINEF OS is NOT a bootcamp, venture studio, or incubator. It is controlled venture production infrastructure—analogous to a semiconductor fabrication plant. Four integrated layers: Levelupmax (talent refinery), Venture Cells (modular production pods), Capital Portfolio Engine (allocation discipline), and Infrastructure Layer (governance-driven auditability).</w:t>
      </w:r>
    </w:p>
    <w:p>
      <w:pPr>
        <w:pStyle w:val="Heading2"/>
      </w:pPr>
      <w:bookmarkStart w:id="41" w:name="layer-platform-architecture"/>
      <w:r>
        <w:t xml:space="preserve">9-Layer Platform Architecture</w:t>
      </w:r>
      <w:bookmarkEnd w:id="41"/>
    </w:p>
    <w:p>
      <w:pPr>
        <w:numPr>
          <w:ilvl w:val="0"/>
          <w:numId w:val="1006"/>
        </w:numPr>
        <w:pStyle w:val="Compact"/>
      </w:pPr>
      <w:r>
        <w:t xml:space="preserve">Layer 0—Core Principles: Capital discipline first, revenue before expansion, kill discipline enforced, policy &gt; personality</w:t>
      </w:r>
    </w:p>
    <w:p>
      <w:pPr>
        <w:numPr>
          <w:ilvl w:val="0"/>
          <w:numId w:val="1006"/>
        </w:numPr>
        <w:pStyle w:val="Compact"/>
      </w:pPr>
      <w:r>
        <w:t xml:space="preserve">Layer 1—Infrastructure Substrate: Kubernetes, namespace isolation, observability, security baseline</w:t>
      </w:r>
    </w:p>
    <w:p>
      <w:pPr>
        <w:numPr>
          <w:ilvl w:val="0"/>
          <w:numId w:val="1006"/>
        </w:numPr>
        <w:pStyle w:val="Compact"/>
      </w:pPr>
      <w:r>
        <w:t xml:space="preserve">Layer 2—Data &amp; Memory Layer: Workflow datasets, decision audit trails, outcome correlations, operator performance data</w:t>
      </w:r>
    </w:p>
    <w:p>
      <w:pPr>
        <w:numPr>
          <w:ilvl w:val="0"/>
          <w:numId w:val="1006"/>
        </w:numPr>
        <w:pStyle w:val="Compact"/>
      </w:pPr>
      <w:r>
        <w:t xml:space="preserve">Layer 3—Policy &amp; Governance Engine: Capital allocation rules, authority matrix, risk scoring, kill triggers</w:t>
      </w:r>
    </w:p>
    <w:p>
      <w:pPr>
        <w:numPr>
          <w:ilvl w:val="0"/>
          <w:numId w:val="1006"/>
        </w:numPr>
        <w:pStyle w:val="Compact"/>
      </w:pPr>
      <w:r>
        <w:t xml:space="preserve">Layer 4—AI Agent Framework: Role primitives, decision boundaries, escalation triggers, confidence scoring</w:t>
      </w:r>
    </w:p>
    <w:p>
      <w:pPr>
        <w:numPr>
          <w:ilvl w:val="0"/>
          <w:numId w:val="1006"/>
        </w:numPr>
        <w:pStyle w:val="Compact"/>
      </w:pPr>
      <w:r>
        <w:t xml:space="preserve">Layer 5—Venture Cell Module: Sprint structure, revenue validation, KPI dashboard</w:t>
      </w:r>
    </w:p>
    <w:p>
      <w:pPr>
        <w:numPr>
          <w:ilvl w:val="0"/>
          <w:numId w:val="1006"/>
        </w:numPr>
        <w:pStyle w:val="Compact"/>
      </w:pPr>
      <w:r>
        <w:t xml:space="preserve">Layer 6—Talent Refinery Module: Screening, immersion, deployment matching, performance tracking</w:t>
      </w:r>
    </w:p>
    <w:p>
      <w:pPr>
        <w:numPr>
          <w:ilvl w:val="0"/>
          <w:numId w:val="1006"/>
        </w:numPr>
        <w:pStyle w:val="Compact"/>
      </w:pPr>
      <w:r>
        <w:t xml:space="preserve">Layer 7—Capital Portfolio Engine: Budget per cell, milestone gating, exposure limits</w:t>
      </w:r>
    </w:p>
    <w:p>
      <w:pPr>
        <w:numPr>
          <w:ilvl w:val="0"/>
          <w:numId w:val="1006"/>
        </w:numPr>
        <w:pStyle w:val="Compact"/>
      </w:pPr>
      <w:r>
        <w:t xml:space="preserve">Layer 8—Learning &amp; Evolution Engine: Decision accuracy scoring, pattern extraction, policy refinement</w:t>
      </w:r>
    </w:p>
    <w:p>
      <w:pPr>
        <w:pStyle w:val="Heading2"/>
      </w:pPr>
      <w:bookmarkStart w:id="42" w:name="venture-cell-architecture"/>
      <w:r>
        <w:t xml:space="preserve">Venture Cell Architecture</w:t>
      </w:r>
      <w:bookmarkEnd w:id="42"/>
    </w:p>
    <w:p>
      <w:pPr>
        <w:pStyle w:val="FirstParagraph"/>
      </w:pPr>
      <w:r>
        <w:t xml:space="preserve">Bounded production units with defined market interface, revenue model, governance envelope, capital allocation limit, and operator roster. Three types: Revenue Cells (external clients), Infrastructure Cells (internal capabilities), Capital Deployment Cells (controlled experiments). Optimal size: 3-5 operators. Kill threshold: no paid signal by Day 90.</w:t>
      </w:r>
    </w:p>
    <w:p>
      <w:pPr>
        <w:pStyle w:val="Heading2"/>
      </w:pPr>
      <w:bookmarkStart w:id="43" w:name="stage-sovereign-venture-lifecycle"/>
      <w:r>
        <w:t xml:space="preserve">11-Stage Sovereign Venture Lifecycle</w:t>
      </w:r>
      <w:bookmarkEnd w:id="43"/>
    </w:p>
    <w:p>
      <w:pPr>
        <w:numPr>
          <w:ilvl w:val="0"/>
          <w:numId w:val="1007"/>
        </w:numPr>
        <w:pStyle w:val="Compact"/>
      </w:pPr>
      <w:r>
        <w:t xml:space="preserve">Stage 0: Market Thesis &amp; Capital Envelope Definition</w:t>
      </w:r>
    </w:p>
    <w:p>
      <w:pPr>
        <w:numPr>
          <w:ilvl w:val="0"/>
          <w:numId w:val="1007"/>
        </w:numPr>
        <w:pStyle w:val="Compact"/>
      </w:pPr>
      <w:r>
        <w:t xml:space="preserve">Stage 1: Controlled Talent Intake</w:t>
      </w:r>
    </w:p>
    <w:p>
      <w:pPr>
        <w:numPr>
          <w:ilvl w:val="0"/>
          <w:numId w:val="1007"/>
        </w:numPr>
        <w:pStyle w:val="Compact"/>
      </w:pPr>
      <w:r>
        <w:t xml:space="preserve">Stage 2: Operator Refinery (Tiering)</w:t>
      </w:r>
    </w:p>
    <w:p>
      <w:pPr>
        <w:numPr>
          <w:ilvl w:val="0"/>
          <w:numId w:val="1007"/>
        </w:numPr>
        <w:pStyle w:val="Compact"/>
      </w:pPr>
      <w:r>
        <w:t xml:space="preserve">Stage 3: Market Engineering Phase (150-300 prospects, 20+ discovery calls)</w:t>
      </w:r>
    </w:p>
    <w:p>
      <w:pPr>
        <w:numPr>
          <w:ilvl w:val="0"/>
          <w:numId w:val="1007"/>
        </w:numPr>
        <w:pStyle w:val="Compact"/>
      </w:pPr>
      <w:r>
        <w:t xml:space="preserve">Stage 4: Micro Venture Cell Launch (60-90 day validation)</w:t>
      </w:r>
    </w:p>
    <w:p>
      <w:pPr>
        <w:numPr>
          <w:ilvl w:val="0"/>
          <w:numId w:val="1007"/>
        </w:numPr>
        <w:pStyle w:val="Compact"/>
      </w:pPr>
      <w:r>
        <w:t xml:space="preserve">Stage 5: Portfolio Engine (Kill, Clone, Merge, Promote decisions)</w:t>
      </w:r>
    </w:p>
    <w:p>
      <w:pPr>
        <w:numPr>
          <w:ilvl w:val="0"/>
          <w:numId w:val="1007"/>
        </w:numPr>
        <w:pStyle w:val="Compact"/>
      </w:pPr>
      <w:r>
        <w:t xml:space="preserve">Stage 6: Institutional IP Capture</w:t>
      </w:r>
    </w:p>
    <w:p>
      <w:pPr>
        <w:numPr>
          <w:ilvl w:val="0"/>
          <w:numId w:val="1007"/>
        </w:numPr>
        <w:pStyle w:val="Compact"/>
      </w:pPr>
      <w:r>
        <w:t xml:space="preserve">Stage 7: Rotational Governance Program</w:t>
      </w:r>
    </w:p>
    <w:p>
      <w:pPr>
        <w:numPr>
          <w:ilvl w:val="0"/>
          <w:numId w:val="1007"/>
        </w:numPr>
        <w:pStyle w:val="Compact"/>
      </w:pPr>
      <w:r>
        <w:t xml:space="preserve">Stage 8: Spinout Qualification Gate</w:t>
      </w:r>
    </w:p>
    <w:p>
      <w:pPr>
        <w:numPr>
          <w:ilvl w:val="0"/>
          <w:numId w:val="1007"/>
        </w:numPr>
        <w:pStyle w:val="Compact"/>
      </w:pPr>
      <w:r>
        <w:t xml:space="preserve">Stage 9: Corporate Venture Incubation</w:t>
      </w:r>
    </w:p>
    <w:p>
      <w:pPr>
        <w:numPr>
          <w:ilvl w:val="0"/>
          <w:numId w:val="1007"/>
        </w:numPr>
        <w:pStyle w:val="Compact"/>
      </w:pPr>
      <w:r>
        <w:t xml:space="preserve">Stage 10: Geographic Replication (after proof only)</w:t>
      </w:r>
    </w:p>
    <w:p>
      <w:pPr>
        <w:numPr>
          <w:ilvl w:val="0"/>
          <w:numId w:val="1007"/>
        </w:numPr>
        <w:pStyle w:val="Compact"/>
      </w:pPr>
      <w:r>
        <w:t xml:space="preserve">Stage 11: Continuous Learning &amp; Risk Containment</w:t>
      </w:r>
    </w:p>
    <w:p>
      <w:pPr>
        <w:pStyle w:val="Heading2"/>
      </w:pPr>
      <w:bookmarkStart w:id="44" w:name="cell-economics-6-month-target"/>
      <w:r>
        <w:t xml:space="preserve">Cell Economics (6-Month Target)</w:t>
      </w:r>
      <w:bookmarkEnd w:id="44"/>
    </w:p>
    <w:p>
      <w:pPr>
        <w:pStyle w:val="FirstParagraph"/>
      </w:pPr>
      <w:r>
        <w:t xml:space="preserve">300 qualified prospects, 20-30 discovery calls, 6-8 proposals, 6-9 customers closed, $12K average sprint fee, ~$100K total revenue, ~$48K operating costs, ~$52K surplus, ~52% margin.</w:t>
      </w:r>
    </w:p>
    <w:p>
      <w:pPr>
        <w:pStyle w:val="Heading2"/>
      </w:pPr>
      <w:bookmarkStart w:id="45" w:name="micro-cell-portfolio-model"/>
      <w:r>
        <w:t xml:space="preserve">Micro-Cell Portfolio Model</w:t>
      </w:r>
      <w:bookmarkEnd w:id="45"/>
    </w:p>
    <w:p>
      <w:pPr>
        <w:pStyle w:val="FirstParagraph"/>
      </w:pPr>
      <w:r>
        <w:t xml:space="preserve">10 cells x 5 people = $1M annual revenue. 50% margin = $500K deployable surplus. No cell exceeds 5 operators without spin-out. Distributed resilience over centralized size.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part-iv-levelupmax-talent-refinery"/>
      <w:r>
        <w:t xml:space="preserve">PART IV — LEVELUPMAX TALENT REFINERY</w:t>
      </w:r>
      <w:bookmarkEnd w:id="46"/>
    </w:p>
    <w:p>
      <w:pPr>
        <w:pStyle w:val="Heading2"/>
      </w:pPr>
      <w:bookmarkStart w:id="47" w:name="core-function"/>
      <w:r>
        <w:t xml:space="preserve">Core Function</w:t>
      </w:r>
      <w:bookmarkEnd w:id="47"/>
    </w:p>
    <w:p>
      <w:pPr>
        <w:pStyle w:val="FirstParagraph"/>
      </w:pPr>
      <w:r>
        <w:t xml:space="preserve">Controlled talent refinery converting raw ambition into governed execution capacity. NOT education, NOT community, NOT bootcamp with certificates. IS a capability filter, signal extraction engine, and licensed operator refinery (mimicking aviation, law, medicine licensing models).</w:t>
      </w:r>
    </w:p>
    <w:p>
      <w:pPr>
        <w:pStyle w:val="Heading2"/>
      </w:pPr>
      <w:bookmarkStart w:id="48" w:name="six-stage-operator-progression"/>
      <w:r>
        <w:t xml:space="preserve">Six-Stage Operator Progression</w:t>
      </w:r>
      <w:bookmarkEnd w:id="48"/>
    </w:p>
    <w:p>
      <w:pPr>
        <w:numPr>
          <w:ilvl w:val="0"/>
          <w:numId w:val="1008"/>
        </w:numPr>
        <w:pStyle w:val="Compact"/>
      </w:pPr>
      <w:r>
        <w:t xml:space="preserve">Filter</w:t>
      </w:r>
    </w:p>
    <w:p>
      <w:pPr>
        <w:numPr>
          <w:ilvl w:val="0"/>
          <w:numId w:val="1008"/>
        </w:numPr>
        <w:pStyle w:val="Compact"/>
      </w:pPr>
      <w:r>
        <w:t xml:space="preserve">Observe</w:t>
      </w:r>
    </w:p>
    <w:p>
      <w:pPr>
        <w:numPr>
          <w:ilvl w:val="0"/>
          <w:numId w:val="1008"/>
        </w:numPr>
        <w:pStyle w:val="Compact"/>
      </w:pPr>
      <w:r>
        <w:t xml:space="preserve">Assist</w:t>
      </w:r>
    </w:p>
    <w:p>
      <w:pPr>
        <w:numPr>
          <w:ilvl w:val="0"/>
          <w:numId w:val="1008"/>
        </w:numPr>
        <w:pStyle w:val="Compact"/>
      </w:pPr>
      <w:r>
        <w:t xml:space="preserve">Execute (bounded)</w:t>
      </w:r>
    </w:p>
    <w:p>
      <w:pPr>
        <w:numPr>
          <w:ilvl w:val="0"/>
          <w:numId w:val="1008"/>
        </w:numPr>
        <w:pStyle w:val="Compact"/>
      </w:pPr>
      <w:r>
        <w:t xml:space="preserve">Execute (autonomous)</w:t>
      </w:r>
    </w:p>
    <w:p>
      <w:pPr>
        <w:numPr>
          <w:ilvl w:val="0"/>
          <w:numId w:val="1008"/>
        </w:numPr>
        <w:pStyle w:val="Compact"/>
      </w:pPr>
      <w:r>
        <w:t xml:space="preserve">Govern / Allocate Capital</w:t>
      </w:r>
    </w:p>
    <w:p>
      <w:pPr>
        <w:pStyle w:val="Heading2"/>
      </w:pPr>
      <w:bookmarkStart w:id="49" w:name="training-tracks"/>
      <w:r>
        <w:t xml:space="preserve">10 Training Tracks</w:t>
      </w:r>
      <w:bookmarkEnd w:id="49"/>
    </w:p>
    <w:p>
      <w:pPr>
        <w:numPr>
          <w:ilvl w:val="0"/>
          <w:numId w:val="1009"/>
        </w:numPr>
        <w:pStyle w:val="Compact"/>
      </w:pPr>
      <w:r>
        <w:t xml:space="preserve">Core Operations &amp; Workflow Automation</w:t>
      </w:r>
    </w:p>
    <w:p>
      <w:pPr>
        <w:numPr>
          <w:ilvl w:val="0"/>
          <w:numId w:val="1009"/>
        </w:numPr>
        <w:pStyle w:val="Compact"/>
      </w:pPr>
      <w:r>
        <w:t xml:space="preserve">Enterprise Integration &amp; Operations</w:t>
      </w:r>
    </w:p>
    <w:p>
      <w:pPr>
        <w:numPr>
          <w:ilvl w:val="0"/>
          <w:numId w:val="1009"/>
        </w:numPr>
        <w:pStyle w:val="Compact"/>
      </w:pPr>
      <w:r>
        <w:t xml:space="preserve">Business Process Optimization</w:t>
      </w:r>
    </w:p>
    <w:p>
      <w:pPr>
        <w:numPr>
          <w:ilvl w:val="0"/>
          <w:numId w:val="1009"/>
        </w:numPr>
        <w:pStyle w:val="Compact"/>
      </w:pPr>
      <w:r>
        <w:t xml:space="preserve">AI Engineering &amp; Systems Architect (Technical - Selective)</w:t>
      </w:r>
    </w:p>
    <w:p>
      <w:pPr>
        <w:numPr>
          <w:ilvl w:val="0"/>
          <w:numId w:val="1009"/>
        </w:numPr>
        <w:pStyle w:val="Compact"/>
      </w:pPr>
      <w:r>
        <w:t xml:space="preserve">Capital Structuring &amp; Venture Operations</w:t>
      </w:r>
    </w:p>
    <w:p>
      <w:pPr>
        <w:numPr>
          <w:ilvl w:val="0"/>
          <w:numId w:val="1009"/>
        </w:numPr>
        <w:pStyle w:val="Compact"/>
      </w:pPr>
      <w:r>
        <w:t xml:space="preserve">Governance &amp; Risk Engineering</w:t>
      </w:r>
    </w:p>
    <w:p>
      <w:pPr>
        <w:numPr>
          <w:ilvl w:val="0"/>
          <w:numId w:val="1009"/>
        </w:numPr>
        <w:pStyle w:val="Compact"/>
      </w:pPr>
      <w:r>
        <w:t xml:space="preserve">Regulated Domain Deployment</w:t>
      </w:r>
    </w:p>
    <w:p>
      <w:pPr>
        <w:numPr>
          <w:ilvl w:val="0"/>
          <w:numId w:val="1009"/>
        </w:numPr>
        <w:pStyle w:val="Compact"/>
      </w:pPr>
      <w:r>
        <w:t xml:space="preserve">Venture Instantiation</w:t>
      </w:r>
    </w:p>
    <w:p>
      <w:pPr>
        <w:numPr>
          <w:ilvl w:val="0"/>
          <w:numId w:val="1009"/>
        </w:numPr>
        <w:pStyle w:val="Compact"/>
      </w:pPr>
      <w:r>
        <w:t xml:space="preserve">Authority Tier Progression</w:t>
      </w:r>
    </w:p>
    <w:p>
      <w:pPr>
        <w:numPr>
          <w:ilvl w:val="0"/>
          <w:numId w:val="1009"/>
        </w:numPr>
        <w:pStyle w:val="Compact"/>
      </w:pPr>
      <w:r>
        <w:t xml:space="preserve">Production Readiness Certification</w:t>
      </w:r>
    </w:p>
    <w:p>
      <w:pPr>
        <w:pStyle w:val="Heading2"/>
      </w:pPr>
      <w:bookmarkStart w:id="50" w:name="authority-tier-system-5-levels"/>
      <w:r>
        <w:t xml:space="preserve">Authority Tier System (5 Levels)</w:t>
      </w:r>
      <w:bookmarkEnd w:id="50"/>
    </w:p>
    <w:p>
      <w:pPr>
        <w:numPr>
          <w:ilvl w:val="0"/>
          <w:numId w:val="1010"/>
        </w:numPr>
        <w:pStyle w:val="Compact"/>
      </w:pPr>
      <w:r>
        <w:t xml:space="preserve">Tier 1 (40% of population): Foundation Operators—negative or breakeven, minimal authority</w:t>
      </w:r>
    </w:p>
    <w:p>
      <w:pPr>
        <w:numPr>
          <w:ilvl w:val="0"/>
          <w:numId w:val="1010"/>
        </w:numPr>
        <w:pStyle w:val="Compact"/>
      </w:pPr>
      <w:r>
        <w:t xml:space="preserve">Tier 2 (30%): Standard Operators—modest positive, limited autonomous decision authority</w:t>
      </w:r>
    </w:p>
    <w:p>
      <w:pPr>
        <w:numPr>
          <w:ilvl w:val="0"/>
          <w:numId w:val="1010"/>
        </w:numPr>
        <w:pStyle w:val="Compact"/>
      </w:pPr>
      <w:r>
        <w:t xml:space="preserve">Tier 3 (20%): Senior Operators—strong positive, expanded authority, supervise Tiers 1-2</w:t>
      </w:r>
    </w:p>
    <w:p>
      <w:pPr>
        <w:numPr>
          <w:ilvl w:val="0"/>
          <w:numId w:val="1010"/>
        </w:numPr>
        <w:pStyle w:val="Compact"/>
      </w:pPr>
      <w:r>
        <w:t xml:space="preserve">Tier 4 (8%): Principal Operators—high leverage, capital allocation authority</w:t>
      </w:r>
    </w:p>
    <w:p>
      <w:pPr>
        <w:numPr>
          <w:ilvl w:val="0"/>
          <w:numId w:val="1010"/>
        </w:numPr>
        <w:pStyle w:val="Compact"/>
      </w:pPr>
      <w:r>
        <w:t xml:space="preserve">Tier 5 (2%): Structural Profit Drivers—design governance architecture, manage capital pools</w:t>
      </w:r>
    </w:p>
    <w:p>
      <w:pPr>
        <w:pStyle w:val="Heading2"/>
      </w:pPr>
      <w:bookmarkStart w:id="51" w:name="compensation-architecture"/>
      <w:r>
        <w:t xml:space="preserve">Compensation Architecture</w:t>
      </w:r>
      <w:bookmarkEnd w:id="51"/>
    </w:p>
    <w:p>
      <w:pPr>
        <w:numPr>
          <w:ilvl w:val="0"/>
          <w:numId w:val="1011"/>
        </w:numPr>
        <w:pStyle w:val="Compact"/>
      </w:pPr>
      <w:r>
        <w:t xml:space="preserve">Phase 0 (Bootcamp, 30-90 days): No compensation (filter, not employment)</w:t>
      </w:r>
    </w:p>
    <w:p>
      <w:pPr>
        <w:numPr>
          <w:ilvl w:val="0"/>
          <w:numId w:val="1011"/>
        </w:numPr>
        <w:pStyle w:val="Compact"/>
      </w:pPr>
      <w:r>
        <w:t xml:space="preserve">Phase 1 (Tier 0 Observer): No compensation</w:t>
      </w:r>
    </w:p>
    <w:p>
      <w:pPr>
        <w:numPr>
          <w:ilvl w:val="0"/>
          <w:numId w:val="1011"/>
        </w:numPr>
        <w:pStyle w:val="Compact"/>
      </w:pPr>
      <w:r>
        <w:t xml:space="preserve">Phase 2 (Tier 1 Assisted): $800-$2,000/month + variable ($0.20-$0.50 per claim equivalent)</w:t>
      </w:r>
    </w:p>
    <w:p>
      <w:pPr>
        <w:numPr>
          <w:ilvl w:val="0"/>
          <w:numId w:val="1011"/>
        </w:numPr>
        <w:pStyle w:val="Compact"/>
      </w:pPr>
      <w:r>
        <w:t xml:space="preserve">Phase 3 (Tier 2 Bounded): $2,000-$4,000/month + variable ($0.60-$1.20 per claim)</w:t>
      </w:r>
    </w:p>
    <w:p>
      <w:pPr>
        <w:numPr>
          <w:ilvl w:val="0"/>
          <w:numId w:val="1011"/>
        </w:numPr>
        <w:pStyle w:val="Compact"/>
      </w:pPr>
      <w:r>
        <w:t xml:space="preserve">Phase 4 (Tier 3 Autonomous): $4,000-$8,000/month ($80K-$150K annual equivalent)</w:t>
      </w:r>
    </w:p>
    <w:p>
      <w:pPr>
        <w:numPr>
          <w:ilvl w:val="0"/>
          <w:numId w:val="1011"/>
        </w:numPr>
        <w:pStyle w:val="Compact"/>
      </w:pPr>
      <w:r>
        <w:t xml:space="preserve">Phase 5 (Tier 4 Governance): $90K-$160K annual equivalent</w:t>
      </w:r>
    </w:p>
    <w:p>
      <w:pPr>
        <w:numPr>
          <w:ilvl w:val="0"/>
          <w:numId w:val="1011"/>
        </w:numPr>
        <w:pStyle w:val="Compact"/>
      </w:pPr>
      <w:r>
        <w:t xml:space="preserve">Phase 6 (Tier 5 Capital): $120K-$200K equivalent + long-term equity (5-7 year vesting)</w:t>
      </w:r>
    </w:p>
    <w:p>
      <w:pPr>
        <w:pStyle w:val="Heading2"/>
      </w:pPr>
      <w:bookmarkStart w:id="52" w:name="pricing"/>
      <w:r>
        <w:t xml:space="preserve">Pricing</w:t>
      </w:r>
      <w:bookmarkEnd w:id="52"/>
    </w:p>
    <w:p>
      <w:pPr>
        <w:numPr>
          <w:ilvl w:val="0"/>
          <w:numId w:val="1012"/>
        </w:numPr>
        <w:pStyle w:val="Compact"/>
      </w:pPr>
      <w:r>
        <w:t xml:space="preserve">Standard Track: $1,000-$1,500 per participant</w:t>
      </w:r>
    </w:p>
    <w:p>
      <w:pPr>
        <w:numPr>
          <w:ilvl w:val="0"/>
          <w:numId w:val="1012"/>
        </w:numPr>
        <w:pStyle w:val="Compact"/>
      </w:pPr>
      <w:r>
        <w:t xml:space="preserve">Technical Track: $1,200-$1,500 per participant</w:t>
      </w:r>
    </w:p>
    <w:p>
      <w:pPr>
        <w:numPr>
          <w:ilvl w:val="0"/>
          <w:numId w:val="1012"/>
        </w:numPr>
        <w:pStyle w:val="Compact"/>
      </w:pPr>
      <w:r>
        <w:t xml:space="preserve">30-Day Program (India): INR 75,000 per participant</w:t>
      </w:r>
    </w:p>
    <w:p>
      <w:pPr>
        <w:numPr>
          <w:ilvl w:val="0"/>
          <w:numId w:val="1012"/>
        </w:numPr>
        <w:pStyle w:val="Compact"/>
      </w:pPr>
      <w:r>
        <w:t xml:space="preserve">90-Day Program: $3,000-$6,000 per participant</w:t>
      </w:r>
    </w:p>
    <w:p>
      <w:pPr>
        <w:numPr>
          <w:ilvl w:val="0"/>
          <w:numId w:val="1012"/>
        </w:numPr>
        <w:pStyle w:val="Compact"/>
      </w:pPr>
      <w:r>
        <w:t xml:space="preserve">Cohort size: 25-60 participants</w:t>
      </w:r>
    </w:p>
    <w:p>
      <w:pPr>
        <w:numPr>
          <w:ilvl w:val="0"/>
          <w:numId w:val="1012"/>
        </w:numPr>
        <w:pStyle w:val="Compact"/>
      </w:pPr>
      <w:r>
        <w:t xml:space="preserve">Attrition target: 25-40% failure rate maintained</w:t>
      </w:r>
    </w:p>
    <w:p>
      <w:pPr>
        <w:pStyle w:val="Heading2"/>
      </w:pPr>
      <w:bookmarkStart w:id="53" w:name="supervision-scaling-must-be-sublinear"/>
      <w:r>
        <w:t xml:space="preserve">Supervision Scaling (Must Be Sublinear)</w:t>
      </w:r>
      <w:bookmarkEnd w:id="53"/>
    </w:p>
    <w:p>
      <w:pPr>
        <w:numPr>
          <w:ilvl w:val="0"/>
          <w:numId w:val="1013"/>
        </w:numPr>
        <w:pStyle w:val="Compact"/>
      </w:pPr>
      <w:r>
        <w:t xml:space="preserve">100 operators: ~10 supervisors</w:t>
      </w:r>
    </w:p>
    <w:p>
      <w:pPr>
        <w:numPr>
          <w:ilvl w:val="0"/>
          <w:numId w:val="1013"/>
        </w:numPr>
        <w:pStyle w:val="Compact"/>
      </w:pPr>
      <w:r>
        <w:t xml:space="preserve">1,000 operators: ~40 supervisors (not 100)</w:t>
      </w:r>
    </w:p>
    <w:p>
      <w:pPr>
        <w:numPr>
          <w:ilvl w:val="0"/>
          <w:numId w:val="1013"/>
        </w:numPr>
        <w:pStyle w:val="Compact"/>
      </w:pPr>
      <w:r>
        <w:t xml:space="preserve">10,000 operators: ~120 supervisors (not 1,000)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4" w:name="part-v-revenue-sequencing-plan"/>
      <w:r>
        <w:t xml:space="preserve">PART V — REVENUE SEQUENCING PLAN</w:t>
      </w:r>
      <w:bookmarkEnd w:id="54"/>
    </w:p>
    <w:p>
      <w:pPr>
        <w:pStyle w:val="Heading2"/>
      </w:pPr>
      <w:bookmarkStart w:id="55" w:name="tier-aimmediate-revenue-0-90-days"/>
      <w:r>
        <w:t xml:space="preserve">Tier A—Immediate Revenue (0-90 Days)</w:t>
      </w:r>
      <w:bookmarkEnd w:id="55"/>
    </w:p>
    <w:p>
      <w:pPr>
        <w:pStyle w:val="Heading3"/>
      </w:pPr>
      <w:bookmarkStart w:id="56" w:name="X199418d9b61ef668c47cc40b8be67c78e04eae8"/>
      <w:r>
        <w:t xml:space="preserve">Billing Leakage &amp; Contract Reconciliation Engine</w:t>
      </w:r>
      <w:bookmarkEnd w:id="56"/>
    </w:p>
    <w:p>
      <w:pPr>
        <w:pStyle w:val="FirstParagraph"/>
      </w:pPr>
      <w:r>
        <w:t>Buyer: CFO in Professional Services, SaaS, or Logistics. Pain: 2-6% revenue leakage. Revenue: % of recovered revenue OR $20k-$40k implementation + $5k/month. Assessment: “Fastest defensible enterprise wedge.”</w:t>
      </w:r>
    </w:p>
    <w:p>
      <w:pPr>
        <w:pStyle w:val="Heading3"/>
      </w:pPr>
      <w:bookmarkStart w:id="57" w:name="X0ed43ac395781d44efea3dec74c081b83dea651"/>
      <w:r>
        <w:t xml:space="preserve">Revenue-Weighted Chokepoint Intelligence Generator</w:t>
      </w:r>
      <w:bookmarkEnd w:id="57"/>
    </w:p>
    <w:p>
      <w:pPr>
        <w:pStyle w:val="FirstParagraph"/>
      </w:pPr>
      <w:r>
        <w:t xml:space="preserve">Buyer: Founder/COO in mid-market companies. Revenue: $15k-$30k diagnostic sprint. Complexity: Low.</w:t>
      </w:r>
    </w:p>
    <w:p>
      <w:pPr>
        <w:pStyle w:val="Heading3"/>
      </w:pPr>
      <w:bookmarkStart w:id="58" w:name="day-levelupmax-operator-track"/>
      <w:r>
        <w:t xml:space="preserve">30-Day LevelUpMax Operator Track</w:t>
      </w:r>
      <w:bookmarkEnd w:id="58"/>
    </w:p>
    <w:p>
      <w:pPr>
        <w:pStyle w:val="FirstParagraph"/>
      </w:pPr>
      <w:r>
        <w:t xml:space="preserve">Revenue: $2,500-$5,000 per participant (or INR 75,000 in India market). Time-to-Revenue: 0-30 days.</w:t>
      </w:r>
    </w:p>
    <w:p>
      <w:pPr>
        <w:pStyle w:val="Heading3"/>
      </w:pPr>
      <w:bookmarkStart w:id="59" w:name="docuflow-agent-micro-saas-mvp"/>
      <w:r>
        <w:t xml:space="preserve">DocuFlow Agent (Micro-SaaS MVP)</w:t>
      </w:r>
      <w:bookmarkEnd w:id="59"/>
    </w:p>
    <w:p>
      <w:pPr>
        <w:pStyle w:val="FirstParagraph"/>
      </w:pPr>
      <w:r>
        <w:t xml:space="preserve">Target: Consultants, legal, coaches, accountants. Revenue: $19/mo unlimited OR $2/document OR $49/mo Pro.</w:t>
      </w:r>
    </w:p>
    <w:p>
      <w:pPr>
        <w:pStyle w:val="Heading2"/>
      </w:pPr>
      <w:bookmarkStart w:id="60" w:name="tier-bmid-term-revenue-90-180-days"/>
      <w:r>
        <w:t xml:space="preserve">Tier B—Mid-Term Revenue (90-180 Days)</w:t>
      </w:r>
      <w:bookmarkEnd w:id="60"/>
    </w:p>
    <w:p>
      <w:pPr>
        <w:pStyle w:val="FirstParagraph"/>
      </w:pPr>
      <w:r>
        <w:t xml:space="preserve">Agent-Based Micro-SaaS products, Knowledge-Worker Copilot, Contract Analyzer Agent, Insurance Claims Processing ($3-$7 per claim, $150K-$350K annual per carrier at 50K claims).</w:t>
      </w:r>
    </w:p>
    <w:p>
      <w:pPr>
        <w:pStyle w:val="Heading3"/>
      </w:pPr>
      <w:bookmarkStart w:id="61" w:name="insurance-claims-wedge-detailed"/>
      <w:r>
        <w:t xml:space="preserve">Insurance Claims Wedge (Detailed)</w:t>
      </w:r>
      <w:bookmarkEnd w:id="61"/>
    </w:p>
    <w:p>
      <w:pPr>
        <w:pStyle w:val="FirstParagraph"/>
      </w:pPr>
      <w:r>
        <w:t xml:space="preserve">Target: FNOL to low-complexity claims approval (&lt;$5,000). Claims per operator per year: ~12,000. Revenue at 50K claims/year: $150K-$350K per carrier. At 250K claims: $750K-$1.75M. At 1.25M claims: $3.75M-$8.75M. False approval target: &lt;2%. Fraud leakage reduction: 35%. Processing speed improvement: 40% faster.</w:t>
      </w:r>
    </w:p>
    <w:p>
      <w:pPr>
        <w:pStyle w:val="Heading2"/>
      </w:pPr>
      <w:bookmarkStart w:id="62" w:name="day-revenue-capture-roadmap"/>
      <w:r>
        <w:t xml:space="preserve">90-Day Revenue Capture Roadmap</w:t>
      </w:r>
      <w:bookmarkEnd w:id="62"/>
    </w:p>
    <w:p>
      <w:pPr>
        <w:numPr>
          <w:ilvl w:val="0"/>
          <w:numId w:val="1014"/>
        </w:numPr>
        <w:pStyle w:val="Compact"/>
      </w:pPr>
      <w:r>
        <w:t xml:space="preserve">Weeks 1-2: Build DocuFlow Agent MVP, define narrow problem, test with 3-5 users</w:t>
      </w:r>
    </w:p>
    <w:p>
      <w:pPr>
        <w:numPr>
          <w:ilvl w:val="0"/>
          <w:numId w:val="1014"/>
        </w:numPr>
        <w:pStyle w:val="Compact"/>
      </w:pPr>
      <w:r>
        <w:t xml:space="preserve">Weeks 3-4: Launch on Reddit/LinkedIn, offer free trials, iterate on quality</w:t>
      </w:r>
    </w:p>
    <w:p>
      <w:pPr>
        <w:numPr>
          <w:ilvl w:val="0"/>
          <w:numId w:val="1014"/>
        </w:numPr>
        <w:pStyle w:val="Compact"/>
      </w:pPr>
      <w:r>
        <w:t xml:space="preserve">Weeks 5-8: Add subscription model, onboard paying customers, begin Billing Leakage Engine development</w:t>
      </w:r>
    </w:p>
    <w:p>
      <w:pPr>
        <w:numPr>
          <w:ilvl w:val="0"/>
          <w:numId w:val="1014"/>
        </w:numPr>
        <w:pStyle w:val="Compact"/>
      </w:pPr>
      <w:r>
        <w:t xml:space="preserve">Weeks 9-12: Scale DocuFlow to 50+ users, deliver first Chokepoint diagnostic sprint, launch Operator Track cohort</w:t>
      </w:r>
    </w:p>
    <w:p>
      <w:pPr>
        <w:pStyle w:val="Heading2"/>
      </w:pPr>
      <w:bookmarkStart w:id="63" w:name="revenue-velocity-classification"/>
      <w:r>
        <w:t xml:space="preserve">Revenue Velocity Classification</w:t>
      </w:r>
      <w:bookmarkEnd w:id="63"/>
    </w:p>
    <w:p>
      <w:pPr>
        <w:numPr>
          <w:ilvl w:val="0"/>
          <w:numId w:val="1015"/>
        </w:numPr>
        <w:pStyle w:val="Compact"/>
      </w:pPr>
      <w:r>
        <w:t xml:space="preserve">Category A (2-6 week close): Survival risk, compliance, cash protection—$10K-$25K deals</w:t>
      </w:r>
    </w:p>
    <w:p>
      <w:pPr>
        <w:numPr>
          <w:ilvl w:val="0"/>
          <w:numId w:val="1015"/>
        </w:numPr>
        <w:pStyle w:val="Compact"/>
      </w:pPr>
      <w:r>
        <w:t xml:space="preserve">Category B (4-10 weeks): Revenue acceleration, capacity—$25K-$75K deals</w:t>
      </w:r>
    </w:p>
    <w:p>
      <w:pPr>
        <w:numPr>
          <w:ilvl w:val="0"/>
          <w:numId w:val="1015"/>
        </w:numPr>
        <w:pStyle w:val="Compact"/>
      </w:pPr>
      <w:r>
        <w:t xml:space="preserve">Category C (6-12 weeks): Trigger-dependent governance—$25K-$75K deals</w:t>
      </w:r>
    </w:p>
    <w:p>
      <w:pPr>
        <w:numPr>
          <w:ilvl w:val="0"/>
          <w:numId w:val="1015"/>
        </w:numPr>
        <w:pStyle w:val="Compact"/>
      </w:pPr>
      <w:r>
        <w:t xml:space="preserve">Category D (8-16 weeks): AI governance, cyber risk—$75K-$150K+ deals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part-vi-financial-projections"/>
      <w:r>
        <w:t xml:space="preserve">PART VI — FINANCIAL PROJECTIONS</w:t>
      </w:r>
      <w:bookmarkEnd w:id="64"/>
    </w:p>
    <w:p>
      <w:pPr>
        <w:pStyle w:val="Heading2"/>
      </w:pPr>
      <w:bookmarkStart w:id="65" w:name="year-1-conservative"/>
      <w:r>
        <w:t xml:space="preserve">Year 1 Conservative</w:t>
      </w:r>
      <w:bookmarkEnd w:id="65"/>
    </w:p>
    <w:p>
      <w:pPr>
        <w:numPr>
          <w:ilvl w:val="0"/>
          <w:numId w:val="1016"/>
        </w:numPr>
        <w:pStyle w:val="Compact"/>
      </w:pPr>
      <w:r>
        <w:t xml:space="preserve">Levelupmax Tuition: 2 cohorts x 60 x $1,200 = $144,000</w:t>
      </w:r>
    </w:p>
    <w:p>
      <w:pPr>
        <w:numPr>
          <w:ilvl w:val="0"/>
          <w:numId w:val="1016"/>
        </w:numPr>
        <w:pStyle w:val="Compact"/>
      </w:pPr>
      <w:r>
        <w:t xml:space="preserve">Technical Track: 1 cohort x 25 x $1,350 = $33,750</w:t>
      </w:r>
    </w:p>
    <w:p>
      <w:pPr>
        <w:numPr>
          <w:ilvl w:val="0"/>
          <w:numId w:val="1016"/>
        </w:numPr>
        <w:pStyle w:val="Compact"/>
      </w:pPr>
      <w:r>
        <w:t xml:space="preserve">Insurance Claims Pilot: 10K claims x $5 = $50,000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Total Year 1: ~$228K. Net Margin: ~$80K-$100K (35-44%)</w:t>
      </w:r>
    </w:p>
    <w:p>
      <w:pPr>
        <w:pStyle w:val="Heading2"/>
      </w:pPr>
      <w:bookmarkStart w:id="66" w:name="year-2-growth"/>
      <w:r>
        <w:t xml:space="preserve">Year 2 Growth</w:t>
      </w:r>
      <w:bookmarkEnd w:id="66"/>
    </w:p>
    <w:p>
      <w:pPr>
        <w:numPr>
          <w:ilvl w:val="0"/>
          <w:numId w:val="1017"/>
        </w:numPr>
        <w:pStyle w:val="Compact"/>
      </w:pPr>
      <w:r>
        <w:t xml:space="preserve">Levelupmax: 3 cohorts x 60 x $1,200 = $216,000</w:t>
      </w:r>
    </w:p>
    <w:p>
      <w:pPr>
        <w:numPr>
          <w:ilvl w:val="0"/>
          <w:numId w:val="1017"/>
        </w:numPr>
        <w:pStyle w:val="Compact"/>
      </w:pPr>
      <w:r>
        <w:t xml:space="preserve">Technical Track: 2 cohorts x 25 x $1,350 = $67,500</w:t>
      </w:r>
    </w:p>
    <w:p>
      <w:pPr>
        <w:numPr>
          <w:ilvl w:val="0"/>
          <w:numId w:val="1017"/>
        </w:numPr>
        <w:pStyle w:val="Compact"/>
      </w:pPr>
      <w:r>
        <w:t xml:space="preserve">Insurance Claims: 2 carriers x 50K claims x $5 = $500,000</w:t>
      </w:r>
    </w:p>
    <w:p>
      <w:pPr>
        <w:numPr>
          <w:ilvl w:val="0"/>
          <w:numId w:val="1017"/>
        </w:numPr>
        <w:pStyle w:val="Compact"/>
      </w:pPr>
      <w:r>
        <w:t xml:space="preserve">Risk-Tier Certification: 5 enterprises x $25K = $125,000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Total Year 2: ~$909K. Net Margin: ~$410K-$450K (45-50%)</w:t>
      </w:r>
    </w:p>
    <w:p>
      <w:pPr>
        <w:pStyle w:val="Heading2"/>
      </w:pPr>
      <w:bookmarkStart w:id="67" w:name="year-3-institutional"/>
      <w:r>
        <w:t xml:space="preserve">Year 3 Institutional</w:t>
      </w:r>
      <w:bookmarkEnd w:id="67"/>
    </w:p>
    <w:p>
      <w:pPr>
        <w:numPr>
          <w:ilvl w:val="0"/>
          <w:numId w:val="1018"/>
        </w:numPr>
        <w:pStyle w:val="Compact"/>
      </w:pPr>
      <w:r>
        <w:t xml:space="preserve">Levelupmax: 4 cohorts x 70 x $1,300 = $364,000</w:t>
      </w:r>
    </w:p>
    <w:p>
      <w:pPr>
        <w:numPr>
          <w:ilvl w:val="0"/>
          <w:numId w:val="1018"/>
        </w:numPr>
        <w:pStyle w:val="Compact"/>
      </w:pPr>
      <w:r>
        <w:t xml:space="preserve">Insurance Claims: 5 carriers x 100K claims x $4.50 = $2,250,000</w:t>
      </w:r>
    </w:p>
    <w:p>
      <w:pPr>
        <w:numPr>
          <w:ilvl w:val="0"/>
          <w:numId w:val="1018"/>
        </w:numPr>
        <w:pStyle w:val="Compact"/>
      </w:pPr>
      <w:r>
        <w:t xml:space="preserve">Banking Disputes: 2 banks x 25K x $4 = $200,000</w:t>
      </w:r>
    </w:p>
    <w:p>
      <w:pPr>
        <w:numPr>
          <w:ilvl w:val="0"/>
          <w:numId w:val="1018"/>
        </w:numPr>
        <w:pStyle w:val="Compact"/>
      </w:pPr>
      <w:r>
        <w:t xml:space="preserve">Governance Subscription: 20 enterprises x $15K = $300,000</w:t>
      </w:r>
    </w:p>
    <w:p>
      <w:pPr>
        <w:numPr>
          <w:ilvl w:val="0"/>
          <w:numId w:val="1018"/>
        </w:numPr>
        <w:pStyle w:val="Compact"/>
      </w:pPr>
      <w:r>
        <w:t xml:space="preserve">Underwriting Intelligence: 3 reinsurers x $100K = $300,000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Total Year 3: ~$3.4M. Net Margin: ~$1.6M-$1.8M (48-52%)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8" w:name="part-vii-system-build-architecture"/>
      <w:r>
        <w:t xml:space="preserve">PART VII — SYSTEM BUILD ARCHITECTURE</w:t>
      </w:r>
      <w:bookmarkEnd w:id="68"/>
    </w:p>
    <w:p>
      <w:pPr>
        <w:pStyle w:val="Heading2"/>
      </w:pPr>
      <w:bookmarkStart w:id="69" w:name="systems-in-ainef-os"/>
      <w:r>
        <w:t xml:space="preserve">28+ Systems in AINEF OS</w:t>
      </w:r>
      <w:bookmarkEnd w:id="69"/>
    </w:p>
    <w:p>
      <w:pPr>
        <w:pStyle w:val="FirstParagraph"/>
      </w:pPr>
      <w:r>
        <w:rPr>
          <w:b/>
        </w:rPr>
        <w:t xml:space="preserve">Market Intelligence:</w:t>
      </w:r>
      <w:r>
        <w:t xml:space="preserve"> Friction Discovery Engine, Opportunity Scoring Engine, Sector Thesis Engine</w:t>
      </w:r>
    </w:p>
    <w:p>
      <w:pPr>
        <w:pStyle w:val="BodyText"/>
      </w:pPr>
      <w:r>
        <w:rPr>
          <w:b/>
        </w:rPr>
        <w:t xml:space="preserve">AI Execution:</w:t>
      </w:r>
      <w:r>
        <w:t xml:space="preserve"> Orchestration Layer, Agent Runtime, Memory &amp; Knowledge Graph, Integration Gateway, Observability &amp; Audit Logging</w:t>
      </w:r>
    </w:p>
    <w:p>
      <w:pPr>
        <w:pStyle w:val="BodyText"/>
      </w:pPr>
      <w:r>
        <w:rPr>
          <w:b/>
        </w:rPr>
        <w:t xml:space="preserve">Venture Production:</w:t>
      </w:r>
      <w:r>
        <w:t xml:space="preserve"> Sprint Execution Engine, Micro-Solution Builder, Revenue Validation System, Kill &amp; Pivot Engine</w:t>
      </w:r>
    </w:p>
    <w:p>
      <w:pPr>
        <w:pStyle w:val="BodyText"/>
      </w:pPr>
      <w:r>
        <w:rPr>
          <w:b/>
        </w:rPr>
        <w:t xml:space="preserve">Capital Governance:</w:t>
      </w:r>
      <w:r>
        <w:t xml:space="preserve"> Capital Allocation Engine, Risk &amp; Compliance Engine, Decision Scoring System</w:t>
      </w:r>
    </w:p>
    <w:p>
      <w:pPr>
        <w:pStyle w:val="BodyText"/>
      </w:pPr>
      <w:r>
        <w:rPr>
          <w:b/>
        </w:rPr>
        <w:t xml:space="preserve">Talent Refinery:</w:t>
      </w:r>
      <w:r>
        <w:t xml:space="preserve"> Operator Screening, Sprint Immersion Training, Deployment Matching, Performance Tracking, Founder Selection</w:t>
      </w:r>
    </w:p>
    <w:p>
      <w:pPr>
        <w:pStyle w:val="BodyText"/>
      </w:pPr>
      <w:r>
        <w:rPr>
          <w:b/>
        </w:rPr>
        <w:t xml:space="preserve">Feedback &amp; Learning:</w:t>
      </w:r>
      <w:r>
        <w:t xml:space="preserve"> Human Feedback Capture, Outcome Correlation Engine, Policy Evolution Engine</w:t>
      </w:r>
    </w:p>
    <w:p>
      <w:pPr>
        <w:pStyle w:val="BodyText"/>
      </w:pPr>
      <w:r>
        <w:rPr>
          <w:b/>
        </w:rPr>
        <w:t xml:space="preserve">Organizational:</w:t>
      </w:r>
      <w:r>
        <w:t xml:space="preserve"> Delegated Authority Matrix, Anomaly Detection &amp; Drift System, Board-Level Oversight</w:t>
      </w:r>
    </w:p>
    <w:p>
      <w:pPr>
        <w:pStyle w:val="BodyText"/>
      </w:pPr>
      <w:r>
        <w:rPr>
          <w:b/>
        </w:rPr>
        <w:t xml:space="preserve">Replication:</w:t>
      </w:r>
      <w:r>
        <w:t xml:space="preserve"> Cell Replication Kit, Region Expansion Protocol</w:t>
      </w:r>
    </w:p>
    <w:p>
      <w:pPr>
        <w:pStyle w:val="Heading2"/>
      </w:pPr>
      <w:bookmarkStart w:id="70" w:name="production-grade-guardrails"/>
      <w:r>
        <w:t xml:space="preserve">Production-Grade Guardrails</w:t>
      </w:r>
      <w:bookmarkEnd w:id="70"/>
    </w:p>
    <w:p>
      <w:pPr>
        <w:pStyle w:val="FirstParagraph"/>
      </w:pPr>
      <w:r>
        <w:t xml:space="preserve">10 mandatory controls for training-safe architecture:</w:t>
      </w:r>
    </w:p>
    <w:p>
      <w:pPr>
        <w:numPr>
          <w:ilvl w:val="0"/>
          <w:numId w:val="1019"/>
        </w:numPr>
        <w:pStyle w:val="Compact"/>
      </w:pPr>
      <w:r>
        <w:t xml:space="preserve">Protected main branches</w:t>
      </w:r>
    </w:p>
    <w:p>
      <w:pPr>
        <w:numPr>
          <w:ilvl w:val="0"/>
          <w:numId w:val="1019"/>
        </w:numPr>
        <w:pStyle w:val="Compact"/>
      </w:pPr>
      <w:r>
        <w:t xml:space="preserve">CI that blocks not advises</w:t>
      </w:r>
    </w:p>
    <w:p>
      <w:pPr>
        <w:numPr>
          <w:ilvl w:val="0"/>
          <w:numId w:val="1019"/>
        </w:numPr>
        <w:pStyle w:val="Compact"/>
      </w:pPr>
      <w:r>
        <w:t xml:space="preserve">Test-before-merge gates</w:t>
      </w:r>
    </w:p>
    <w:p>
      <w:pPr>
        <w:numPr>
          <w:ilvl w:val="0"/>
          <w:numId w:val="1019"/>
        </w:numPr>
        <w:pStyle w:val="Compact"/>
      </w:pPr>
      <w:r>
        <w:t xml:space="preserve">Infrastructure as Code only</w:t>
      </w:r>
    </w:p>
    <w:p>
      <w:pPr>
        <w:numPr>
          <w:ilvl w:val="0"/>
          <w:numId w:val="1019"/>
        </w:numPr>
        <w:pStyle w:val="Compact"/>
      </w:pPr>
      <w:r>
        <w:t xml:space="preserve">Feature flags for everything new</w:t>
      </w:r>
    </w:p>
    <w:p>
      <w:pPr>
        <w:numPr>
          <w:ilvl w:val="0"/>
          <w:numId w:val="1019"/>
        </w:numPr>
        <w:pStyle w:val="Compact"/>
      </w:pPr>
      <w:r>
        <w:t xml:space="preserve">Mandatory logging/telemetry</w:t>
      </w:r>
    </w:p>
    <w:p>
      <w:pPr>
        <w:numPr>
          <w:ilvl w:val="0"/>
          <w:numId w:val="1019"/>
        </w:numPr>
        <w:pStyle w:val="Compact"/>
      </w:pPr>
      <w:r>
        <w:t xml:space="preserve">Schema migration discipline</w:t>
      </w:r>
    </w:p>
    <w:p>
      <w:pPr>
        <w:numPr>
          <w:ilvl w:val="0"/>
          <w:numId w:val="1019"/>
        </w:numPr>
        <w:pStyle w:val="Compact"/>
      </w:pPr>
      <w:r>
        <w:t xml:space="preserve">Least privilege access</w:t>
      </w:r>
    </w:p>
    <w:p>
      <w:pPr>
        <w:numPr>
          <w:ilvl w:val="0"/>
          <w:numId w:val="1019"/>
        </w:numPr>
        <w:pStyle w:val="Compact"/>
      </w:pPr>
      <w:r>
        <w:t xml:space="preserve">Environment separation</w:t>
      </w:r>
    </w:p>
    <w:p>
      <w:pPr>
        <w:numPr>
          <w:ilvl w:val="0"/>
          <w:numId w:val="1019"/>
        </w:numPr>
        <w:pStyle w:val="Compact"/>
      </w:pPr>
      <w:r>
        <w:t xml:space="preserve">Deployment strategy assuming failure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1" w:name="part-viii-ecosystem-sequencing-strategy"/>
      <w:r>
        <w:t xml:space="preserve">PART VIII — ECOSYSTEM SEQUENCING STRATEGY</w:t>
      </w:r>
      <w:bookmarkEnd w:id="71"/>
    </w:p>
    <w:p>
      <w:pPr>
        <w:pStyle w:val="Heading2"/>
      </w:pPr>
      <w:bookmarkStart w:id="72" w:name="seven-phases-of-institutional-dominance"/>
      <w:r>
        <w:t xml:space="preserve">Seven Phases of Institutional Dominance</w:t>
      </w:r>
      <w:bookmarkEnd w:id="72"/>
    </w:p>
    <w:p>
      <w:pPr>
        <w:pStyle w:val="Heading3"/>
      </w:pPr>
      <w:bookmarkStart w:id="73" w:name="X295ebab3a6025fb488f1d0fdde085035b72bb5f"/>
      <w:r>
        <w:t xml:space="preserve">Phase 1: Cash-Generating Execution (Months 1-6)</w:t>
      </w:r>
      <w:bookmarkEnd w:id="73"/>
    </w:p>
    <w:p>
      <w:pPr>
        <w:pStyle w:val="FirstParagraph"/>
      </w:pPr>
      <w:r>
        <w:t>Success: $10K+ monthly revenue, 50+ active users, 3+ paying enterprise clients Kill: Cannot generate revenue within 90 days Moat: Domain expertise + embedded workflow + data integration</w:t>
      </w:r>
    </w:p>
    <w:p>
      <w:pPr>
        <w:pStyle w:val="Heading3"/>
      </w:pPr>
      <w:bookmarkStart w:id="74" w:name="Xe3b5b020962159334adfa1c6161a63fc79d01b3"/>
      <w:r>
        <w:t xml:space="preserve">Phase 2: Talent + Operator Refinery (Months 3-12)</w:t>
      </w:r>
      <w:bookmarkEnd w:id="74"/>
    </w:p>
    <w:p>
      <w:pPr>
        <w:pStyle w:val="FirstParagraph"/>
      </w:pPr>
      <w:r>
        <w:t>Success: 100+ trained operators, 80%+ completion rate, operator-to-revenue pipeline Kill: Operators don’t convert to revenue-generating execution Moat: Selection engine IP + community + case studies</w:t>
      </w:r>
    </w:p>
    <w:p>
      <w:pPr>
        <w:pStyle w:val="Heading3"/>
      </w:pPr>
      <w:bookmarkStart w:id="75" w:name="Xfea21e70d00ab8f89ab6255977e2b7d88c56b91"/>
      <w:r>
        <w:t xml:space="preserve">Phase 3: Governance + Traceability Infrastructure (Months 6-18)</w:t>
      </w:r>
      <w:bookmarkEnd w:id="75"/>
    </w:p>
    <w:p>
      <w:pPr>
        <w:pStyle w:val="FirstParagraph"/>
      </w:pPr>
      <w:r>
        <w:t>Success: Enterprise-grade audit system, 5+ enterprise deployments Kill: Enterprises won’t pay for governance layer Moat: First-mover AI governance tooling</w:t>
      </w:r>
    </w:p>
    <w:p>
      <w:pPr>
        <w:pStyle w:val="Heading3"/>
      </w:pPr>
      <w:bookmarkStart w:id="76" w:name="Xce4a04e376f09415cf758095c38e6bd16506a4f"/>
      <w:r>
        <w:t xml:space="preserve">Phase 4: Industry Vertical Systems (Months 12-24)</w:t>
      </w:r>
      <w:bookmarkEnd w:id="76"/>
    </w:p>
    <w:p>
      <w:pPr>
        <w:pStyle w:val="FirstParagraph"/>
      </w:pPr>
      <w:r>
        <w:t>Success: 3+ vertical products, $100K+ ARR per vertical Kill: Vertical products don’t outperform horizontal Moat: Domain-specific data + workflow integration</w:t>
      </w:r>
    </w:p>
    <w:p>
      <w:pPr>
        <w:pStyle w:val="Heading3"/>
      </w:pPr>
      <w:bookmarkStart w:id="77" w:name="Xf8102da53ee5d0d64be07d25c352f489efad431"/>
      <w:r>
        <w:t xml:space="preserve">Phase 5: Cross-Industry Coordination (Months 18-36)</w:t>
      </w:r>
      <w:bookmarkEnd w:id="77"/>
    </w:p>
    <w:p>
      <w:pPr>
        <w:pStyle w:val="FirstParagraph"/>
      </w:pPr>
      <w:r>
        <w:t>Success: Multi-agent orchestration, marketplace transaction volume Kill: Industries won’t adopt shared coordination Moat: Network effects + switching costs</w:t>
      </w:r>
    </w:p>
    <w:p>
      <w:pPr>
        <w:pStyle w:val="Heading3"/>
      </w:pPr>
      <w:bookmarkStart w:id="78" w:name="X116e7c97c29d31ee6747d602200a6b2077fe21f"/>
      <w:r>
        <w:t xml:space="preserve">Phase 6: Institutional &amp; Government Adoption (Months 24-48)</w:t>
      </w:r>
      <w:bookmarkEnd w:id="78"/>
    </w:p>
    <w:p>
      <w:pPr>
        <w:pStyle w:val="FirstParagraph"/>
      </w:pPr>
      <w:r>
        <w:t>Success: Government pilots, institutional deployment, regulatory endorsement Kill: Regulatory friction prevents adoption Moat: Compliance infrastructure + trust certification</w:t>
      </w:r>
    </w:p>
    <w:p>
      <w:pPr>
        <w:pStyle w:val="Heading3"/>
      </w:pPr>
      <w:bookmarkStart w:id="79" w:name="X68378b979147046dde8b07df1db097204fe7edb"/>
      <w:r>
        <w:t xml:space="preserve">Phase 7: Invisible Infrastructure (Months 36-60+)</w:t>
      </w:r>
      <w:bookmarkEnd w:id="79"/>
    </w:p>
    <w:p>
      <w:pPr>
        <w:pStyle w:val="FirstParagraph"/>
      </w:pPr>
      <w:r>
        <w:t>Success: Platform revenue exceeds product revenue Kill: Alternative infrastructure with better economics Moat: Data flywheel + network effects + ecosystem lock-in</w:t>
      </w:r>
    </w:p>
    <w:p>
      <w:pPr>
        <w:pStyle w:val="Heading2"/>
      </w:pPr>
      <w:bookmarkStart w:id="80" w:name="institutional-dominance-timeline"/>
      <w:r>
        <w:t xml:space="preserve">Institutional Dominance Timeline</w:t>
      </w:r>
      <w:bookmarkEnd w:id="80"/>
    </w:p>
    <w:p>
      <w:pPr>
        <w:pStyle w:val="FirstParagraph"/>
      </w:pPr>
      <w:r>
        <w:t xml:space="preserve">5 years = credibility, 10 years = dependence, 20 years = structural authority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1" w:name="part-ix-risk-failure-mode-analysis"/>
      <w:r>
        <w:t xml:space="preserve">PART IX — RISK &amp; FAILURE MODE ANALYSIS</w:t>
      </w:r>
      <w:bookmarkEnd w:id="81"/>
    </w:p>
    <w:p>
      <w:pPr>
        <w:pStyle w:val="Heading2"/>
      </w:pPr>
      <w:bookmarkStart w:id="82" w:name="strategic-risks-9-categories"/>
      <w:r>
        <w:t xml:space="preserve">Strategic Risks (9 Categories)</w:t>
      </w:r>
      <w:bookmarkEnd w:id="82"/>
    </w:p>
    <w:p>
      <w:pPr>
        <w:numPr>
          <w:ilvl w:val="0"/>
          <w:numId w:val="1020"/>
        </w:numPr>
        <w:pStyle w:val="Compact"/>
      </w:pPr>
      <w:r>
        <w:t xml:space="preserve">Overreach: Civilization-scale vision with zero resources. Mitigation: Cash-first sequencing, narrow wedge, phase gates.</w:t>
      </w:r>
    </w:p>
    <w:p>
      <w:pPr>
        <w:numPr>
          <w:ilvl w:val="0"/>
          <w:numId w:val="1020"/>
        </w:numPr>
        <w:pStyle w:val="Compact"/>
      </w:pPr>
      <w:r>
        <w:t xml:space="preserve">Timing Mismatch: Building infrastructure before market readiness. Mitigation: Service-first validation.</w:t>
      </w:r>
    </w:p>
    <w:p>
      <w:pPr>
        <w:numPr>
          <w:ilvl w:val="0"/>
          <w:numId w:val="1020"/>
        </w:numPr>
        <w:pStyle w:val="Compact"/>
      </w:pPr>
      <w:r>
        <w:t xml:space="preserve">Talent Bottleneck: Solo founder. Mitigation: Agent-powered leverage, operator track.</w:t>
      </w:r>
    </w:p>
    <w:p>
      <w:pPr>
        <w:numPr>
          <w:ilvl w:val="0"/>
          <w:numId w:val="1020"/>
        </w:numPr>
        <w:pStyle w:val="Compact"/>
      </w:pPr>
      <w:r>
        <w:t xml:space="preserve">Capital Constraints: Bootstrap-only. Mitigation: Service revenue funds product development.</w:t>
      </w:r>
    </w:p>
    <w:p>
      <w:pPr>
        <w:numPr>
          <w:ilvl w:val="0"/>
          <w:numId w:val="1020"/>
        </w:numPr>
        <w:pStyle w:val="Compact"/>
      </w:pPr>
      <w:r>
        <w:t xml:space="preserve">Model Dependency: Over-reliance on specific AI providers. Mitigation: Provider-agnostic architecture.</w:t>
      </w:r>
    </w:p>
    <w:p>
      <w:pPr>
        <w:numPr>
          <w:ilvl w:val="0"/>
          <w:numId w:val="1020"/>
        </w:numPr>
        <w:pStyle w:val="Compact"/>
      </w:pPr>
      <w:r>
        <w:t xml:space="preserve">Regulatory Friction: AI governance fragmenting globally. Mitigation: Position governance as product.</w:t>
      </w:r>
    </w:p>
    <w:p>
      <w:pPr>
        <w:numPr>
          <w:ilvl w:val="0"/>
          <w:numId w:val="1020"/>
        </w:numPr>
        <w:pStyle w:val="Compact"/>
      </w:pPr>
      <w:r>
        <w:t xml:space="preserve">Data Liability: Handling sensitive enterprise data. Mitigation: PII scrubbing, encryption, audit trails.</w:t>
      </w:r>
    </w:p>
    <w:p>
      <w:pPr>
        <w:numPr>
          <w:ilvl w:val="0"/>
          <w:numId w:val="1020"/>
        </w:numPr>
        <w:pStyle w:val="Compact"/>
      </w:pPr>
      <w:r>
        <w:t xml:space="preserve">Coordination Collapse: Multi-agent error amplification. Mitigation: Verifier agents, human-in-loop gates.</w:t>
      </w:r>
    </w:p>
    <w:p>
      <w:pPr>
        <w:numPr>
          <w:ilvl w:val="0"/>
          <w:numId w:val="1020"/>
        </w:numPr>
        <w:pStyle w:val="Compact"/>
      </w:pPr>
      <w:r>
        <w:t xml:space="preserve">Competitive Saturation: SMB automation crowded. Mitigation: Agent-native approach, domain specialization.</w:t>
      </w:r>
    </w:p>
    <w:p>
      <w:pPr>
        <w:pStyle w:val="Heading2"/>
      </w:pPr>
      <w:bookmarkStart w:id="83" w:name="operational-failure-modes-14-categories"/>
      <w:r>
        <w:t xml:space="preserve">Operational Failure Modes (14 Categories)</w:t>
      </w:r>
      <w:bookmarkEnd w:id="83"/>
    </w:p>
    <w:p>
      <w:pPr>
        <w:numPr>
          <w:ilvl w:val="0"/>
          <w:numId w:val="1021"/>
        </w:numPr>
        <w:pStyle w:val="Compact"/>
      </w:pPr>
      <w:r>
        <w:t xml:space="preserve">Promotion Inflation—advancing operators before revenue accountability</w:t>
      </w:r>
    </w:p>
    <w:p>
      <w:pPr>
        <w:numPr>
          <w:ilvl w:val="0"/>
          <w:numId w:val="1021"/>
        </w:numPr>
        <w:pStyle w:val="Compact"/>
      </w:pPr>
      <w:r>
        <w:t xml:space="preserve">Sandbox Complacency—simulation not matching production stress</w:t>
      </w:r>
    </w:p>
    <w:p>
      <w:pPr>
        <w:numPr>
          <w:ilvl w:val="0"/>
          <w:numId w:val="1021"/>
        </w:numPr>
        <w:pStyle w:val="Compact"/>
      </w:pPr>
      <w:r>
        <w:t xml:space="preserve">Authority Drift—capital rights without matched risk-bearing</w:t>
      </w:r>
    </w:p>
    <w:p>
      <w:pPr>
        <w:numPr>
          <w:ilvl w:val="0"/>
          <w:numId w:val="1021"/>
        </w:numPr>
        <w:pStyle w:val="Compact"/>
      </w:pPr>
      <w:r>
        <w:t xml:space="preserve">Talent Bottleneck—overproducing foundation-level without production slots</w:t>
      </w:r>
    </w:p>
    <w:p>
      <w:pPr>
        <w:numPr>
          <w:ilvl w:val="0"/>
          <w:numId w:val="1021"/>
        </w:numPr>
        <w:pStyle w:val="Compact"/>
      </w:pPr>
      <w:r>
        <w:t xml:space="preserve">Exit Asymmetry—spinouts siphoning value without infrastructure return</w:t>
      </w:r>
    </w:p>
    <w:p>
      <w:pPr>
        <w:numPr>
          <w:ilvl w:val="0"/>
          <w:numId w:val="1021"/>
        </w:numPr>
        <w:pStyle w:val="Compact"/>
      </w:pPr>
      <w:r>
        <w:t xml:space="preserve">Governance Erosion—stakeholder pressure weakening standards</w:t>
      </w:r>
    </w:p>
    <w:p>
      <w:pPr>
        <w:numPr>
          <w:ilvl w:val="0"/>
          <w:numId w:val="1021"/>
        </w:numPr>
        <w:pStyle w:val="Compact"/>
      </w:pPr>
      <w:r>
        <w:t xml:space="preserve">Supervision Cost Explosion—human oversight not compressing as expected</w:t>
      </w:r>
    </w:p>
    <w:p>
      <w:pPr>
        <w:numPr>
          <w:ilvl w:val="0"/>
          <w:numId w:val="1021"/>
        </w:numPr>
        <w:pStyle w:val="Compact"/>
      </w:pPr>
      <w:r>
        <w:t xml:space="preserve">Margin Collapse—revenue volatility or comp exceeding 60%</w:t>
      </w:r>
    </w:p>
    <w:p>
      <w:pPr>
        <w:numPr>
          <w:ilvl w:val="0"/>
          <w:numId w:val="1021"/>
        </w:numPr>
        <w:pStyle w:val="Compact"/>
      </w:pPr>
      <w:r>
        <w:t xml:space="preserve">Cultural Politicization—tiers used for status not capital discipline</w:t>
      </w:r>
    </w:p>
    <w:p>
      <w:pPr>
        <w:numPr>
          <w:ilvl w:val="0"/>
          <w:numId w:val="1021"/>
        </w:numPr>
        <w:pStyle w:val="Compact"/>
      </w:pPr>
      <w:r>
        <w:t xml:space="preserve">Founder Dependency—system cannot function without founder</w:t>
      </w:r>
    </w:p>
    <w:p>
      <w:pPr>
        <w:numPr>
          <w:ilvl w:val="0"/>
          <w:numId w:val="1021"/>
        </w:numPr>
        <w:pStyle w:val="Compact"/>
      </w:pPr>
      <w:r>
        <w:t xml:space="preserve">Over-Engineering Before Market Fit—architecture without validated revenue</w:t>
      </w:r>
    </w:p>
    <w:p>
      <w:pPr>
        <w:numPr>
          <w:ilvl w:val="0"/>
          <w:numId w:val="1021"/>
        </w:numPr>
        <w:pStyle w:val="Compact"/>
      </w:pPr>
      <w:r>
        <w:t xml:space="preserve">Technology Obsolescence—AI stack outdated before payoff</w:t>
      </w:r>
    </w:p>
    <w:p>
      <w:pPr>
        <w:numPr>
          <w:ilvl w:val="0"/>
          <w:numId w:val="1021"/>
        </w:numPr>
        <w:pStyle w:val="Compact"/>
      </w:pPr>
      <w:r>
        <w:t xml:space="preserve">Governance Corruption—internal gaming of authority metrics</w:t>
      </w:r>
    </w:p>
    <w:p>
      <w:pPr>
        <w:numPr>
          <w:ilvl w:val="0"/>
          <w:numId w:val="1021"/>
        </w:numPr>
        <w:pStyle w:val="Compact"/>
      </w:pPr>
      <w:r>
        <w:t xml:space="preserve">Competitor Replication—major players copy model faster</w:t>
      </w:r>
    </w:p>
    <w:p>
      <w:pPr>
        <w:pStyle w:val="Heading2"/>
      </w:pPr>
      <w:bookmarkStart w:id="84" w:name="power-concentration-risks"/>
      <w:r>
        <w:t xml:space="preserve">Power Concentration Risks</w:t>
      </w:r>
      <w:bookmarkEnd w:id="84"/>
    </w:p>
    <w:p>
      <w:pPr>
        <w:pStyle w:val="FirstParagraph"/>
      </w:pPr>
      <w:r>
        <w:t xml:space="preserve">At scale, becomes labor allocator + credentialing authority + capital gatekeeper + venture production engine. Counterforces: employer resistance (HR departments), university/education lobby, regulatory attention, internal corruption. Defense: transparent scoring, independent auditability, appeal mechanisms, randomized audits, immutable action logs.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5" w:name="part-x-12-month-operational-roadmap"/>
      <w:r>
        <w:t xml:space="preserve">PART X — 12-MONTH OPERATIONAL ROADMAP</w:t>
      </w:r>
      <w:bookmarkEnd w:id="85"/>
    </w:p>
    <w:p>
      <w:pPr>
        <w:pStyle w:val="Heading2"/>
      </w:pPr>
      <w:bookmarkStart w:id="86" w:name="months-1-3-foundation-first-revenue"/>
      <w:r>
        <w:t xml:space="preserve">Months 1-3: Foundation &amp; First Revenue</w:t>
      </w:r>
      <w:bookmarkEnd w:id="86"/>
    </w:p>
    <w:p>
      <w:pPr>
        <w:pStyle w:val="FirstParagraph"/>
      </w:pPr>
      <w:r>
        <w:t xml:space="preserve">Build DocuFlow Agent MVP. Launch on Reddit, LinkedIn. Deliver first Chokepoint diagnostic sprint ($15-30k). Begin Billing Leakage Engine. Target: $5-15k monthly.</w:t>
      </w:r>
    </w:p>
    <w:p>
      <w:pPr>
        <w:pStyle w:val="Heading2"/>
      </w:pPr>
      <w:bookmarkStart w:id="87" w:name="months-4-6-scale-systemize"/>
      <w:r>
        <w:t xml:space="preserve">Months 4-6: Scale &amp; Systemize</w:t>
      </w:r>
      <w:bookmarkEnd w:id="87"/>
    </w:p>
    <w:p>
      <w:pPr>
        <w:pStyle w:val="FirstParagraph"/>
      </w:pPr>
      <w:r>
        <w:t xml:space="preserve">Scale DocuFlow to 100+ users. Launch Operator Track (first cohort 20-30). Deploy Billing Leakage Engine with first enterprise client. Build multi-agent orchestration. Target: $15-30k monthly.</w:t>
      </w:r>
    </w:p>
    <w:p>
      <w:pPr>
        <w:pStyle w:val="Heading2"/>
      </w:pPr>
      <w:bookmarkStart w:id="88" w:name="months-7-9-verticalize-enterprise"/>
      <w:r>
        <w:t xml:space="preserve">Months 7-9: Verticalize &amp; Enterprise</w:t>
      </w:r>
      <w:bookmarkEnd w:id="88"/>
    </w:p>
    <w:p>
      <w:pPr>
        <w:pStyle w:val="FirstParagraph"/>
      </w:pPr>
      <w:r>
        <w:t xml:space="preserve">Launch vertical-specific agents (insurance claims processing). Deploy Knowledge-Worker Copilot pilot. Build governance &amp; traceability layer. Target: $30-50k monthly.</w:t>
      </w:r>
    </w:p>
    <w:p>
      <w:pPr>
        <w:pStyle w:val="Heading2"/>
      </w:pPr>
      <w:bookmarkStart w:id="89" w:name="months-10-12-platform-expansion"/>
      <w:r>
        <w:t xml:space="preserve">Months 10-12: Platform &amp; Expansion</w:t>
      </w:r>
      <w:bookmarkEnd w:id="89"/>
    </w:p>
    <w:p>
      <w:pPr>
        <w:pStyle w:val="FirstParagraph"/>
      </w:pPr>
      <w:r>
        <w:t xml:space="preserve">Launch agent marketplace (beta). Deploy digital identity infrastructure. Begin Frankmax PIAR deployment with first institutional client. Target: $50-100k monthly.</w:t>
      </w:r>
    </w:p>
    <w:p>
      <w:pPr>
        <w:pStyle w:val="Heading2"/>
      </w:pPr>
      <w:bookmarkStart w:id="90" w:name="weekly-founder-focus-filter"/>
      <w:r>
        <w:t xml:space="preserve">Weekly Founder Focus Filter</w:t>
      </w:r>
      <w:bookmarkEnd w:id="90"/>
    </w:p>
    <w:p>
      <w:pPr>
        <w:numPr>
          <w:ilvl w:val="0"/>
          <w:numId w:val="1022"/>
        </w:numPr>
        <w:pStyle w:val="Compact"/>
      </w:pPr>
      <w:r>
        <w:t xml:space="preserve">Monday: Revenue review</w:t>
      </w:r>
    </w:p>
    <w:p>
      <w:pPr>
        <w:numPr>
          <w:ilvl w:val="0"/>
          <w:numId w:val="1022"/>
        </w:numPr>
        <w:pStyle w:val="Compact"/>
      </w:pPr>
      <w:r>
        <w:t xml:space="preserve">Tuesday: Product iteration</w:t>
      </w:r>
    </w:p>
    <w:p>
      <w:pPr>
        <w:numPr>
          <w:ilvl w:val="0"/>
          <w:numId w:val="1022"/>
        </w:numPr>
        <w:pStyle w:val="Compact"/>
      </w:pPr>
      <w:r>
        <w:t xml:space="preserve">Wednesday: Customer conversations</w:t>
      </w:r>
    </w:p>
    <w:p>
      <w:pPr>
        <w:numPr>
          <w:ilvl w:val="0"/>
          <w:numId w:val="1022"/>
        </w:numPr>
        <w:pStyle w:val="Compact"/>
      </w:pPr>
      <w:r>
        <w:t xml:space="preserve">Thursday: System architecture</w:t>
      </w:r>
    </w:p>
    <w:p>
      <w:pPr>
        <w:numPr>
          <w:ilvl w:val="0"/>
          <w:numId w:val="1022"/>
        </w:numPr>
        <w:pStyle w:val="Compact"/>
      </w:pPr>
      <w:r>
        <w:t xml:space="preserve">Friday: Operator development</w:t>
      </w:r>
    </w:p>
    <w:p>
      <w:pPr>
        <w:pStyle w:val="Heading2"/>
      </w:pPr>
      <w:bookmarkStart w:id="91" w:name="no-distraction-rules"/>
      <w:r>
        <w:t xml:space="preserve">No Distraction Rules</w:t>
      </w:r>
      <w:bookmarkEnd w:id="91"/>
    </w:p>
    <w:p>
      <w:pPr>
        <w:numPr>
          <w:ilvl w:val="0"/>
          <w:numId w:val="1023"/>
        </w:numPr>
        <w:pStyle w:val="Compact"/>
      </w:pPr>
      <w:r>
        <w:t xml:space="preserve">No feature without revenue connection within 90 days</w:t>
      </w:r>
    </w:p>
    <w:p>
      <w:pPr>
        <w:numPr>
          <w:ilvl w:val="0"/>
          <w:numId w:val="1023"/>
        </w:numPr>
        <w:pStyle w:val="Compact"/>
      </w:pPr>
      <w:r>
        <w:t xml:space="preserve">No platform building before product-market fit</w:t>
      </w:r>
    </w:p>
    <w:p>
      <w:pPr>
        <w:numPr>
          <w:ilvl w:val="0"/>
          <w:numId w:val="1023"/>
        </w:numPr>
        <w:pStyle w:val="Compact"/>
      </w:pPr>
      <w:r>
        <w:t xml:space="preserve">No hiring before agent automation</w:t>
      </w:r>
    </w:p>
    <w:p>
      <w:pPr>
        <w:numPr>
          <w:ilvl w:val="0"/>
          <w:numId w:val="1023"/>
        </w:numPr>
        <w:pStyle w:val="Compact"/>
      </w:pPr>
      <w:r>
        <w:t xml:space="preserve">No fundraising before sustainable revenue</w:t>
      </w:r>
    </w:p>
    <w:p>
      <w:pPr>
        <w:numPr>
          <w:ilvl w:val="0"/>
          <w:numId w:val="1023"/>
        </w:numPr>
        <w:pStyle w:val="Compact"/>
      </w:pPr>
      <w:r>
        <w:t xml:space="preserve">No horizontal expansion before vertical dominance</w:t>
      </w:r>
    </w:p>
    <w:p>
      <w:pPr>
        <w:numPr>
          <w:ilvl w:val="0"/>
          <w:numId w:val="1023"/>
        </w:numPr>
        <w:pStyle w:val="Compact"/>
      </w:pPr>
      <w:r>
        <w:t xml:space="preserve">No infrastructure investment before customer demand</w:t>
      </w:r>
    </w:p>
    <w:p>
      <w:pPr>
        <w:numPr>
          <w:ilvl w:val="0"/>
          <w:numId w:val="1023"/>
        </w:numPr>
        <w:pStyle w:val="Compact"/>
      </w:pPr>
      <w:r>
        <w:t xml:space="preserve">No theoretical work without executable output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2" w:name="part-xi-the-ai-civilization-architecture"/>
      <w:r>
        <w:t xml:space="preserve">PART XI — THE AI CIVILIZATION ARCHITECTURE</w:t>
      </w:r>
      <w:bookmarkEnd w:id="92"/>
    </w:p>
    <w:p>
      <w:pPr>
        <w:pStyle w:val="Heading2"/>
      </w:pPr>
      <w:bookmarkStart w:id="93" w:name="layer-control-model"/>
      <w:r>
        <w:t xml:space="preserve">7-Layer Control Model</w:t>
      </w:r>
      <w:bookmarkEnd w:id="93"/>
    </w:p>
    <w:p>
      <w:pPr>
        <w:numPr>
          <w:ilvl w:val="0"/>
          <w:numId w:val="1024"/>
        </w:numPr>
        <w:pStyle w:val="Compact"/>
      </w:pPr>
      <w:r>
        <w:t xml:space="preserve">Compute &amp; Energy Substrate</w:t>
      </w:r>
    </w:p>
    <w:p>
      <w:pPr>
        <w:numPr>
          <w:ilvl w:val="0"/>
          <w:numId w:val="1024"/>
        </w:numPr>
        <w:pStyle w:val="Compact"/>
      </w:pPr>
      <w:r>
        <w:t xml:space="preserve">Cognitive Architecture (world models, causality, Theory of Mind)</w:t>
      </w:r>
    </w:p>
    <w:p>
      <w:pPr>
        <w:numPr>
          <w:ilvl w:val="0"/>
          <w:numId w:val="1024"/>
        </w:numPr>
        <w:pStyle w:val="Compact"/>
      </w:pPr>
      <w:r>
        <w:t xml:space="preserve">Data, Memory &amp; Identity (persistent memory, knowledge graphs, digital identity)</w:t>
      </w:r>
    </w:p>
    <w:p>
      <w:pPr>
        <w:numPr>
          <w:ilvl w:val="0"/>
          <w:numId w:val="1024"/>
        </w:numPr>
        <w:pStyle w:val="Compact"/>
      </w:pPr>
      <w:r>
        <w:t>Experience &amp; Intelligence Abstraction (universal routing, “Spotify for Intelligence”)</w:t>
      </w:r>
    </w:p>
    <w:p>
      <w:pPr>
        <w:numPr>
          <w:ilvl w:val="0"/>
          <w:numId w:val="1024"/>
        </w:numPr>
        <w:pStyle w:val="Compact"/>
      </w:pPr>
      <w:r>
        <w:t xml:space="preserve">Agent Runtime &amp; Execution (tool interface, runtime, meta-agents)</w:t>
      </w:r>
    </w:p>
    <w:p>
      <w:pPr>
        <w:numPr>
          <w:ilvl w:val="0"/>
          <w:numId w:val="1024"/>
        </w:numPr>
        <w:pStyle w:val="Compact"/>
      </w:pPr>
      <w:r>
        <w:t xml:space="preserve">Economic, Trust &amp; Market (marketplaces, negotiation, blockchain)</w:t>
      </w:r>
    </w:p>
    <w:p>
      <w:pPr>
        <w:numPr>
          <w:ilvl w:val="0"/>
          <w:numId w:val="1024"/>
        </w:numPr>
        <w:pStyle w:val="Compact"/>
      </w:pPr>
      <w:r>
        <w:t xml:space="preserve">Infrastructure &amp; Civilization Governance (digital twins, simulation, alignment)</w:t>
      </w:r>
    </w:p>
    <w:p>
      <w:pPr>
        <w:pStyle w:val="Heading2"/>
      </w:pPr>
      <w:bookmarkStart w:id="94" w:name="three-axes-of-civilization-control"/>
      <w:r>
        <w:t xml:space="preserve">Three Axes of Civilization Control</w:t>
      </w:r>
      <w:bookmarkEnd w:id="94"/>
    </w:p>
    <w:p>
      <w:pPr>
        <w:pStyle w:val="FirstParagraph"/>
      </w:pPr>
      <w:r>
        <w:t xml:space="preserve">Energy (physical execution), Capital (direction of growth), Information (direction of thought). Control one = influence. Control two = dominance. Control all three = civilization-scale leverage. Easiest wedge = information. Deepest moat = energy. Most compounding = capital.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5" w:name="X352ba89f0d31a6666a05516d319f4db41758226"/>
      <w:r>
        <w:t xml:space="preserve">PART XII — PUBLIC MATERIALS &amp; INSTITUTIONAL TRUST ARCHITECTURE</w:t>
      </w:r>
      <w:bookmarkEnd w:id="95"/>
    </w:p>
    <w:p>
      <w:pPr>
        <w:pStyle w:val="Heading2"/>
      </w:pPr>
      <w:bookmarkStart w:id="96" w:name="item-materials-inventory"/>
      <w:r>
        <w:t xml:space="preserve">22-Item Materials Inventory</w:t>
      </w:r>
      <w:bookmarkEnd w:id="96"/>
    </w:p>
    <w:p>
      <w:pPr>
        <w:pStyle w:val="FirstParagraph"/>
      </w:pPr>
      <w:r>
        <w:rPr>
          <w:b/>
        </w:rPr>
        <w:t xml:space="preserve">Platform Positioning:</w:t>
      </w:r>
      <w:r>
        <w:t xml:space="preserve"> Overview, Differentiation paper, Architecture visual</w:t>
      </w:r>
    </w:p>
    <w:p>
      <w:pPr>
        <w:pStyle w:val="BodyText"/>
      </w:pPr>
      <w:r>
        <w:rPr>
          <w:b/>
        </w:rPr>
        <w:t xml:space="preserve">Capital &amp; Governance:</w:t>
      </w:r>
      <w:r>
        <w:t xml:space="preserve"> Capital framework, Governance overview, Risk whitepaper</w:t>
      </w:r>
    </w:p>
    <w:p>
      <w:pPr>
        <w:pStyle w:val="BodyText"/>
      </w:pPr>
      <w:r>
        <w:rPr>
          <w:b/>
        </w:rPr>
        <w:t xml:space="preserve">Venture Production:</w:t>
      </w:r>
      <w:r>
        <w:t xml:space="preserve"> Lifecycle, Case architecture, AI execution model</w:t>
      </w:r>
    </w:p>
    <w:p>
      <w:pPr>
        <w:pStyle w:val="BodyText"/>
      </w:pPr>
      <w:r>
        <w:rPr>
          <w:b/>
        </w:rPr>
        <w:t xml:space="preserve">Talent Layer:</w:t>
      </w:r>
      <w:r>
        <w:t xml:space="preserve"> Refinery overview, Operator pathway</w:t>
      </w:r>
    </w:p>
    <w:p>
      <w:pPr>
        <w:pStyle w:val="BodyText"/>
      </w:pPr>
      <w:r>
        <w:rPr>
          <w:b/>
        </w:rPr>
        <w:t xml:space="preserve">Enterprise:</w:t>
      </w:r>
      <w:r>
        <w:t xml:space="preserve"> Integration overview, Deployment framework</w:t>
      </w:r>
    </w:p>
    <w:p>
      <w:pPr>
        <w:pStyle w:val="BodyText"/>
      </w:pPr>
      <w:r>
        <w:rPr>
          <w:b/>
        </w:rPr>
        <w:t xml:space="preserve">Trust &amp; Legitimacy:</w:t>
      </w:r>
      <w:r>
        <w:t xml:space="preserve"> FAQ, Ethics statement, Data governance blueprint</w:t>
      </w:r>
    </w:p>
    <w:p>
      <w:pPr>
        <w:pStyle w:val="BodyText"/>
      </w:pPr>
      <w:r>
        <w:rPr>
          <w:b/>
        </w:rPr>
        <w:t xml:space="preserve">Thought Leadership:</w:t>
      </w:r>
      <w:r>
        <w:t xml:space="preserve"> Quarterly articles, Annual report</w:t>
      </w:r>
    </w:p>
    <w:p>
      <w:pPr>
        <w:pStyle w:val="BodyText"/>
      </w:pPr>
      <w:r>
        <w:rPr>
          <w:b/>
        </w:rPr>
        <w:t xml:space="preserve">Investor:</w:t>
      </w:r>
      <w:r>
        <w:t xml:space="preserve"> One-pager, Portfolio philosophy</w:t>
      </w:r>
    </w:p>
    <w:p>
      <w:pPr>
        <w:pStyle w:val="Heading2"/>
      </w:pPr>
      <w:bookmarkStart w:id="97" w:name="critical-credibility-gaps"/>
      <w:r>
        <w:t xml:space="preserve">10 Critical Credibility Gaps</w:t>
      </w:r>
      <w:bookmarkEnd w:id="97"/>
    </w:p>
    <w:p>
      <w:pPr>
        <w:numPr>
          <w:ilvl w:val="0"/>
          <w:numId w:val="1025"/>
        </w:numPr>
        <w:pStyle w:val="Compact"/>
      </w:pPr>
      <w:r>
        <w:t xml:space="preserve">Independent validation signals (advisory board charter, external audit policy)</w:t>
      </w:r>
    </w:p>
    <w:p>
      <w:pPr>
        <w:numPr>
          <w:ilvl w:val="0"/>
          <w:numId w:val="1025"/>
        </w:numPr>
        <w:pStyle w:val="Compact"/>
      </w:pPr>
      <w:r>
        <w:t xml:space="preserve">Failure transparency framework (expected kill rates, capital preservation)</w:t>
      </w:r>
    </w:p>
    <w:p>
      <w:pPr>
        <w:numPr>
          <w:ilvl w:val="0"/>
          <w:numId w:val="1025"/>
        </w:numPr>
        <w:pStyle w:val="Compact"/>
      </w:pPr>
      <w:r>
        <w:t xml:space="preserve">Pre-defined KPI architecture (before having results)</w:t>
      </w:r>
    </w:p>
    <w:p>
      <w:pPr>
        <w:numPr>
          <w:ilvl w:val="0"/>
          <w:numId w:val="1025"/>
        </w:numPr>
        <w:pStyle w:val="Compact"/>
      </w:pPr>
      <w:r>
        <w:t xml:space="preserve">Authority &amp; incentive design disclosure</w:t>
      </w:r>
    </w:p>
    <w:p>
      <w:pPr>
        <w:numPr>
          <w:ilvl w:val="0"/>
          <w:numId w:val="1025"/>
        </w:numPr>
        <w:pStyle w:val="Compact"/>
      </w:pPr>
      <w:r>
        <w:t xml:space="preserve">Infrastructure boundaries (what you do NOT do)</w:t>
      </w:r>
    </w:p>
    <w:p>
      <w:pPr>
        <w:numPr>
          <w:ilvl w:val="0"/>
          <w:numId w:val="1025"/>
        </w:numPr>
        <w:pStyle w:val="Compact"/>
      </w:pPr>
      <w:r>
        <w:t xml:space="preserve">Data sovereignty &amp; jurisdictional model</w:t>
      </w:r>
    </w:p>
    <w:p>
      <w:pPr>
        <w:numPr>
          <w:ilvl w:val="0"/>
          <w:numId w:val="1025"/>
        </w:numPr>
        <w:pStyle w:val="Compact"/>
      </w:pPr>
      <w:r>
        <w:t xml:space="preserve">Incident response doctrine</w:t>
      </w:r>
    </w:p>
    <w:p>
      <w:pPr>
        <w:numPr>
          <w:ilvl w:val="0"/>
          <w:numId w:val="1025"/>
        </w:numPr>
        <w:pStyle w:val="Compact"/>
      </w:pPr>
      <w:r>
        <w:t xml:space="preserve">Economic model transparency</w:t>
      </w:r>
    </w:p>
    <w:p>
      <w:pPr>
        <w:numPr>
          <w:ilvl w:val="0"/>
          <w:numId w:val="1025"/>
        </w:numPr>
        <w:pStyle w:val="Compact"/>
      </w:pPr>
      <w:r>
        <w:t xml:space="preserve">Scenario stress testing (40% capital contraction, regulatory tightening)</w:t>
      </w:r>
    </w:p>
    <w:p>
      <w:pPr>
        <w:numPr>
          <w:ilvl w:val="0"/>
          <w:numId w:val="1025"/>
        </w:numPr>
        <w:pStyle w:val="Compact"/>
      </w:pPr>
      <w:r>
        <w:t xml:space="preserve">Time horizon declaration (3-year vs 7-year vs perpetual)</w:t>
      </w:r>
    </w:p>
    <w:p>
      <w:pPr>
        <w:pStyle w:val="Heading2"/>
      </w:pPr>
      <w:bookmarkStart w:id="98" w:name="content-exclusion-rules"/>
      <w:r>
        <w:t xml:space="preserve">Content Exclusion Rules</w:t>
      </w:r>
      <w:bookmarkEnd w:id="98"/>
    </w:p>
    <w:p>
      <w:pPr>
        <w:pStyle w:val="FirstParagraph"/>
      </w:pPr>
      <w:r>
        <w:t>No inspirational origin stories, no founder mythology, no “revolutionizing everything” language, no grandiose market projections, no roadmaps implying inevitability. Core principle: “The real signal of maturity is constraint.”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9" w:name="part-xiii-brutal-clarity-mode"/>
      <w:r>
        <w:t xml:space="preserve">PART XIII — BRUTAL CLARITY MODE</w:t>
      </w:r>
      <w:bookmarkEnd w:id="99"/>
    </w:p>
    <w:p>
      <w:pPr>
        <w:pStyle w:val="Heading2"/>
      </w:pPr>
      <w:bookmarkStart w:id="100" w:name="challenge-to-the-founder"/>
      <w:r>
        <w:t xml:space="preserve">Challenge to the Founder</w:t>
      </w:r>
      <w:bookmarkEnd w:id="100"/>
    </w:p>
    <w:p>
      <w:pPr>
        <w:pStyle w:val="FirstParagraph"/>
      </w:pPr>
      <w:r>
        <w:t xml:space="preserve">The strategic vision across 12 documents is genuinely exceptional in scope, coherence, and depth. The Frankmax governance thesis is particularly powerful—it identifies a real functional monopoly in pre-incident accountability. The AINEF OS architecture is sound in principle. The risk is not lack of ambition—it’s drowning in ambition while generating zero revenue.</w:t>
      </w:r>
    </w:p>
    <w:p>
      <w:pPr>
        <w:pStyle w:val="Heading2"/>
      </w:pPr>
      <w:bookmarkStart w:id="101" w:name="priority-order-non-negotiable"/>
      <w:r>
        <w:t xml:space="preserve">Priority Order (Non-Negotiable)</w:t>
      </w:r>
      <w:bookmarkEnd w:id="101"/>
    </w:p>
    <w:p>
      <w:pPr>
        <w:numPr>
          <w:ilvl w:val="0"/>
          <w:numId w:val="1026"/>
        </w:numPr>
        <w:pStyle w:val="Compact"/>
      </w:pPr>
      <w:r>
        <w:t xml:space="preserve">One vertical, one buyer, one recurring pain, one 60-day deployment, one pricing formula = revenue architecture not positioning language. (2) First $5K/month from any source. (3) First 10 paying customers. (4) First operator completing a real revenue-generating cycle. Everything else waits.</w:t>
      </w:r>
    </w:p>
    <w:p>
      <w:pPr>
        <w:pStyle w:val="Heading2"/>
      </w:pPr>
      <w:bookmarkStart w:id="102" w:name="final-imperative"/>
      <w:r>
        <w:t xml:space="preserve">Final Imperative</w:t>
      </w:r>
      <w:bookmarkEnd w:id="102"/>
    </w:p>
    <w:p>
      <w:pPr>
        <w:pStyle w:val="FirstParagraph"/>
      </w:pPr>
      <w:r>
        <w:t xml:space="preserve">The founder’s most dangerous enemy is not competition. It is the seductive completeness of the architecture itself. The documents are the plan. Now kill the documents and build.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47261bad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TOTAL PROJECT STRATEGIC CONSOLIDATION</dc:title>
  <dc:creator>Andrew Palupillai / FrankMax Digital</dc:creator>
  <cp:keywords/>
  <dcterms:created xsi:type="dcterms:W3CDTF">2026-02-27T08:18:04Z</dcterms:created>
  <dcterms:modified xsi:type="dcterms:W3CDTF">2026-02-27T08:18:04Z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27, 2026</vt:lpwstr>
  </property>
  <property fmtid="{D5CDD505-2E9C-101B-9397-08002B2CF9AE}" pid="3" name="note">
    <vt:lpwstr>Based on full ingestion of 12 documents (172,303 lines / 4.2 MB)</vt:lpwstr>
  </property>
  <property fmtid="{D5CDD505-2E9C-101B-9397-08002B2CF9AE}" pid="4" name="subtitle">
    <vt:lpwstr>Revised Full Ingestion Report (V2)</vt:lpwstr>
  </property>
</Properties>
</file>