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TOTAL PROJECT STRATEGIC CONSOLIDATION V3</w:t>
      </w:r>
    </w:p>
    <w:p>
      <w:pPr>
        <w:jc w:val="center"/>
      </w:pPr>
      <w:r>
        <w:rPr>
          <w:b/>
          <w:sz w:val="36"/>
        </w:rPr>
        <w:t>Complete Ingestion Report</w:t>
      </w:r>
    </w:p>
    <w:p>
      <w:pPr>
        <w:jc w:val="center"/>
      </w:pPr>
      <w:r>
        <w:rPr>
          <w:i/>
          <w:sz w:val="24"/>
        </w:rPr>
        <w:t>FrankMax Digital / AINEF OS / Frankmax Governance / WGE / LPI</w:t>
      </w:r>
    </w:p>
    <w:p>
      <w:pPr>
        <w:jc w:val="center"/>
      </w:pPr>
      <w:r>
        <w:rPr>
          <w:i/>
          <w:sz w:val="24"/>
        </w:rPr>
        <w:t>Complete Ecosystem Architecture, Constitutional Framework &amp; Execution Blueprint</w:t>
      </w:r>
    </w:p>
    <w:p/>
    <w:p/>
    <w:p>
      <w:pPr>
        <w:jc w:val="center"/>
      </w:pPr>
      <w:r>
        <w:rPr>
          <w:sz w:val="22"/>
        </w:rPr>
        <w:t>February 27, 2026</w:t>
      </w:r>
    </w:p>
    <w:p>
      <w:pPr>
        <w:jc w:val="center"/>
      </w:pPr>
      <w:r>
        <w:rPr>
          <w:i/>
          <w:sz w:val="20"/>
        </w:rPr>
        <w:t>Based on full ingestion of 18 documents (242,570 lines / 5.8 MB)</w:t>
      </w:r>
    </w:p>
    <w:p>
      <w:r>
        <w:br w:type="page"/>
      </w:r>
    </w:p>
    <w:p>
      <w:pPr>
        <w:pStyle w:val="Heading1"/>
      </w:pPr>
      <w:r>
        <w:t>Table of Contents</w:t>
      </w:r>
    </w:p>
    <w:p>
      <w:r>
        <w:t>(See Word document - TOC auto-generated)</w:t>
      </w:r>
    </w:p>
    <w:p>
      <w:r>
        <w:br w:type="page"/>
      </w:r>
    </w:p>
    <w:p>
      <w:pPr>
        <w:pStyle w:val="Heading1"/>
      </w:pPr>
      <w:r>
        <w:t>PART I — EXECUTIVE RECONSTRUCTION</w:t>
      </w:r>
    </w:p>
    <w:p>
      <w:pPr>
        <w:pStyle w:val="Heading2"/>
      </w:pPr>
      <w:r>
        <w:t>Project Identity</w:t>
      </w:r>
    </w:p>
    <w:p>
      <w:pPr>
        <w:spacing w:line="276" w:lineRule="auto"/>
      </w:pPr>
      <w:r>
        <w:t>The founder (Andrew Palupillai / FrankMax Digital) is building a multi-layered ecosystem with five interlocking entities: (1) AINEFF — Foundational Constitutional Charter Entity (non-operating), (2) AINEF — Venture Creation &amp; Termination Vehicle (enterprise factory), (3) AINEG — Zero-Intelligence Coordination Entity (pure signal enforcement), (4) AINE — AI-Native Enterprises (execution organisms), and (5) WGE — Work Genesis Engine (human coordination layer). Additionally: Frankmax (pre-incident governance), Levelupmax (talent refinery), and LPI (Limitless Private Intelligence — sovereign AI infrastructure). The project spans 18 strategic documents totaling 242,570 lines.</w:t>
      </w:r>
    </w:p>
    <w:p>
      <w:pPr>
        <w:pStyle w:val="Heading2"/>
      </w:pPr>
      <w:r>
        <w:t>True End-State Vision</w:t>
      </w:r>
    </w:p>
    <w:p>
      <w:pPr>
        <w:spacing w:line="276" w:lineRule="auto"/>
      </w:pPr>
      <w:r>
        <w:t>Not a company. Not a platform. A constitutional economic coordination protocol — the grammar of cooperation between enterprises. Infrastructure that becomes economically harder to remove than to adopt. TCP/IP for enterprise coordination. Double-entry bookkeeping for execution truth. Clearing houses for capital discipline. At civilization scale: invisible infrastructure where 1,000+ enterprises use the mandate protocol, and the system shapes how they interact without owning them.</w:t>
      </w:r>
    </w:p>
    <w:p>
      <w:pPr>
        <w:pStyle w:val="Heading2"/>
      </w:pPr>
      <w:r>
        <w:t>Core Strategic DNA (12 Principles)</w:t>
      </w:r>
    </w:p>
    <w:p>
      <w:pPr>
        <w:pStyle w:val="ListBullet"/>
        <w:spacing w:line="276" w:lineRule="auto"/>
      </w:pPr>
      <w:r>
        <w:t>Cash-first execution (revenue within 30-60 days)</w:t>
      </w:r>
    </w:p>
    <w:p>
      <w:pPr>
        <w:pStyle w:val="ListBullet"/>
        <w:spacing w:line="276" w:lineRule="auto"/>
      </w:pPr>
      <w:r>
        <w:t>Zero-capital starting position</w:t>
      </w:r>
    </w:p>
    <w:p>
      <w:pPr>
        <w:pStyle w:val="ListBullet"/>
        <w:spacing w:line="276" w:lineRule="auto"/>
      </w:pPr>
      <w:r>
        <w:t>Enterprises are mortal (automatic death triggers)</w:t>
      </w:r>
    </w:p>
    <w:p>
      <w:pPr>
        <w:pStyle w:val="ListBullet"/>
        <w:spacing w:line="276" w:lineRule="auto"/>
      </w:pPr>
      <w:r>
        <w:t>Authority does not scale (no permanent existence)</w:t>
      </w:r>
    </w:p>
    <w:p>
      <w:pPr>
        <w:pStyle w:val="ListBullet"/>
        <w:spacing w:line="276" w:lineRule="auto"/>
      </w:pPr>
      <w:r>
        <w:t>All execution requires human ratification</w:t>
      </w:r>
    </w:p>
    <w:p>
      <w:pPr>
        <w:pStyle w:val="ListBullet"/>
        <w:spacing w:line="276" w:lineRule="auto"/>
      </w:pPr>
      <w:r>
        <w:t>Mechanical escalation is mandatory</w:t>
      </w:r>
    </w:p>
    <w:p>
      <w:pPr>
        <w:pStyle w:val="ListBullet"/>
        <w:spacing w:line="276" w:lineRule="auto"/>
      </w:pPr>
      <w:r>
        <w:t>No intelligence inheritance after death</w:t>
      </w:r>
    </w:p>
    <w:p>
      <w:pPr>
        <w:pStyle w:val="ListBullet"/>
        <w:spacing w:line="276" w:lineRule="auto"/>
      </w:pPr>
      <w:r>
        <w:t>Constraint-driven execution over voting-based coordination</w:t>
      </w:r>
    </w:p>
    <w:p>
      <w:pPr>
        <w:pStyle w:val="ListBullet"/>
        <w:spacing w:line="276" w:lineRule="auto"/>
      </w:pPr>
      <w:r>
        <w:t>Provider-agnostic architecture</w:t>
      </w:r>
    </w:p>
    <w:p>
      <w:pPr>
        <w:pStyle w:val="ListBullet"/>
        <w:spacing w:line="276" w:lineRule="auto"/>
      </w:pPr>
      <w:r>
        <w:t>Governance as competitive advantage (baked in, not bolted on)</w:t>
      </w:r>
    </w:p>
    <w:p>
      <w:pPr>
        <w:pStyle w:val="ListBullet"/>
        <w:spacing w:line="276" w:lineRule="auto"/>
      </w:pPr>
      <w:r>
        <w:t>Agent-native design (AI organisms, not AI features)</w:t>
      </w:r>
    </w:p>
    <w:p>
      <w:pPr>
        <w:pStyle w:val="ListBullet"/>
        <w:spacing w:line="276" w:lineRule="auto"/>
      </w:pPr>
      <w:r>
        <w:t>Constitutional governance (outlives founders)</w:t>
      </w:r>
    </w:p>
    <w:p>
      <w:pPr>
        <w:pStyle w:val="Heading2"/>
      </w:pPr>
      <w:r>
        <w:t>The Philosophical Foundation</w:t>
      </w:r>
    </w:p>
    <w:p>
      <w:pPr>
        <w:spacing w:line="276" w:lineRule="auto"/>
      </w:pPr>
      <w:r>
        <w:t>The entire project rests on a fundamental constraint: Any system — human, AI, or hybrid — that makes decisions under uncertainty must trade off explainability, speed, and optimality. It is impossible to maximize all three simultaneously at scale. This is not a preference. It is a hard boundary backed by computational theory, information theory, and control theory. This constraint is adversarially amplified — it intensifies with intelligence and power. AI does not solve it; it sharpens it. Frankmax exists to help organizations navigate this constraint. AINEF OS exists to operationalize it.</w:t>
      </w:r>
    </w:p>
    <w:p>
      <w:r>
        <w:br w:type="page"/>
      </w:r>
    </w:p>
    <w:p>
      <w:pPr>
        <w:pStyle w:val="Heading1"/>
      </w:pPr>
      <w:r>
        <w:t>PART II — THE FIVE-ENTITY CONSTITUTIONAL ARCHITECTURE</w:t>
      </w:r>
    </w:p>
    <w:p>
      <w:pPr>
        <w:pStyle w:val="Heading2"/>
      </w:pPr>
      <w:r>
        <w:t>AINEFF (Foundational Charter)</w:t>
      </w:r>
    </w:p>
    <w:p>
      <w:pPr>
        <w:spacing w:line="276" w:lineRule="auto"/>
      </w:pPr>
      <w:r>
        <w:t>Non-operating constitutional law layer. Defines the rules all other entities must obey. Cannot be modified without supermajority ratification (72% capital-weighted), 90-day cooling period, public rationale publication, and 60-day delayed enforcement. Amendment proposer must post 1% of total system capital as risk bond — forfeited if amendment correlates with entropy increase over 12 months. Regression cost: any discretionary override taxed at 3% of affected capital.</w:t>
      </w:r>
    </w:p>
    <w:p>
      <w:pPr>
        <w:pStyle w:val="Heading2"/>
      </w:pPr>
      <w:r>
        <w:t>AINEF (Venture Factory)</w:t>
      </w:r>
    </w:p>
    <w:p>
      <w:pPr>
        <w:spacing w:line="276" w:lineRule="auto"/>
      </w:pPr>
      <w:r>
        <w:t>Enterprise factory handling birth and death only. Creates venture objects with: single objective vector, fixed capital envelope, time window, KPI bands (Green &gt;=95%, Yellow 80-94%, Red 60-79%, Critical &lt;60%), bi-weekly reporting, and escalation ladder (Warning, Capital Throttle, Freeze, Kill). Mortality condition: X consecutive breach cycles = automatic termination. No override.</w:t>
      </w:r>
    </w:p>
    <w:p>
      <w:pPr>
        <w:pStyle w:val="Heading2"/>
      </w:pPr>
      <w:r>
        <w:t>AINEG (Signal Enforcement)</w:t>
      </w:r>
    </w:p>
    <w:p>
      <w:pPr>
        <w:spacing w:line="276" w:lineRule="auto"/>
      </w:pPr>
      <w:r>
        <w:t>Zero-intelligence coordination entity. Pure signal enforcement with no discretion. Enforces capital gating algorithmically: KPI &gt;=95% = full release, 80-94% = 25% throttle, 60-79% = freeze expansion, &lt;60% for 1 cycle = mandatory review, &lt;60% for 2 cycles = termination countdown, &lt;60% for 3 cycles = automatic termination. No committee override allowed.</w:t>
      </w:r>
    </w:p>
    <w:p>
      <w:pPr>
        <w:pStyle w:val="Heading2"/>
      </w:pPr>
      <w:r>
        <w:t>AINE (Execution Organisms)</w:t>
      </w:r>
    </w:p>
    <w:p>
      <w:pPr>
        <w:spacing w:line="276" w:lineRule="auto"/>
      </w:pPr>
      <w:r>
        <w:t>AI-Native Enterprises — the actual execution units. Each is mortal by design with pre-defined kill conditions. Contains venture cells (3-5 operators), bounded capital envelopes, 60-90 day proof cycles. Runs on OpenClaw runtime stack.</w:t>
      </w:r>
    </w:p>
    <w:p>
      <w:pPr>
        <w:pStyle w:val="Heading2"/>
      </w:pPr>
      <w:r>
        <w:t>WGE (Work Genesis Engine)</w:t>
      </w:r>
    </w:p>
    <w:p>
      <w:pPr>
        <w:spacing w:line="276" w:lineRule="auto"/>
      </w:pPr>
      <w:r>
        <w:t>Human coordination layer. Three structural layers: Control Plane (3-5 humans max owning economic state and kill authority), Namespaces (isolated revenue units with capital quotas and margin floors), and Pods (stateless replaceable execution operators). Pod lifecycle: Candidate, Bootcamp Trainee, Probationary, Active, Elevated (intrapreneur), Equity Participant, Degraded, Terminated, Forensic Sandbox, Redeployed/Archived, Alumni Network Node.</w:t>
      </w:r>
    </w:p>
    <w:p>
      <w:pPr>
        <w:pStyle w:val="Heading2"/>
      </w:pPr>
      <w:r>
        <w:t>Death Protocol</w:t>
      </w:r>
    </w:p>
    <w:p>
      <w:pPr>
        <w:spacing w:line="276" w:lineRule="auto"/>
      </w:pPr>
      <w:r>
        <w:t>Upon termination: Cell dissolved within 7 days, remaining capital returned to central pool, failure report published within 14 days, post-mortem added to telemetry library, no relaunch of identical mandate for 6 months. Expected healthy mortality: 20-30% of ventures die in early cycles. Zero-death portfolio indicates insufficient risk-taking.</w:t>
      </w:r>
    </w:p>
    <w:p>
      <w:pPr>
        <w:pStyle w:val="Heading2"/>
      </w:pPr>
      <w:r>
        <w:t>Power Concentration Index (Anti-Oligarchy)</w:t>
      </w:r>
    </w:p>
    <w:p>
      <w:pPr>
        <w:spacing w:line="276" w:lineRule="auto"/>
      </w:pPr>
      <w:r>
        <w:t>PCI = 0.4*(Capital Share%) + 0.3*(Mandate Share%) + 0.2*(Insurance Exposure%) + 0.1*(Cross-Entity Dependency%). PCI &gt;18 = warning, &gt;25 = capital throttle -30%, &gt;35 = mandatory spin-off within 90 days, &gt;45 = automatic liquidation. Founder entities subject to same limits — non-negotiable.</w:t>
      </w:r>
    </w:p>
    <w:p>
      <w:r>
        <w:br w:type="page"/>
      </w:r>
    </w:p>
    <w:p>
      <w:pPr>
        <w:pStyle w:val="Heading1"/>
      </w:pPr>
      <w:r>
        <w:t>PART III — FRANKMAX GOVERNANCE ARCHITECTURE</w:t>
      </w:r>
    </w:p>
    <w:p>
      <w:pPr>
        <w:pStyle w:val="Heading2"/>
      </w:pPr>
      <w:r>
        <w:t>Core Definition</w:t>
      </w:r>
    </w:p>
    <w:p>
      <w:pPr>
        <w:spacing w:line="276" w:lineRule="auto"/>
      </w:pPr>
      <w:r>
        <w:t>Pre-incident decision control system. Two simultaneous functions: prevents foreseeable avoidable failure, and makes any proceeding decision defensible under investigation. If a decision cannot meet both conditions, Frankmax stops it.</w:t>
      </w:r>
    </w:p>
    <w:p>
      <w:pPr>
        <w:pStyle w:val="Heading2"/>
      </w:pPr>
      <w:r>
        <w:t>Non-Negotiable Rule</w:t>
      </w:r>
    </w:p>
    <w:p>
      <w:pPr>
        <w:spacing w:line="276" w:lineRule="auto"/>
      </w:pPr>
      <w:r>
        <w:t>No decision progresses if risk is foreseeable, avoidable, and unmitigated — regardless of signature willingness.</w:t>
      </w:r>
    </w:p>
    <w:p>
      <w:pPr>
        <w:pStyle w:val="Heading2"/>
      </w:pPr>
      <w:r>
        <w:t>Seven Core Services</w:t>
      </w:r>
    </w:p>
    <w:p>
      <w:pPr>
        <w:pStyle w:val="ListNumber"/>
        <w:spacing w:line="276" w:lineRule="auto"/>
      </w:pPr>
      <w:r>
        <w:t>Pre-Incident Accountability Review (PIAR) — mandatory entry point</w:t>
      </w:r>
    </w:p>
    <w:p>
      <w:pPr>
        <w:pStyle w:val="ListNumber"/>
        <w:spacing w:line="276" w:lineRule="auto"/>
      </w:pPr>
      <w:r>
        <w:t>Authority &amp; Liability Mapping</w:t>
      </w:r>
    </w:p>
    <w:p>
      <w:pPr>
        <w:pStyle w:val="ListNumber"/>
        <w:spacing w:line="276" w:lineRule="auto"/>
      </w:pPr>
      <w:r>
        <w:t>Failure Propagation &amp; Blast-Radius Analysis</w:t>
      </w:r>
    </w:p>
    <w:p>
      <w:pPr>
        <w:pStyle w:val="ListNumber"/>
        <w:spacing w:line="276" w:lineRule="auto"/>
      </w:pPr>
      <w:r>
        <w:t>Jurisdictional Exposure &amp; Enforcement Readiness</w:t>
      </w:r>
    </w:p>
    <w:p>
      <w:pPr>
        <w:pStyle w:val="ListNumber"/>
        <w:spacing w:line="276" w:lineRule="auto"/>
      </w:pPr>
      <w:r>
        <w:t>Decision Defensibility Structuring</w:t>
      </w:r>
    </w:p>
    <w:p>
      <w:pPr>
        <w:pStyle w:val="ListNumber"/>
        <w:spacing w:line="276" w:lineRule="auto"/>
      </w:pPr>
      <w:r>
        <w:t>Institutional Memory &amp; Accountability Continuity</w:t>
      </w:r>
    </w:p>
    <w:p>
      <w:pPr>
        <w:pStyle w:val="ListNumber"/>
        <w:spacing w:line="276" w:lineRule="auto"/>
      </w:pPr>
      <w:r>
        <w:t>Accreditation &amp; External Defensibility Signals</w:t>
      </w:r>
    </w:p>
    <w:p>
      <w:pPr>
        <w:pStyle w:val="Heading2"/>
      </w:pPr>
      <w:r>
        <w:t>Enforcement Architecture</w:t>
      </w:r>
    </w:p>
    <w:p>
      <w:pPr>
        <w:spacing w:line="276" w:lineRule="auto"/>
      </w:pPr>
      <w:r>
        <w:t>Board-level refusal protocol, D&amp;O insurance integration, regulator-safe codification, override mechanism requiring written personal accountability (becomes evidence), bypass logged as governance misconduct.</w:t>
      </w:r>
    </w:p>
    <w:p>
      <w:pPr>
        <w:pStyle w:val="Heading2"/>
      </w:pPr>
      <w:r>
        <w:t>Monopoly Thesis</w:t>
      </w:r>
    </w:p>
    <w:p>
      <w:pPr>
        <w:spacing w:line="276" w:lineRule="auto"/>
      </w:pPr>
      <w:r>
        <w:t>Functional monopoly — the only credible mechanism that simultaneously blocks pre-approval, forces redesign, and makes bypass itself evidence of recklessness. Federation model: scales like courts, not franchises. One canonical standard globally, local nodes sovereign but bound.</w:t>
      </w:r>
    </w:p>
    <w:p>
      <w:r>
        <w:br w:type="page"/>
      </w:r>
    </w:p>
    <w:p>
      <w:pPr>
        <w:pStyle w:val="Heading1"/>
      </w:pPr>
      <w:r>
        <w:t>PART IV — LIMITLESS PRIVATE INTELLIGENCE (LPI)</w:t>
      </w:r>
    </w:p>
    <w:p>
      <w:pPr>
        <w:pStyle w:val="Heading2"/>
      </w:pPr>
      <w:r>
        <w:t>Core Promise</w:t>
      </w:r>
    </w:p>
    <w:p>
      <w:pPr>
        <w:spacing w:line="276" w:lineRule="auto"/>
      </w:pPr>
      <w:r>
        <w:t>Your intelligence stays yours.</w:t>
      </w:r>
    </w:p>
    <w:p>
      <w:pPr>
        <w:pStyle w:val="Heading2"/>
      </w:pPr>
      <w:r>
        <w:t>10 Target Audiences</w:t>
      </w:r>
    </w:p>
    <w:p>
      <w:pPr>
        <w:pStyle w:val="ListNumber"/>
        <w:spacing w:line="276" w:lineRule="auto"/>
      </w:pPr>
      <w:r>
        <w:t>Empires (multi-generational, centuries): 23 sovereign AI services including decision core, foresight engine, security vault, imperial intelligence grid, private military cognition stack, civilizational continuity vault</w:t>
      </w:r>
    </w:p>
    <w:p>
      <w:pPr>
        <w:pStyle w:val="ListNumber"/>
        <w:spacing w:line="276" w:lineRule="auto"/>
      </w:pPr>
      <w:r>
        <w:t>Governments: 15 services including national intelligence cloud, policy prediction, crisis response, anti-corruption, election integrity, ministry-level pods</w:t>
      </w:r>
    </w:p>
    <w:p>
      <w:pPr>
        <w:pStyle w:val="ListNumber"/>
        <w:spacing w:line="276" w:lineRule="auto"/>
      </w:pPr>
      <w:r>
        <w:t>Dynasties: Long-arc inheritance intelligence, multi-generational knowledge</w:t>
      </w:r>
    </w:p>
    <w:p>
      <w:pPr>
        <w:pStyle w:val="ListNumber"/>
        <w:spacing w:line="276" w:lineRule="auto"/>
      </w:pPr>
      <w:r>
        <w:t>Multinationals &amp; Financial Institutions: Internal intelligence clouds, risk navigation</w:t>
      </w:r>
    </w:p>
    <w:p>
      <w:pPr>
        <w:pStyle w:val="ListNumber"/>
        <w:spacing w:line="276" w:lineRule="auto"/>
      </w:pPr>
      <w:r>
        <w:t>Infrastructure Operators: Predictive systems, grid intelligence</w:t>
      </w:r>
    </w:p>
    <w:p>
      <w:pPr>
        <w:pStyle w:val="ListNumber"/>
        <w:spacing w:line="276" w:lineRule="auto"/>
      </w:pPr>
      <w:r>
        <w:t>Universities &amp; Research Hubs: Autonomous knowledge wells, agent societies</w:t>
      </w:r>
    </w:p>
    <w:p>
      <w:pPr>
        <w:pStyle w:val="ListNumber"/>
        <w:spacing w:line="276" w:lineRule="auto"/>
      </w:pPr>
      <w:r>
        <w:t>Private Founders: Private superintelligence labs, secret invention</w:t>
      </w:r>
    </w:p>
    <w:p>
      <w:pPr>
        <w:pStyle w:val="ListNumber"/>
        <w:spacing w:line="276" w:lineRule="auto"/>
      </w:pPr>
      <w:r>
        <w:t>Anti-Disruption Companies: Danger detection before competitors act</w:t>
      </w:r>
    </w:p>
    <w:p>
      <w:pPr>
        <w:pStyle w:val="ListNumber"/>
        <w:spacing w:line="276" w:lineRule="auto"/>
      </w:pPr>
      <w:r>
        <w:t>Cloud-Avoidance Companies: Complete on-prem closed-LAN cognition</w:t>
      </w:r>
    </w:p>
    <w:p>
      <w:pPr>
        <w:pStyle w:val="ListNumber"/>
        <w:spacing w:line="276" w:lineRule="auto"/>
      </w:pPr>
      <w:r>
        <w:t>Private Individuals: Personal intelligence chamber</w:t>
      </w:r>
    </w:p>
    <w:p>
      <w:r>
        <w:br w:type="page"/>
      </w:r>
    </w:p>
    <w:p>
      <w:pPr>
        <w:pStyle w:val="Heading1"/>
      </w:pPr>
      <w:r>
        <w:t>PART V — LEVELUPMAX TALENT REFINERY</w:t>
      </w:r>
    </w:p>
    <w:p>
      <w:pPr>
        <w:pStyle w:val="Heading2"/>
      </w:pPr>
      <w:r>
        <w:t>Core Function</w:t>
      </w:r>
    </w:p>
    <w:p>
      <w:pPr>
        <w:spacing w:line="276" w:lineRule="auto"/>
      </w:pPr>
      <w:r>
        <w:t>Controlled talent refinery converting raw ambition into governed execution capacity. Not education. Not bootcamp. A production-backed operator licensing system issuing authority tiers based on performance under constraint.</w:t>
      </w:r>
    </w:p>
    <w:p>
      <w:pPr>
        <w:pStyle w:val="Heading2"/>
      </w:pPr>
      <w:r>
        <w:t>Six-Stage Operator Progression</w:t>
      </w:r>
    </w:p>
    <w:p>
      <w:pPr>
        <w:pStyle w:val="ListNumber"/>
        <w:spacing w:line="276" w:lineRule="auto"/>
      </w:pPr>
      <w:r>
        <w:t>Filter</w:t>
      </w:r>
    </w:p>
    <w:p>
      <w:pPr>
        <w:pStyle w:val="ListNumber"/>
        <w:spacing w:line="276" w:lineRule="auto"/>
      </w:pPr>
      <w:r>
        <w:t>Observe</w:t>
      </w:r>
    </w:p>
    <w:p>
      <w:pPr>
        <w:pStyle w:val="ListNumber"/>
        <w:spacing w:line="276" w:lineRule="auto"/>
      </w:pPr>
      <w:r>
        <w:t>Assist</w:t>
      </w:r>
    </w:p>
    <w:p>
      <w:pPr>
        <w:pStyle w:val="ListNumber"/>
        <w:spacing w:line="276" w:lineRule="auto"/>
      </w:pPr>
      <w:r>
        <w:t>Execute (bounded)</w:t>
      </w:r>
    </w:p>
    <w:p>
      <w:pPr>
        <w:pStyle w:val="ListNumber"/>
        <w:spacing w:line="276" w:lineRule="auto"/>
      </w:pPr>
      <w:r>
        <w:t>Execute (autonomous)</w:t>
      </w:r>
    </w:p>
    <w:p>
      <w:pPr>
        <w:pStyle w:val="ListNumber"/>
        <w:spacing w:line="276" w:lineRule="auto"/>
      </w:pPr>
      <w:r>
        <w:t>Govern / Allocate Capital</w:t>
      </w:r>
    </w:p>
    <w:p>
      <w:pPr>
        <w:pStyle w:val="Heading2"/>
      </w:pPr>
      <w:r>
        <w:t>Five Authority Tiers</w:t>
      </w:r>
    </w:p>
    <w:p>
      <w:pPr>
        <w:pStyle w:val="ListBullet"/>
        <w:spacing w:line="276" w:lineRule="auto"/>
      </w:pPr>
      <w:r>
        <w:t>Tier 1 (40%): Foundation Operators — negative or breakeven</w:t>
      </w:r>
    </w:p>
    <w:p>
      <w:pPr>
        <w:pStyle w:val="ListBullet"/>
        <w:spacing w:line="276" w:lineRule="auto"/>
      </w:pPr>
      <w:r>
        <w:t>Tier 2 (30%): Standard Operators — modest positive, limited authority</w:t>
      </w:r>
    </w:p>
    <w:p>
      <w:pPr>
        <w:pStyle w:val="ListBullet"/>
        <w:spacing w:line="276" w:lineRule="auto"/>
      </w:pPr>
      <w:r>
        <w:t>Tier 3 (20%): Senior Operators — strong positive, expanded authority</w:t>
      </w:r>
    </w:p>
    <w:p>
      <w:pPr>
        <w:pStyle w:val="ListBullet"/>
        <w:spacing w:line="276" w:lineRule="auto"/>
      </w:pPr>
      <w:r>
        <w:t>Tier 4 (8%): Principal Operators — capital allocation authority</w:t>
      </w:r>
    </w:p>
    <w:p>
      <w:pPr>
        <w:pStyle w:val="ListBullet"/>
        <w:spacing w:line="276" w:lineRule="auto"/>
      </w:pPr>
      <w:r>
        <w:t>Tier 5 (2%): Structural Profit Drivers — design governance architecture</w:t>
      </w:r>
    </w:p>
    <w:p>
      <w:pPr>
        <w:pStyle w:val="Heading2"/>
      </w:pPr>
      <w:r>
        <w:t>Compensation Architecture (6 Phases)</w:t>
      </w:r>
    </w:p>
    <w:p>
      <w:pPr>
        <w:pStyle w:val="ListNumber"/>
        <w:spacing w:line="276" w:lineRule="auto"/>
      </w:pPr>
      <w:r>
        <w:t>Phase 0 (Bootcamp, 30-90 days): No compensation</w:t>
      </w:r>
    </w:p>
    <w:p>
      <w:pPr>
        <w:pStyle w:val="ListNumber"/>
        <w:spacing w:line="276" w:lineRule="auto"/>
      </w:pPr>
      <w:r>
        <w:t>Phase 1 (Tier 0 Observer): No compensation</w:t>
      </w:r>
    </w:p>
    <w:p>
      <w:pPr>
        <w:pStyle w:val="ListNumber"/>
        <w:spacing w:line="276" w:lineRule="auto"/>
      </w:pPr>
      <w:r>
        <w:t>Phase 2 (Tier 1 Assisted): $800-$2,000/month + variable</w:t>
      </w:r>
    </w:p>
    <w:p>
      <w:pPr>
        <w:pStyle w:val="ListNumber"/>
        <w:spacing w:line="276" w:lineRule="auto"/>
      </w:pPr>
      <w:r>
        <w:t>Phase 3 (Tier 2 Bounded): $2,000-$4,000/month + variable</w:t>
      </w:r>
    </w:p>
    <w:p>
      <w:pPr>
        <w:pStyle w:val="ListNumber"/>
        <w:spacing w:line="276" w:lineRule="auto"/>
      </w:pPr>
      <w:r>
        <w:t>Phase 4 (Tier 3 Autonomous): $4,000-$8,000/month ($80K-$150K annual)</w:t>
      </w:r>
    </w:p>
    <w:p>
      <w:pPr>
        <w:pStyle w:val="ListNumber"/>
        <w:spacing w:line="276" w:lineRule="auto"/>
      </w:pPr>
      <w:r>
        <w:t>Phase 5 (Tier 4 Governance): $90K-$160K annual</w:t>
      </w:r>
    </w:p>
    <w:p>
      <w:pPr>
        <w:pStyle w:val="ListNumber"/>
        <w:spacing w:line="276" w:lineRule="auto"/>
      </w:pPr>
      <w:r>
        <w:t>Phase 6 (Tier 5 Capital): $120K-$200K + long-term equity (5-7 year vesting)</w:t>
      </w:r>
    </w:p>
    <w:p>
      <w:pPr>
        <w:pStyle w:val="Heading2"/>
      </w:pPr>
      <w:r>
        <w:t>Pre-Bootcamp Selection Filters</w:t>
      </w:r>
    </w:p>
    <w:p>
      <w:pPr>
        <w:spacing w:line="276" w:lineRule="auto"/>
      </w:pPr>
      <w:r>
        <w:t>Minimum 3 prior execution cycles, decision loss rate &lt;40%, simulated capital loss test (-30% scenario), KPI forecast error &lt;20% MAPE, stress simulation (48-hour compressed), impulse deviation &lt;15%, mandatory mortality oath signed.</w:t>
      </w:r>
    </w:p>
    <w:p>
      <w:pPr>
        <w:pStyle w:val="Heading2"/>
      </w:pPr>
      <w:r>
        <w:t>Pricing</w:t>
      </w:r>
    </w:p>
    <w:p>
      <w:pPr>
        <w:pStyle w:val="ListBullet"/>
        <w:spacing w:line="276" w:lineRule="auto"/>
      </w:pPr>
      <w:r>
        <w:t>Standard Track: $1,000-$1,500 per participant</w:t>
      </w:r>
    </w:p>
    <w:p>
      <w:pPr>
        <w:pStyle w:val="ListBullet"/>
        <w:spacing w:line="276" w:lineRule="auto"/>
      </w:pPr>
      <w:r>
        <w:t>Technical Track: $1,200-$1,500</w:t>
      </w:r>
    </w:p>
    <w:p>
      <w:pPr>
        <w:pStyle w:val="ListBullet"/>
        <w:spacing w:line="276" w:lineRule="auto"/>
      </w:pPr>
      <w:r>
        <w:t>30-Day India: INR 75,000</w:t>
      </w:r>
    </w:p>
    <w:p>
      <w:pPr>
        <w:pStyle w:val="ListBullet"/>
        <w:spacing w:line="276" w:lineRule="auto"/>
      </w:pPr>
      <w:r>
        <w:t>90-Day Program: $3,000-$6,000</w:t>
      </w:r>
    </w:p>
    <w:p>
      <w:pPr>
        <w:pStyle w:val="ListBullet"/>
        <w:spacing w:line="276" w:lineRule="auto"/>
      </w:pPr>
      <w:r>
        <w:t>Cohort size: 25-60 participants</w:t>
      </w:r>
    </w:p>
    <w:p>
      <w:pPr>
        <w:pStyle w:val="ListBullet"/>
        <w:spacing w:line="276" w:lineRule="auto"/>
      </w:pPr>
      <w:r>
        <w:t>Attrition: 25-40% failure rate maintained</w:t>
      </w:r>
    </w:p>
    <w:p>
      <w:r>
        <w:br w:type="page"/>
      </w:r>
    </w:p>
    <w:p>
      <w:pPr>
        <w:pStyle w:val="Heading1"/>
      </w:pPr>
      <w:r>
        <w:t>PART VI — WGE OPENCLAW RUNTIME ARCHITECTURE</w:t>
      </w:r>
    </w:p>
    <w:p>
      <w:pPr>
        <w:pStyle w:val="Heading2"/>
      </w:pPr>
      <w:r>
        <w:t>OpenClaw Runtime Stack (Per Pod)</w:t>
      </w:r>
    </w:p>
    <w:p>
      <w:pPr>
        <w:pStyle w:val="ListBullet"/>
        <w:spacing w:line="276" w:lineRule="auto"/>
      </w:pPr>
      <w:r>
        <w:t>MCP Tool Orchestrator (whitelisted)</w:t>
      </w:r>
    </w:p>
    <w:p>
      <w:pPr>
        <w:pStyle w:val="ListBullet"/>
        <w:spacing w:line="276" w:lineRule="auto"/>
      </w:pPr>
      <w:r>
        <w:t>Claude Skill Modules (bounded scope)</w:t>
      </w:r>
    </w:p>
    <w:p>
      <w:pPr>
        <w:pStyle w:val="ListBullet"/>
        <w:spacing w:line="276" w:lineRule="auto"/>
      </w:pPr>
      <w:r>
        <w:t>Claude Code Sandbox (schema validated)</w:t>
      </w:r>
    </w:p>
    <w:p>
      <w:pPr>
        <w:pStyle w:val="ListBullet"/>
        <w:spacing w:line="276" w:lineRule="auto"/>
      </w:pPr>
      <w:r>
        <w:t>Antigravity Autonomy Governor (tiered)</w:t>
      </w:r>
    </w:p>
    <w:p>
      <w:pPr>
        <w:pStyle w:val="ListBullet"/>
        <w:spacing w:line="276" w:lineRule="auto"/>
      </w:pPr>
      <w:r>
        <w:t>Compliance Guardrails</w:t>
      </w:r>
    </w:p>
    <w:p>
      <w:pPr>
        <w:pStyle w:val="ListBullet"/>
        <w:spacing w:line="276" w:lineRule="auto"/>
      </w:pPr>
      <w:r>
        <w:t>Telemetry Agent</w:t>
      </w:r>
    </w:p>
    <w:p>
      <w:pPr>
        <w:pStyle w:val="ListBullet"/>
        <w:spacing w:line="276" w:lineRule="auto"/>
      </w:pPr>
      <w:r>
        <w:t>Behavioral Anomaly Monitor</w:t>
      </w:r>
    </w:p>
    <w:p>
      <w:pPr>
        <w:pStyle w:val="ListBullet"/>
        <w:spacing w:line="276" w:lineRule="auto"/>
      </w:pPr>
      <w:r>
        <w:t>Margin &amp; SLA Monitor</w:t>
      </w:r>
    </w:p>
    <w:p>
      <w:pPr>
        <w:pStyle w:val="Heading2"/>
      </w:pPr>
      <w:r>
        <w:t>Forensic Failure Metabolism</w:t>
      </w:r>
    </w:p>
    <w:p>
      <w:pPr>
        <w:spacing w:line="276" w:lineRule="auto"/>
      </w:pPr>
      <w:r>
        <w:t>Killed pods enter sandbox: execution replayed in simulation, margin variance analyzed, behavioral drift measured. Root cause classifications: skill deficit, incentive misweight, namespace mismatch, contract mispricing, runtime bug, malicious behavior. Results: 30% return stronger, 50% expose system flaws, 20% truly misaligned (archived).</w:t>
      </w:r>
    </w:p>
    <w:p>
      <w:pPr>
        <w:pStyle w:val="Heading2"/>
      </w:pPr>
      <w:r>
        <w:t>Rogue Pod Detection</w:t>
      </w:r>
    </w:p>
    <w:p>
      <w:pPr>
        <w:spacing w:line="276" w:lineRule="auto"/>
      </w:pPr>
      <w:r>
        <w:t>Triggers: KPI variance &gt;X% from audit, capital bypass &gt;2x/cycle, escalation skip, informal influence, signal manipulation, operator collusion. Protocol: immediate capital freeze, independent audit, operator isolation, pod dissolution. No debate. No political protection.</w:t>
      </w:r>
    </w:p>
    <w:p>
      <w:pPr>
        <w:pStyle w:val="Heading2"/>
      </w:pPr>
      <w:r>
        <w:t>Data Moat</w:t>
      </w:r>
    </w:p>
    <w:p>
      <w:pPr>
        <w:spacing w:line="276" w:lineRule="auto"/>
      </w:pPr>
      <w:r>
        <w:t>Accumulates: failure archetype clusters, namespace incompatibility maps, operator performance clusters, contract success rates, behavioral anomaly fingerprints. Over time: predict which capital deployments will fail before deployment. Becomes underwriting intelligence.</w:t>
      </w:r>
    </w:p>
    <w:p>
      <w:r>
        <w:br w:type="page"/>
      </w:r>
    </w:p>
    <w:p>
      <w:pPr>
        <w:pStyle w:val="Heading1"/>
      </w:pPr>
      <w:r>
        <w:t>PART VII — REVENUE SEQUENCING PLAN</w:t>
      </w:r>
    </w:p>
    <w:p>
      <w:pPr>
        <w:pStyle w:val="Heading2"/>
      </w:pPr>
      <w:r>
        <w:t>Tier A — Immediate (0-90 Days)</w:t>
      </w:r>
    </w:p>
    <w:p>
      <w:pPr>
        <w:pStyle w:val="ListNumber"/>
        <w:spacing w:line="276" w:lineRule="auto"/>
      </w:pPr>
      <w:r>
        <w:t>Billing Leakage Engine: $20k-$40k + $5k/month (CFO buyer)</w:t>
      </w:r>
    </w:p>
    <w:p>
      <w:pPr>
        <w:pStyle w:val="ListNumber"/>
        <w:spacing w:line="276" w:lineRule="auto"/>
      </w:pPr>
      <w:r>
        <w:t>Chokepoint Intelligence: $15k-$30k diagnostic sprint (COO buyer)</w:t>
      </w:r>
    </w:p>
    <w:p>
      <w:pPr>
        <w:pStyle w:val="ListNumber"/>
        <w:spacing w:line="276" w:lineRule="auto"/>
      </w:pPr>
      <w:r>
        <w:t>LevelUpMax Track: $2,500-$5,000 per participant (or INR 75,000)</w:t>
      </w:r>
    </w:p>
    <w:p>
      <w:pPr>
        <w:pStyle w:val="ListNumber"/>
        <w:spacing w:line="276" w:lineRule="auto"/>
      </w:pPr>
      <w:r>
        <w:t>DocuFlow Agent: $19/mo or $49/mo Pro (micro-SaaS)</w:t>
      </w:r>
    </w:p>
    <w:p>
      <w:pPr>
        <w:pStyle w:val="Heading2"/>
      </w:pPr>
      <w:r>
        <w:t>Six Strategic Market Wedges with Pricing</w:t>
      </w:r>
    </w:p>
    <w:p>
      <w:pPr>
        <w:pStyle w:val="ListBullet"/>
        <w:spacing w:line="276" w:lineRule="auto"/>
      </w:pPr>
      <w:r>
        <w:t>Manufacturing (OTIF): $95,000 pilot, OTIF 82%-&gt;92%</w:t>
      </w:r>
    </w:p>
    <w:p>
      <w:pPr>
        <w:pStyle w:val="ListBullet"/>
        <w:spacing w:line="276" w:lineRule="auto"/>
      </w:pPr>
      <w:r>
        <w:t>Logistics (Fleet): $80,000 pilot, 4.8-&gt;5.5 trips/day</w:t>
      </w:r>
    </w:p>
    <w:p>
      <w:pPr>
        <w:pStyle w:val="ListBullet"/>
        <w:spacing w:line="276" w:lineRule="auto"/>
      </w:pPr>
      <w:r>
        <w:t>Professional Services (Margin): $110,000 pilot, realization 84%-&gt;91%</w:t>
      </w:r>
    </w:p>
    <w:p>
      <w:pPr>
        <w:pStyle w:val="ListBullet"/>
        <w:spacing w:line="276" w:lineRule="auto"/>
      </w:pPr>
      <w:r>
        <w:t>Banking (Receivables): $85,000 pilot, DSO 74-&gt;62 days</w:t>
      </w:r>
    </w:p>
    <w:p>
      <w:pPr>
        <w:pStyle w:val="ListBullet"/>
        <w:spacing w:line="276" w:lineRule="auto"/>
      </w:pPr>
      <w:r>
        <w:t>Construction (Decisions): $90,000 pilot, cycle 14-&gt;7 days</w:t>
      </w:r>
    </w:p>
    <w:p>
      <w:pPr>
        <w:pStyle w:val="ListBullet"/>
        <w:spacing w:line="276" w:lineRule="auto"/>
      </w:pPr>
      <w:r>
        <w:t>Healthcare/Retail/Energy: $70-90K pilots</w:t>
      </w:r>
    </w:p>
    <w:p>
      <w:pPr>
        <w:pStyle w:val="Heading2"/>
      </w:pPr>
      <w:r>
        <w:t>Insurance Claims Vertical</w:t>
      </w:r>
    </w:p>
    <w:p>
      <w:pPr>
        <w:spacing w:line="276" w:lineRule="auto"/>
      </w:pPr>
      <w:r>
        <w:t>$3-$7 per claim. At 50K claims: $150K-$350K/year. At 250K claims: $750K-$1.75M. At 1.25M claims: $3.75M-$8.75M. False approval target &lt;2%, fraud reduction 35%, speed +40%.</w:t>
      </w:r>
    </w:p>
    <w:p>
      <w:pPr>
        <w:pStyle w:val="Heading2"/>
      </w:pPr>
      <w:r>
        <w:t>100 Global Complaints Mapped</w:t>
      </w:r>
    </w:p>
    <w:p>
      <w:pPr>
        <w:spacing w:line="276" w:lineRule="auto"/>
      </w:pPr>
      <w:r>
        <w:t>Across manufacturing (15), logistics (15), professional services (15), financial services (15), healthcare/retail/energy/public sector (40). Each with budget line anchor, baseline KPI, 90-day target, financial impact.</w:t>
      </w:r>
    </w:p>
    <w:p>
      <w:r>
        <w:br w:type="page"/>
      </w:r>
    </w:p>
    <w:p>
      <w:pPr>
        <w:pStyle w:val="Heading1"/>
      </w:pPr>
      <w:r>
        <w:t>PART VIII — FINANCIAL PROJECTIONS</w:t>
      </w:r>
    </w:p>
    <w:p>
      <w:pPr>
        <w:pStyle w:val="Heading2"/>
      </w:pPr>
      <w:r>
        <w:t>Year 1 Conservative</w:t>
      </w:r>
    </w:p>
    <w:p>
      <w:pPr>
        <w:spacing w:line="276" w:lineRule="auto"/>
      </w:pPr>
      <w:r>
        <w:t>~$228K (Levelupmax $144K + Technical $34K + Insurance pilot $50K). Net margin ~$80-100K.</w:t>
      </w:r>
    </w:p>
    <w:p>
      <w:pPr>
        <w:pStyle w:val="Heading2"/>
      </w:pPr>
      <w:r>
        <w:t>Year 2 Growth</w:t>
      </w:r>
    </w:p>
    <w:p>
      <w:pPr>
        <w:spacing w:line="276" w:lineRule="auto"/>
      </w:pPr>
      <w:r>
        <w:t>~$909K (Levelupmax $216K + Technical $68K + Insurance $500K + Risk-Tier $125K). Net margin ~$410-450K.</w:t>
      </w:r>
    </w:p>
    <w:p>
      <w:pPr>
        <w:pStyle w:val="Heading2"/>
      </w:pPr>
      <w:r>
        <w:t>Year 3 Institutional</w:t>
      </w:r>
    </w:p>
    <w:p>
      <w:pPr>
        <w:spacing w:line="276" w:lineRule="auto"/>
      </w:pPr>
      <w:r>
        <w:t>~$3.4M (Levelupmax $364K + Insurance $2.25M + Banking $200K + Governance $300K + Underwriting $300K). Net margin ~$1.6-1.8M.</w:t>
      </w:r>
    </w:p>
    <w:p>
      <w:pPr>
        <w:pStyle w:val="Heading2"/>
      </w:pPr>
      <w:r>
        <w:t>Cell Economics (Single 3-5 Person Cell, 6 Months)</w:t>
      </w:r>
    </w:p>
    <w:p>
      <w:pPr>
        <w:pStyle w:val="ListBullet"/>
        <w:spacing w:line="276" w:lineRule="auto"/>
      </w:pPr>
      <w:r>
        <w:t>Revenue: ~$100K (8 x $12K sprints + 2 x $2K retainers)</w:t>
      </w:r>
    </w:p>
    <w:p>
      <w:pPr>
        <w:pStyle w:val="ListBullet"/>
        <w:spacing w:line="276" w:lineRule="auto"/>
      </w:pPr>
      <w:r>
        <w:t>Costs: ~$48K (Commercial $12K + Execution $12K + Lead $18K + Tools $6K)</w:t>
      </w:r>
    </w:p>
    <w:p>
      <w:pPr>
        <w:pStyle w:val="ListBullet"/>
        <w:spacing w:line="276" w:lineRule="auto"/>
      </w:pPr>
      <w:r>
        <w:t>Net Margin: ~$52K (52%)</w:t>
      </w:r>
    </w:p>
    <w:p>
      <w:pPr>
        <w:pStyle w:val="ListBullet"/>
        <w:spacing w:line="276" w:lineRule="auto"/>
      </w:pPr>
      <w:r>
        <w:t>Portfolio: 10 cells x 5 people = $1M/6mo = $2M annualized</w:t>
      </w:r>
    </w:p>
    <w:p>
      <w:r>
        <w:br w:type="page"/>
      </w:r>
    </w:p>
    <w:p>
      <w:pPr>
        <w:pStyle w:val="Heading1"/>
      </w:pPr>
      <w:r>
        <w:t>PART IX — 40-SYSTEM ENTERPRISE ARCHITECTURE</w:t>
      </w:r>
    </w:p>
    <w:p>
      <w:pPr>
        <w:pStyle w:val="Heading2"/>
      </w:pPr>
      <w:r>
        <w:t>Core 21 Systems</w:t>
      </w:r>
    </w:p>
    <w:p>
      <w:pPr>
        <w:spacing w:line="276" w:lineRule="auto"/>
      </w:pPr>
      <w:r>
        <w:t>ERP, MES, EMS, SCM, PLM, CRM, HCM, WMS, TMS, QMS, EAM, ICS/SCADA, EnMS, DMP/MDM, BI, AI Platform, Integration/iPaaS, IAM/SOC, DMS/KMS, GRC, Automation/Orchestration.</w:t>
      </w:r>
    </w:p>
    <w:p>
      <w:pPr>
        <w:pStyle w:val="Heading2"/>
      </w:pPr>
      <w:r>
        <w:t>AI-Native Extensions (Systems 22-40)</w:t>
      </w:r>
    </w:p>
    <w:p>
      <w:pPr>
        <w:pStyle w:val="ListBullet"/>
        <w:spacing w:line="276" w:lineRule="auto"/>
      </w:pPr>
      <w:r>
        <w:t>Decision Management</w:t>
      </w:r>
    </w:p>
    <w:p>
      <w:pPr>
        <w:pStyle w:val="ListBullet"/>
        <w:spacing w:line="276" w:lineRule="auto"/>
      </w:pPr>
      <w:r>
        <w:t>Knowledge Graph</w:t>
      </w:r>
    </w:p>
    <w:p>
      <w:pPr>
        <w:pStyle w:val="ListBullet"/>
        <w:spacing w:line="276" w:lineRule="auto"/>
      </w:pPr>
      <w:r>
        <w:t>Digital Twin</w:t>
      </w:r>
    </w:p>
    <w:p>
      <w:pPr>
        <w:pStyle w:val="ListBullet"/>
        <w:spacing w:line="276" w:lineRule="auto"/>
      </w:pPr>
      <w:r>
        <w:t>MLOps</w:t>
      </w:r>
    </w:p>
    <w:p>
      <w:pPr>
        <w:pStyle w:val="ListBullet"/>
        <w:spacing w:line="276" w:lineRule="auto"/>
      </w:pPr>
      <w:r>
        <w:t>Data Lineage</w:t>
      </w:r>
    </w:p>
    <w:p>
      <w:pPr>
        <w:pStyle w:val="ListBullet"/>
        <w:spacing w:line="276" w:lineRule="auto"/>
      </w:pPr>
      <w:r>
        <w:t>Privacy/Sovereignty</w:t>
      </w:r>
    </w:p>
    <w:p>
      <w:pPr>
        <w:pStyle w:val="ListBullet"/>
        <w:spacing w:line="276" w:lineRule="auto"/>
      </w:pPr>
      <w:r>
        <w:t>Trust/Ethics/Alignment</w:t>
      </w:r>
    </w:p>
    <w:p>
      <w:pPr>
        <w:pStyle w:val="ListBullet"/>
        <w:spacing w:line="276" w:lineRule="auto"/>
      </w:pPr>
      <w:r>
        <w:t>Experimentation/A/B</w:t>
      </w:r>
    </w:p>
    <w:p>
      <w:pPr>
        <w:pStyle w:val="ListBullet"/>
        <w:spacing w:line="276" w:lineRule="auto"/>
      </w:pPr>
      <w:r>
        <w:t>Process Mining</w:t>
      </w:r>
    </w:p>
    <w:p>
      <w:pPr>
        <w:pStyle w:val="ListBullet"/>
        <w:spacing w:line="276" w:lineRule="auto"/>
      </w:pPr>
      <w:r>
        <w:t>Edge/IoT</w:t>
      </w:r>
    </w:p>
    <w:p>
      <w:pPr>
        <w:pStyle w:val="ListBullet"/>
        <w:spacing w:line="276" w:lineRule="auto"/>
      </w:pPr>
      <w:r>
        <w:t>Robotics Controller</w:t>
      </w:r>
    </w:p>
    <w:p>
      <w:pPr>
        <w:pStyle w:val="ListBullet"/>
        <w:spacing w:line="276" w:lineRule="auto"/>
      </w:pPr>
      <w:r>
        <w:t>Safety/Resilience</w:t>
      </w:r>
    </w:p>
    <w:p>
      <w:pPr>
        <w:pStyle w:val="ListBullet"/>
        <w:spacing w:line="276" w:lineRule="auto"/>
      </w:pPr>
      <w:r>
        <w:t>Economic/Incentive</w:t>
      </w:r>
    </w:p>
    <w:p>
      <w:pPr>
        <w:pStyle w:val="ListBullet"/>
        <w:spacing w:line="276" w:lineRule="auto"/>
      </w:pPr>
      <w:r>
        <w:t>Identity of Things</w:t>
      </w:r>
    </w:p>
    <w:p>
      <w:pPr>
        <w:pStyle w:val="ListBullet"/>
        <w:spacing w:line="276" w:lineRule="auto"/>
      </w:pPr>
      <w:r>
        <w:t>Learning/Skill Evolution</w:t>
      </w:r>
    </w:p>
    <w:p>
      <w:pPr>
        <w:pStyle w:val="ListBullet"/>
        <w:spacing w:line="276" w:lineRule="auto"/>
      </w:pPr>
      <w:r>
        <w:t>Change Management</w:t>
      </w:r>
    </w:p>
    <w:p>
      <w:pPr>
        <w:pStyle w:val="ListBullet"/>
        <w:spacing w:line="276" w:lineRule="auto"/>
      </w:pPr>
      <w:r>
        <w:t>Horizon Scanning</w:t>
      </w:r>
    </w:p>
    <w:p>
      <w:pPr>
        <w:pStyle w:val="ListBullet"/>
        <w:spacing w:line="276" w:lineRule="auto"/>
      </w:pPr>
      <w:r>
        <w:t>Tokenization/Ledger</w:t>
      </w:r>
    </w:p>
    <w:p>
      <w:pPr>
        <w:pStyle w:val="ListBullet"/>
        <w:spacing w:line="276" w:lineRule="auto"/>
      </w:pPr>
      <w:r>
        <w:t>Culture/Narrative/Meaning</w:t>
      </w:r>
    </w:p>
    <w:p>
      <w:pPr>
        <w:pStyle w:val="Heading2"/>
      </w:pPr>
      <w:r>
        <w:t>Layer Mapping</w:t>
      </w:r>
    </w:p>
    <w:p>
      <w:pPr>
        <w:pStyle w:val="ListBullet"/>
        <w:spacing w:line="276" w:lineRule="auto"/>
      </w:pPr>
      <w:r>
        <w:t>1-21 = functional enterprise</w:t>
      </w:r>
    </w:p>
    <w:p>
      <w:pPr>
        <w:pStyle w:val="ListBullet"/>
        <w:spacing w:line="276" w:lineRule="auto"/>
      </w:pPr>
      <w:r>
        <w:t>22-30 = intelligent enterprise</w:t>
      </w:r>
    </w:p>
    <w:p>
      <w:pPr>
        <w:pStyle w:val="ListBullet"/>
        <w:spacing w:line="276" w:lineRule="auto"/>
      </w:pPr>
      <w:r>
        <w:t>31-36 = autonomous enterprise</w:t>
      </w:r>
    </w:p>
    <w:p>
      <w:pPr>
        <w:pStyle w:val="ListBullet"/>
        <w:spacing w:line="276" w:lineRule="auto"/>
      </w:pPr>
      <w:r>
        <w:t>37-40 = evolutionary enterprise</w:t>
      </w:r>
    </w:p>
    <w:p>
      <w:r>
        <w:br w:type="page"/>
      </w:r>
    </w:p>
    <w:p>
      <w:pPr>
        <w:pStyle w:val="Heading1"/>
      </w:pPr>
      <w:r>
        <w:t>PART X — AI INSURANCE FRAMEWORK (17 Layers)</w:t>
      </w:r>
    </w:p>
    <w:p>
      <w:pPr>
        <w:spacing w:line="276" w:lineRule="auto"/>
      </w:pPr>
      <w:r>
        <w:t>The document describes outcome insurance as a parametric, signal-based risk pooling system activated only after 50-100 mandate cycles with empirical failure curves. 17 structural layers from behavioral risk telemetry through black swan resilience. Automatic payout when KPI ventures outside defined bands. No claims department. Pure signal-based triggers. Moral hazard controls: no rescue of repeatedly underperforming ventures, death triggers remain mechanically enforced.</w:t>
      </w:r>
    </w:p>
    <w:p>
      <w:pPr>
        <w:pStyle w:val="Heading2"/>
      </w:pPr>
      <w:r>
        <w:t>Insurance Pricing by Risk Class</w:t>
      </w:r>
    </w:p>
    <w:p>
      <w:pPr>
        <w:spacing w:line="276" w:lineRule="auto"/>
      </w:pPr>
      <w:r>
        <w:t>5-30% margin depending on complexity. Coverage spans: clinical safety (hospitals), reversibility doctrine, distributed intelligence, autonomous systems liability.</w:t>
      </w:r>
    </w:p>
    <w:p>
      <w:r>
        <w:br w:type="page"/>
      </w:r>
    </w:p>
    <w:p>
      <w:pPr>
        <w:pStyle w:val="Heading1"/>
      </w:pPr>
      <w:r>
        <w:t>PART XI — THREE-SPEED FEEDBACK SYSTEM</w:t>
      </w:r>
    </w:p>
    <w:p>
      <w:pPr>
        <w:pStyle w:val="Heading2"/>
      </w:pPr>
      <w:r>
        <w:t>Three Feedback Loops</w:t>
      </w:r>
    </w:p>
    <w:p>
      <w:pPr>
        <w:pStyle w:val="ListBullet"/>
        <w:spacing w:line="276" w:lineRule="auto"/>
      </w:pPr>
      <w:r>
        <w:t>Fast Loop (Weeks): KPI deviation triggers capital throttle, rogue variance triggers quarantine, termination triggers dissolution.</w:t>
      </w:r>
    </w:p>
    <w:p>
      <w:pPr>
        <w:pStyle w:val="ListBullet"/>
        <w:spacing w:line="276" w:lineRule="auto"/>
      </w:pPr>
      <w:r>
        <w:t>Medium Loop (Months): Structural anomaly clusters detected (&gt;30% ventures in Critical band), sector templates recalibrated, insurance repriced.</w:t>
      </w:r>
    </w:p>
    <w:p>
      <w:pPr>
        <w:pStyle w:val="ListBullet"/>
        <w:spacing w:line="276" w:lineRule="auto"/>
      </w:pPr>
      <w:r>
        <w:t>Slow Loop (Rare): Constitutional amendments requiring supermajority + cooling period + risk bond.</w:t>
      </w:r>
    </w:p>
    <w:p>
      <w:pPr>
        <w:pStyle w:val="Heading2"/>
      </w:pPr>
      <w:r>
        <w:t>Latency Guarantees (Hard Upper Bounds)</w:t>
      </w:r>
    </w:p>
    <w:p>
      <w:pPr>
        <w:pStyle w:val="ListBullet"/>
        <w:spacing w:line="276" w:lineRule="auto"/>
      </w:pPr>
      <w:r>
        <w:t>Breach detection to capital throttle: max 48 hours</w:t>
      </w:r>
    </w:p>
    <w:p>
      <w:pPr>
        <w:pStyle w:val="ListBullet"/>
        <w:spacing w:line="276" w:lineRule="auto"/>
      </w:pPr>
      <w:r>
        <w:t>Termination trigger to shutdown: max 7 days</w:t>
      </w:r>
    </w:p>
    <w:p>
      <w:pPr>
        <w:pStyle w:val="ListBullet"/>
        <w:spacing w:line="276" w:lineRule="auto"/>
      </w:pPr>
      <w:r>
        <w:t>Rogue investigation to resolution: max 21 days</w:t>
      </w:r>
    </w:p>
    <w:p>
      <w:pPr>
        <w:pStyle w:val="ListBullet"/>
        <w:spacing w:line="276" w:lineRule="auto"/>
      </w:pPr>
      <w:r>
        <w:t>Capital redistribution after death: max 14 days</w:t>
      </w:r>
    </w:p>
    <w:p>
      <w:pPr>
        <w:pStyle w:val="Heading2"/>
      </w:pPr>
      <w:r>
        <w:t>Macro Shock Protocol</w:t>
      </w:r>
    </w:p>
    <w:p>
      <w:pPr>
        <w:spacing w:line="276" w:lineRule="auto"/>
      </w:pPr>
      <w:r>
        <w:t>Triggers: 40% sector-wide KPI degradation, regulatory ban, currency collapse, revenue contraction. Emergency mode: bands widened, insurance paused, new mandates frozen, reserves increased. Auto-expires without re-ratification.</w:t>
      </w:r>
    </w:p>
    <w:p>
      <w:r>
        <w:br w:type="page"/>
      </w:r>
    </w:p>
    <w:p>
      <w:pPr>
        <w:pStyle w:val="Heading1"/>
      </w:pPr>
      <w:r>
        <w:t>PART XII — ECOSYSTEM SEQUENCING STRATEGY</w:t>
      </w:r>
    </w:p>
    <w:p>
      <w:pPr>
        <w:pStyle w:val="Heading2"/>
      </w:pPr>
      <w:r>
        <w:t>Seven Phases</w:t>
      </w:r>
    </w:p>
    <w:p>
      <w:pPr>
        <w:pStyle w:val="ListNumber"/>
        <w:spacing w:line="276" w:lineRule="auto"/>
      </w:pPr>
      <w:r>
        <w:t>Phase 1 (Months 1-6): Cash-generating execution. Target $10K+/month. Kill if no revenue by Day 90.</w:t>
      </w:r>
    </w:p>
    <w:p>
      <w:pPr>
        <w:pStyle w:val="ListNumber"/>
        <w:spacing w:line="276" w:lineRule="auto"/>
      </w:pPr>
      <w:r>
        <w:t>Phase 2 (Months 3-12): Talent + operator refinery. 100+ trained operators. Kill if operators don't convert to revenue.</w:t>
      </w:r>
    </w:p>
    <w:p>
      <w:pPr>
        <w:pStyle w:val="ListNumber"/>
        <w:spacing w:line="276" w:lineRule="auto"/>
      </w:pPr>
      <w:r>
        <w:t>Phase 3 (Months 6-18): Governance infrastructure. 5+ enterprise deployments. Kill if enterprises won't pay.</w:t>
      </w:r>
    </w:p>
    <w:p>
      <w:pPr>
        <w:pStyle w:val="ListNumber"/>
        <w:spacing w:line="276" w:lineRule="auto"/>
      </w:pPr>
      <w:r>
        <w:t>Phase 4 (Months 12-24): Industry verticals. $100K+ ARR per vertical. Kill if underperforms horizontal.</w:t>
      </w:r>
    </w:p>
    <w:p>
      <w:pPr>
        <w:pStyle w:val="ListNumber"/>
        <w:spacing w:line="276" w:lineRule="auto"/>
      </w:pPr>
      <w:r>
        <w:t>Phase 5 (Months 18-36): Cross-industry coordination. Marketplace transaction volume. Kill if no adoption.</w:t>
      </w:r>
    </w:p>
    <w:p>
      <w:pPr>
        <w:pStyle w:val="ListNumber"/>
        <w:spacing w:line="276" w:lineRule="auto"/>
      </w:pPr>
      <w:r>
        <w:t>Phase 6 (Months 24-48): Institutional/government adoption. Regulatory endorsement. Kill if regulatory friction.</w:t>
      </w:r>
    </w:p>
    <w:p>
      <w:pPr>
        <w:pStyle w:val="ListNumber"/>
        <w:spacing w:line="276" w:lineRule="auto"/>
      </w:pPr>
      <w:r>
        <w:t>Phase 7 (Months 36-60+): Invisible infrastructure. Platform revenue exceeds product revenue.</w:t>
      </w:r>
    </w:p>
    <w:p>
      <w:pPr>
        <w:pStyle w:val="Heading2"/>
      </w:pPr>
      <w:r>
        <w:t>5-Phase WGE Transition</w:t>
      </w:r>
    </w:p>
    <w:p>
      <w:pPr>
        <w:pStyle w:val="ListNumber"/>
        <w:spacing w:line="276" w:lineRule="auto"/>
      </w:pPr>
      <w:r>
        <w:t>Phase 1: Internal discipline pilot (20+ mandates, prove kill discipline, expect 20-30% mortality)</w:t>
      </w:r>
    </w:p>
    <w:p>
      <w:pPr>
        <w:pStyle w:val="ListNumber"/>
        <w:spacing w:line="276" w:lineRule="auto"/>
      </w:pPr>
      <w:r>
        <w:t>Phase 2: Single enterprise deployment (ring-fenced, limited scope)</w:t>
      </w:r>
    </w:p>
    <w:p>
      <w:pPr>
        <w:pStyle w:val="ListNumber"/>
        <w:spacing w:line="276" w:lineRule="auto"/>
      </w:pPr>
      <w:r>
        <w:t>Phase 3: Cross-enterprise mandate trial (shared capital pool, shared kill triggers)</w:t>
      </w:r>
    </w:p>
    <w:p>
      <w:pPr>
        <w:pStyle w:val="ListNumber"/>
        <w:spacing w:line="276" w:lineRule="auto"/>
      </w:pPr>
      <w:r>
        <w:t>Phase 4: Swarm standardization (3-5 enterprises, identical templates)</w:t>
      </w:r>
    </w:p>
    <w:p>
      <w:pPr>
        <w:pStyle w:val="ListNumber"/>
        <w:spacing w:line="276" w:lineRule="auto"/>
      </w:pPr>
      <w:r>
        <w:t>Phase 5: Insurance activation (50-100+ cycles required)</w:t>
      </w:r>
    </w:p>
    <w:p>
      <w:pPr>
        <w:pStyle w:val="Heading2"/>
      </w:pPr>
      <w:r>
        <w:t>Year 1 Irreversibility Tests (3 Mandatory Events)</w:t>
      </w:r>
    </w:p>
    <w:p>
      <w:pPr>
        <w:pStyle w:val="ListNumber"/>
        <w:spacing w:line="276" w:lineRule="auto"/>
      </w:pPr>
      <w:r>
        <w:t>Kill a politically inconvenient venture (backed by powerful partner)</w:t>
      </w:r>
    </w:p>
    <w:p>
      <w:pPr>
        <w:pStyle w:val="ListNumber"/>
        <w:spacing w:line="276" w:lineRule="auto"/>
      </w:pPr>
      <w:r>
        <w:t>PCI-triggered spin-off of dominant entity (even founder's most successful)</w:t>
      </w:r>
    </w:p>
    <w:p>
      <w:pPr>
        <w:pStyle w:val="ListNumber"/>
        <w:spacing w:line="276" w:lineRule="auto"/>
      </w:pPr>
      <w:r>
        <w:t>Reject capital demanding exception (protocol integrity &gt; capital maximization)</w:t>
      </w:r>
    </w:p>
    <w:p>
      <w:r>
        <w:br w:type="page"/>
      </w:r>
    </w:p>
    <w:p>
      <w:pPr>
        <w:pStyle w:val="Heading1"/>
      </w:pPr>
      <w:r>
        <w:t>PART XIII — RISK &amp; FAILURE MODE ANALYSIS</w:t>
      </w:r>
    </w:p>
    <w:p>
      <w:pPr>
        <w:pStyle w:val="Heading2"/>
      </w:pPr>
      <w:r>
        <w:t>Strategic Risks (9)</w:t>
      </w:r>
    </w:p>
    <w:p>
      <w:pPr>
        <w:pStyle w:val="ListBullet"/>
        <w:spacing w:line="276" w:lineRule="auto"/>
      </w:pPr>
      <w:r>
        <w:t>Overreach</w:t>
      </w:r>
    </w:p>
    <w:p>
      <w:pPr>
        <w:pStyle w:val="ListBullet"/>
        <w:spacing w:line="276" w:lineRule="auto"/>
      </w:pPr>
      <w:r>
        <w:t>Timing mismatch</w:t>
      </w:r>
    </w:p>
    <w:p>
      <w:pPr>
        <w:pStyle w:val="ListBullet"/>
        <w:spacing w:line="276" w:lineRule="auto"/>
      </w:pPr>
      <w:r>
        <w:t>Talent bottleneck</w:t>
      </w:r>
    </w:p>
    <w:p>
      <w:pPr>
        <w:pStyle w:val="ListBullet"/>
        <w:spacing w:line="276" w:lineRule="auto"/>
      </w:pPr>
      <w:r>
        <w:t>Capital constraints</w:t>
      </w:r>
    </w:p>
    <w:p>
      <w:pPr>
        <w:pStyle w:val="ListBullet"/>
        <w:spacing w:line="276" w:lineRule="auto"/>
      </w:pPr>
      <w:r>
        <w:t>Model dependency</w:t>
      </w:r>
    </w:p>
    <w:p>
      <w:pPr>
        <w:pStyle w:val="ListBullet"/>
        <w:spacing w:line="276" w:lineRule="auto"/>
      </w:pPr>
      <w:r>
        <w:t>Regulatory friction</w:t>
      </w:r>
    </w:p>
    <w:p>
      <w:pPr>
        <w:pStyle w:val="ListBullet"/>
        <w:spacing w:line="276" w:lineRule="auto"/>
      </w:pPr>
      <w:r>
        <w:t>Data liability</w:t>
      </w:r>
    </w:p>
    <w:p>
      <w:pPr>
        <w:pStyle w:val="ListBullet"/>
        <w:spacing w:line="276" w:lineRule="auto"/>
      </w:pPr>
      <w:r>
        <w:t>Coordination collapse</w:t>
      </w:r>
    </w:p>
    <w:p>
      <w:pPr>
        <w:pStyle w:val="ListBullet"/>
        <w:spacing w:line="276" w:lineRule="auto"/>
      </w:pPr>
      <w:r>
        <w:t>Competitive saturation</w:t>
      </w:r>
    </w:p>
    <w:p>
      <w:pPr>
        <w:pStyle w:val="Heading2"/>
      </w:pPr>
      <w:r>
        <w:t>Operational Failure Modes (14)</w:t>
      </w:r>
    </w:p>
    <w:p>
      <w:pPr>
        <w:pStyle w:val="ListBullet"/>
        <w:spacing w:line="276" w:lineRule="auto"/>
      </w:pPr>
      <w:r>
        <w:t>Promotion inflation</w:t>
      </w:r>
    </w:p>
    <w:p>
      <w:pPr>
        <w:pStyle w:val="ListBullet"/>
        <w:spacing w:line="276" w:lineRule="auto"/>
      </w:pPr>
      <w:r>
        <w:t>Sandbox complacency</w:t>
      </w:r>
    </w:p>
    <w:p>
      <w:pPr>
        <w:pStyle w:val="ListBullet"/>
        <w:spacing w:line="276" w:lineRule="auto"/>
      </w:pPr>
      <w:r>
        <w:t>Authority drift</w:t>
      </w:r>
    </w:p>
    <w:p>
      <w:pPr>
        <w:pStyle w:val="ListBullet"/>
        <w:spacing w:line="276" w:lineRule="auto"/>
      </w:pPr>
      <w:r>
        <w:t>Talent bottleneck</w:t>
      </w:r>
    </w:p>
    <w:p>
      <w:pPr>
        <w:pStyle w:val="ListBullet"/>
        <w:spacing w:line="276" w:lineRule="auto"/>
      </w:pPr>
      <w:r>
        <w:t>Exit asymmetry</w:t>
      </w:r>
    </w:p>
    <w:p>
      <w:pPr>
        <w:pStyle w:val="ListBullet"/>
        <w:spacing w:line="276" w:lineRule="auto"/>
      </w:pPr>
      <w:r>
        <w:t>Governance erosion</w:t>
      </w:r>
    </w:p>
    <w:p>
      <w:pPr>
        <w:pStyle w:val="ListBullet"/>
        <w:spacing w:line="276" w:lineRule="auto"/>
      </w:pPr>
      <w:r>
        <w:t>Supervision cost explosion</w:t>
      </w:r>
    </w:p>
    <w:p>
      <w:pPr>
        <w:pStyle w:val="ListBullet"/>
        <w:spacing w:line="276" w:lineRule="auto"/>
      </w:pPr>
      <w:r>
        <w:t>Margin collapse</w:t>
      </w:r>
    </w:p>
    <w:p>
      <w:pPr>
        <w:pStyle w:val="ListBullet"/>
        <w:spacing w:line="276" w:lineRule="auto"/>
      </w:pPr>
      <w:r>
        <w:t>Cultural politicization</w:t>
      </w:r>
    </w:p>
    <w:p>
      <w:pPr>
        <w:pStyle w:val="ListBullet"/>
        <w:spacing w:line="276" w:lineRule="auto"/>
      </w:pPr>
      <w:r>
        <w:t>Founder dependency</w:t>
      </w:r>
    </w:p>
    <w:p>
      <w:pPr>
        <w:pStyle w:val="ListBullet"/>
        <w:spacing w:line="276" w:lineRule="auto"/>
      </w:pPr>
      <w:r>
        <w:t>Over-engineering</w:t>
      </w:r>
    </w:p>
    <w:p>
      <w:pPr>
        <w:pStyle w:val="ListBullet"/>
        <w:spacing w:line="276" w:lineRule="auto"/>
      </w:pPr>
      <w:r>
        <w:t>Technology obsolescence</w:t>
      </w:r>
    </w:p>
    <w:p>
      <w:pPr>
        <w:pStyle w:val="ListBullet"/>
        <w:spacing w:line="276" w:lineRule="auto"/>
      </w:pPr>
      <w:r>
        <w:t>Governance corruption</w:t>
      </w:r>
    </w:p>
    <w:p>
      <w:pPr>
        <w:pStyle w:val="ListBullet"/>
        <w:spacing w:line="276" w:lineRule="auto"/>
      </w:pPr>
      <w:r>
        <w:t>Competitor replication</w:t>
      </w:r>
    </w:p>
    <w:p>
      <w:pPr>
        <w:pStyle w:val="Heading2"/>
      </w:pPr>
      <w:r>
        <w:t>Correlated Failure Risks</w:t>
      </w:r>
    </w:p>
    <w:p>
      <w:pPr>
        <w:spacing w:line="276" w:lineRule="auto"/>
      </w:pPr>
      <w:r>
        <w:t>Model update misprices 50 namespaces simultaneously, KPI formula shifts incentives, telemetry scoring biases margin, kill logic overcorrects. Safeguards: namespace isolation, runtime version diversity, capital exposure caps, staggered upgrades.</w:t>
      </w:r>
    </w:p>
    <w:p>
      <w:r>
        <w:br w:type="page"/>
      </w:r>
    </w:p>
    <w:p>
      <w:pPr>
        <w:pStyle w:val="Heading1"/>
      </w:pPr>
      <w:r>
        <w:t>PART XIV — 12-MONTH OPERATIONAL ROADMAP</w:t>
      </w:r>
    </w:p>
    <w:p>
      <w:pPr>
        <w:pStyle w:val="Heading2"/>
      </w:pPr>
      <w:r>
        <w:t>Monthly Execution Plan</w:t>
      </w:r>
    </w:p>
    <w:p>
      <w:pPr>
        <w:pStyle w:val="ListNumber"/>
        <w:spacing w:line="276" w:lineRule="auto"/>
      </w:pPr>
      <w:r>
        <w:t>Months 1-3: Build DocuFlow MVP, deliver first Chokepoint sprint ($15-30k), begin Billing Leakage Engine. Target: $5-15k/month.</w:t>
      </w:r>
    </w:p>
    <w:p>
      <w:pPr>
        <w:pStyle w:val="ListNumber"/>
        <w:spacing w:line="276" w:lineRule="auto"/>
      </w:pPr>
      <w:r>
        <w:t>Months 4-6: Scale DocuFlow to 100+ users, launch Operator Track, deploy Billing Leakage. Target: $15-30k/month.</w:t>
      </w:r>
    </w:p>
    <w:p>
      <w:pPr>
        <w:pStyle w:val="ListNumber"/>
        <w:spacing w:line="276" w:lineRule="auto"/>
      </w:pPr>
      <w:r>
        <w:t>Months 7-9: Launch vertical agents (insurance), Knowledge-Worker Copilot, governance layer. Target: $30-50k/month.</w:t>
      </w:r>
    </w:p>
    <w:p>
      <w:pPr>
        <w:pStyle w:val="ListNumber"/>
        <w:spacing w:line="276" w:lineRule="auto"/>
      </w:pPr>
      <w:r>
        <w:t>Months 10-12: Agent marketplace (beta), digital identity, Frankmax PIAR deployment. Target: $50-100k/month.</w:t>
      </w:r>
    </w:p>
    <w:p>
      <w:pPr>
        <w:pStyle w:val="Heading2"/>
      </w:pPr>
      <w:r>
        <w:t>Weekly Founder Focus</w:t>
      </w:r>
    </w:p>
    <w:p>
      <w:pPr>
        <w:pStyle w:val="ListBullet"/>
        <w:spacing w:line="276" w:lineRule="auto"/>
      </w:pPr>
      <w:r>
        <w:t>Monday: Revenue</w:t>
      </w:r>
    </w:p>
    <w:p>
      <w:pPr>
        <w:pStyle w:val="ListBullet"/>
        <w:spacing w:line="276" w:lineRule="auto"/>
      </w:pPr>
      <w:r>
        <w:t>Tuesday: Product</w:t>
      </w:r>
    </w:p>
    <w:p>
      <w:pPr>
        <w:pStyle w:val="ListBullet"/>
        <w:spacing w:line="276" w:lineRule="auto"/>
      </w:pPr>
      <w:r>
        <w:t>Wednesday: Customers</w:t>
      </w:r>
    </w:p>
    <w:p>
      <w:pPr>
        <w:pStyle w:val="ListBullet"/>
        <w:spacing w:line="276" w:lineRule="auto"/>
      </w:pPr>
      <w:r>
        <w:t>Thursday: Architecture</w:t>
      </w:r>
    </w:p>
    <w:p>
      <w:pPr>
        <w:pStyle w:val="ListBullet"/>
        <w:spacing w:line="276" w:lineRule="auto"/>
      </w:pPr>
      <w:r>
        <w:t>Friday: Operators</w:t>
      </w:r>
    </w:p>
    <w:p>
      <w:pPr>
        <w:pStyle w:val="Heading2"/>
      </w:pPr>
      <w:r>
        <w:t>No Distraction Rules (7)</w:t>
      </w:r>
    </w:p>
    <w:p>
      <w:pPr>
        <w:pStyle w:val="ListNumber"/>
        <w:spacing w:line="276" w:lineRule="auto"/>
      </w:pPr>
      <w:r>
        <w:t>No feature without 90-day revenue connection</w:t>
      </w:r>
    </w:p>
    <w:p>
      <w:pPr>
        <w:pStyle w:val="ListNumber"/>
        <w:spacing w:line="276" w:lineRule="auto"/>
      </w:pPr>
      <w:r>
        <w:t>No platform before product-market fit</w:t>
      </w:r>
    </w:p>
    <w:p>
      <w:pPr>
        <w:pStyle w:val="ListNumber"/>
        <w:spacing w:line="276" w:lineRule="auto"/>
      </w:pPr>
      <w:r>
        <w:t>No hiring before agent automation</w:t>
      </w:r>
    </w:p>
    <w:p>
      <w:pPr>
        <w:pStyle w:val="ListNumber"/>
        <w:spacing w:line="276" w:lineRule="auto"/>
      </w:pPr>
      <w:r>
        <w:t>No fundraising before sustainable revenue</w:t>
      </w:r>
    </w:p>
    <w:p>
      <w:pPr>
        <w:pStyle w:val="ListNumber"/>
        <w:spacing w:line="276" w:lineRule="auto"/>
      </w:pPr>
      <w:r>
        <w:t>No horizontal before vertical dominance</w:t>
      </w:r>
    </w:p>
    <w:p>
      <w:pPr>
        <w:pStyle w:val="ListNumber"/>
        <w:spacing w:line="276" w:lineRule="auto"/>
      </w:pPr>
      <w:r>
        <w:t>No infrastructure before customer demand</w:t>
      </w:r>
    </w:p>
    <w:p>
      <w:pPr>
        <w:pStyle w:val="ListNumber"/>
        <w:spacing w:line="276" w:lineRule="auto"/>
      </w:pPr>
      <w:r>
        <w:t>No theory without executable output</w:t>
      </w:r>
    </w:p>
    <w:p>
      <w:pPr>
        <w:pStyle w:val="Heading2"/>
      </w:pPr>
      <w:r>
        <w:t>Capital Efficiency Doctrine</w:t>
      </w:r>
    </w:p>
    <w:p>
      <w:pPr>
        <w:spacing w:line="276" w:lineRule="auto"/>
      </w:pPr>
      <w:r>
        <w:t>Every dollar generates data, revenue, or strategic position. Service funds product. Agents replace hiring. Open-source replaces API costs where possible.</w:t>
      </w:r>
    </w:p>
    <w:p>
      <w:r>
        <w:br w:type="page"/>
      </w:r>
    </w:p>
    <w:p>
      <w:pPr>
        <w:pStyle w:val="Heading1"/>
      </w:pPr>
      <w:r>
        <w:t>PART XV — BRUTAL CLARITY MODE (FULL 18-DOCUMENT CORPUS)</w:t>
      </w:r>
    </w:p>
    <w:p>
      <w:pPr>
        <w:pStyle w:val="Heading2"/>
      </w:pPr>
      <w:r>
        <w:t>Weak Ideas</w:t>
      </w:r>
    </w:p>
    <w:p>
      <w:pPr>
        <w:pStyle w:val="ListBullet"/>
        <w:spacing w:line="276" w:lineRule="auto"/>
      </w:pPr>
      <w:r>
        <w:t>Building all 22 platforms simultaneously at zero resources</w:t>
      </w:r>
    </w:p>
    <w:p>
      <w:pPr>
        <w:pStyle w:val="ListBullet"/>
        <w:spacing w:line="276" w:lineRule="auto"/>
      </w:pPr>
      <w:r>
        <w:t>Civilization-scale governance without revenue first</w:t>
      </w:r>
    </w:p>
    <w:p>
      <w:pPr>
        <w:pStyle w:val="ListBullet"/>
        <w:spacing w:line="276" w:lineRule="auto"/>
      </w:pPr>
      <w:r>
        <w:t>42 inventions list is inspiring but irrelevant for Year 1</w:t>
      </w:r>
    </w:p>
    <w:p>
      <w:pPr>
        <w:pStyle w:val="ListBullet"/>
        <w:spacing w:line="276" w:lineRule="auto"/>
      </w:pPr>
      <w:r>
        <w:t>LPI targeting empires and governments with no enterprise revenue</w:t>
      </w:r>
    </w:p>
    <w:p>
      <w:pPr>
        <w:pStyle w:val="ListBullet"/>
        <w:spacing w:line="276" w:lineRule="auto"/>
      </w:pPr>
      <w:r>
        <w:t>Hybrid Meta-Civilizations stated as near-term when it's a 20-year vision</w:t>
      </w:r>
    </w:p>
    <w:p>
      <w:pPr>
        <w:pStyle w:val="Heading2"/>
      </w:pPr>
      <w:r>
        <w:t>Redundant Constructs</w:t>
      </w:r>
    </w:p>
    <w:p>
      <w:pPr>
        <w:pStyle w:val="ListBullet"/>
        <w:spacing w:line="276" w:lineRule="auto"/>
      </w:pPr>
      <w:r>
        <w:t>AI taxonomy repeated 5+ times (consolidate once)</w:t>
      </w:r>
    </w:p>
    <w:p>
      <w:pPr>
        <w:pStyle w:val="ListBullet"/>
        <w:spacing w:line="276" w:lineRule="auto"/>
      </w:pPr>
      <w:r>
        <w:t>Agent architecture described repeatedly</w:t>
      </w:r>
    </w:p>
    <w:p>
      <w:pPr>
        <w:pStyle w:val="ListBullet"/>
        <w:spacing w:line="276" w:lineRule="auto"/>
      </w:pPr>
      <w:r>
        <w:t>Chokepoint frameworks overlap across docs 4, 7, 8, 16</w:t>
      </w:r>
    </w:p>
    <w:p>
      <w:pPr>
        <w:pStyle w:val="ListBullet"/>
        <w:spacing w:line="276" w:lineRule="auto"/>
      </w:pPr>
      <w:r>
        <w:t>Operator tier system described independently in docs 7, 9, 10, 11, 16 (needs one canonical version)</w:t>
      </w:r>
    </w:p>
    <w:p>
      <w:pPr>
        <w:pStyle w:val="ListBullet"/>
        <w:spacing w:line="276" w:lineRule="auto"/>
      </w:pPr>
      <w:r>
        <w:t>WGE architecture repeated with different emphasis in docs 16, 17 (merge into single spec)</w:t>
      </w:r>
    </w:p>
    <w:p>
      <w:pPr>
        <w:pStyle w:val="Heading2"/>
      </w:pPr>
      <w:r>
        <w:t>Vanity Layers</w:t>
      </w:r>
    </w:p>
    <w:p>
      <w:pPr>
        <w:pStyle w:val="ListBullet"/>
        <w:spacing w:line="276" w:lineRule="auto"/>
      </w:pPr>
      <w:r>
        <w:t>Planetary simulation engines (irrelevant until &gt;$1M revenue)</w:t>
      </w:r>
    </w:p>
    <w:p>
      <w:pPr>
        <w:pStyle w:val="ListBullet"/>
        <w:spacing w:line="276" w:lineRule="auto"/>
      </w:pPr>
      <w:r>
        <w:t>Theory of Artificial Civilization (academic, not operational)</w:t>
      </w:r>
    </w:p>
    <w:p>
      <w:pPr>
        <w:pStyle w:val="ListBullet"/>
        <w:spacing w:line="276" w:lineRule="auto"/>
      </w:pPr>
      <w:r>
        <w:t>Imperial Intelligence Grid / Private Military Cognition Stack (decades away)</w:t>
      </w:r>
    </w:p>
    <w:p>
      <w:pPr>
        <w:pStyle w:val="ListBullet"/>
        <w:spacing w:line="276" w:lineRule="auto"/>
      </w:pPr>
      <w:r>
        <w:t>50K-attendee festivals</w:t>
      </w:r>
    </w:p>
    <w:p>
      <w:pPr>
        <w:pStyle w:val="ListBullet"/>
        <w:spacing w:line="276" w:lineRule="auto"/>
      </w:pPr>
      <w:r>
        <w:t>23 sovereign AI services for empires</w:t>
      </w:r>
    </w:p>
    <w:p>
      <w:pPr>
        <w:pStyle w:val="Heading2"/>
      </w:pPr>
      <w:r>
        <w:t>Non-Revenue Distractions</w:t>
      </w:r>
    </w:p>
    <w:p>
      <w:pPr>
        <w:pStyle w:val="ListBullet"/>
        <w:spacing w:line="276" w:lineRule="auto"/>
      </w:pPr>
      <w:r>
        <w:t>GPU-optimized local deployment architecture</w:t>
      </w:r>
    </w:p>
    <w:p>
      <w:pPr>
        <w:pStyle w:val="ListBullet"/>
        <w:spacing w:line="276" w:lineRule="auto"/>
      </w:pPr>
      <w:r>
        <w:t>100 navigational tools for idea exploration (Doc 14)</w:t>
      </w:r>
    </w:p>
    <w:p>
      <w:pPr>
        <w:pStyle w:val="ListBullet"/>
        <w:spacing w:line="276" w:lineRule="auto"/>
      </w:pPr>
      <w:r>
        <w:t>39-phase human agency progression model (fascinating, not monetizable)</w:t>
      </w:r>
    </w:p>
    <w:p>
      <w:pPr>
        <w:pStyle w:val="ListBullet"/>
        <w:spacing w:line="276" w:lineRule="auto"/>
      </w:pPr>
      <w:r>
        <w:t>Extended multi-agent debate systems</w:t>
      </w:r>
    </w:p>
    <w:p>
      <w:pPr>
        <w:pStyle w:val="ListBullet"/>
        <w:spacing w:line="276" w:lineRule="auto"/>
      </w:pPr>
      <w:r>
        <w:t>Multi-country legal structures before $100K revenue</w:t>
      </w:r>
    </w:p>
    <w:p>
      <w:pPr>
        <w:pStyle w:val="Heading2"/>
      </w:pPr>
      <w:r>
        <w:t>Hidden Assumptions</w:t>
      </w:r>
    </w:p>
    <w:p>
      <w:pPr>
        <w:pStyle w:val="ListBullet"/>
        <w:spacing w:line="276" w:lineRule="auto"/>
      </w:pPr>
      <w:r>
        <w:t>Assumes enterprise buyers adopt AI governance tooling (unvalidated)</w:t>
      </w:r>
    </w:p>
    <w:p>
      <w:pPr>
        <w:pStyle w:val="ListBullet"/>
        <w:spacing w:line="276" w:lineRule="auto"/>
      </w:pPr>
      <w:r>
        <w:t>Assumes SMBs pay $19/month for agent documentation (needs testing)</w:t>
      </w:r>
    </w:p>
    <w:p>
      <w:pPr>
        <w:pStyle w:val="ListBullet"/>
        <w:spacing w:line="276" w:lineRule="auto"/>
      </w:pPr>
      <w:r>
        <w:t>Assumes operators convert to revenue (unproven funnel)</w:t>
      </w:r>
    </w:p>
    <w:p>
      <w:pPr>
        <w:pStyle w:val="ListBullet"/>
        <w:spacing w:line="276" w:lineRule="auto"/>
      </w:pPr>
      <w:r>
        <w:t>Assumes 20-30% venture mortality rate acceptable to capital partners</w:t>
      </w:r>
    </w:p>
    <w:p>
      <w:pPr>
        <w:pStyle w:val="ListBullet"/>
        <w:spacing w:line="276" w:lineRule="auto"/>
      </w:pPr>
      <w:r>
        <w:t>Assumes mechanical kill enforcement survives political pressure</w:t>
      </w:r>
    </w:p>
    <w:p>
      <w:pPr>
        <w:pStyle w:val="ListBullet"/>
        <w:spacing w:line="276" w:lineRule="auto"/>
      </w:pPr>
      <w:r>
        <w:t>Assumes insurance carriers accept Levelupmax certification</w:t>
      </w:r>
    </w:p>
    <w:p>
      <w:pPr>
        <w:pStyle w:val="ListBullet"/>
        <w:spacing w:line="276" w:lineRule="auto"/>
      </w:pPr>
      <w:r>
        <w:t>Assumes PCI caps enforced on founder without ego override</w:t>
      </w:r>
    </w:p>
    <w:p>
      <w:pPr>
        <w:pStyle w:val="Heading2"/>
      </w:pPr>
      <w:r>
        <w:t>Structural Incoherence</w:t>
      </w:r>
    </w:p>
    <w:p>
      <w:pPr>
        <w:pStyle w:val="ListBullet"/>
        <w:spacing w:line="276" w:lineRule="auto"/>
      </w:pPr>
      <w:r>
        <w:t>Frankmax (institutional) and DocuFlow (micro-SaaS) serve completely different markets</w:t>
      </w:r>
    </w:p>
    <w:p>
      <w:pPr>
        <w:pStyle w:val="ListBullet"/>
        <w:spacing w:line="276" w:lineRule="auto"/>
      </w:pPr>
      <w:r>
        <w:t>LPI (empires/governments) has zero connection to SME revenue plan</w:t>
      </w:r>
    </w:p>
    <w:p>
      <w:pPr>
        <w:pStyle w:val="ListBullet"/>
        <w:spacing w:line="276" w:lineRule="auto"/>
      </w:pPr>
      <w:r>
        <w:t>Compensation starts at $0 but expects world-class operators</w:t>
      </w:r>
    </w:p>
    <w:p>
      <w:pPr>
        <w:pStyle w:val="ListBullet"/>
        <w:spacing w:line="276" w:lineRule="auto"/>
      </w:pPr>
      <w:r>
        <w:t>40-system enterprise architecture but no enterprise customer yet</w:t>
      </w:r>
    </w:p>
    <w:p>
      <w:pPr>
        <w:pStyle w:val="ListBullet"/>
        <w:spacing w:line="276" w:lineRule="auto"/>
      </w:pPr>
      <w:r>
        <w:t>Constitutional amendment process designed for a system that doesn't exist yet</w:t>
      </w:r>
    </w:p>
    <w:p>
      <w:pPr>
        <w:pStyle w:val="Heading2"/>
      </w:pPr>
      <w:r>
        <w:t>Challenge to the Founder</w:t>
      </w:r>
    </w:p>
    <w:p>
      <w:pPr>
        <w:spacing w:line="276" w:lineRule="auto"/>
      </w:pPr>
      <w:r>
        <w:t>The strategic vision across 18 documents — 242,570 lines — is the most comprehensive AI ecosystem architecture encountered. The constitutional framework (docs 17-18) is genuinely novel: a mechanical coordination protocol with entropy-reducing properties and anti-oligarchy enforcement. The Frankmax governance thesis identifies a real functional monopoly.</w:t>
      </w:r>
    </w:p>
    <w:p>
      <w:pPr>
        <w:spacing w:line="276" w:lineRule="auto"/>
      </w:pPr>
      <w:r>
        <w:t>But the founder's most dangerous enemy is the seductive completeness of the architecture itself. 242,570 lines of strategy and zero lines of revenue.</w:t>
      </w:r>
    </w:p>
    <w:p>
      <w:pPr>
        <w:spacing w:line="276" w:lineRule="auto"/>
      </w:pPr>
      <w:r>
        <w:t>Non-negotiable priority: (1) Choose ONE vertical. (2) Book 20 economically relevant conversations in 14 days. (3) Close 3 deals. (4) Generate $50K. (5) Document what actually happened vs. what was planned. Everything else — the constitution, the insurance layer, the 40-system architecture, the LPI empire services, the civilization vision — waits until cash proves the thesis.</w:t>
      </w:r>
    </w:p>
    <w:p>
      <w:pPr>
        <w:spacing w:line="276" w:lineRule="auto"/>
      </w:pPr>
      <w:r>
        <w:t>The universe is indifferent to names. It only respects leverage over reality.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