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t xml:space="preserve">AD Remediation Agent</w:t>
      </w:r>
    </w:p>
    <w:p>
      <w:pPr>
        <w:pStyle w:val="Subtitle"/>
      </w:pPr>
      <w:r>
        <w:t xml:space="preserve">Account Manager Internal Brief</w:t>
      </w:r>
    </w:p>
    <w:p/>
    <w:p>
      <w:pPr>
        <w:spacing w:after="80"/>
      </w:pPr>
      <w:r>
        <w:rPr>
          <w:b/>
        </w:rPr>
        <w:t xml:space="preserve">Client:  </w:t>
      </w:r>
      <w:r>
        <w:t xml:space="preserve">MetLife</w:t>
      </w:r>
    </w:p>
    <w:p>
      <w:pPr>
        <w:spacing w:after="80"/>
      </w:pPr>
      <w:r>
        <w:rPr>
          <w:b/>
        </w:rPr>
        <w:t xml:space="preserve">Prepared by:  </w:t>
      </w:r>
      <w:r>
        <w:t xml:space="preserve">Fusion5</w:t>
      </w:r>
    </w:p>
    <w:p>
      <w:pPr>
        <w:spacing w:after="80"/>
      </w:pPr>
      <w:r>
        <w:rPr>
          <w:b/>
        </w:rPr>
        <w:t xml:space="preserve">Date:  </w:t>
      </w:r>
      <w:r>
        <w:t xml:space="preserve">March 2026</w:t>
      </w:r>
    </w:p>
    <w:p>
      <w:pPr>
        <w:spacing w:after="80"/>
      </w:pPr>
      <w:r>
        <w:rPr>
          <w:b/>
        </w:rPr>
        <w:t xml:space="preserve">Classification:  </w:t>
      </w:r>
      <w:r>
        <w:t xml:space="preserve">INTERNAL -- Fusion5 Confidential</w:t>
      </w:r>
    </w:p>
    <w:p/>
    <w:p>
      <w:r>
        <w:br w:type="page"/>
      </w:r>
    </w:p>
    <w:p>
      <w:pPr>
        <w:pStyle w:val="Heading1"/>
      </w:pPr>
      <w:r>
        <w:t xml:space="preserve">Engagement Context</w:t>
      </w:r>
    </w:p>
    <w:p>
      <w:r>
        <w:t xml:space="preserve">MetLife engaged Fusion5 to deliver an Active Directory (AD) security assessment and remediation solution to support their planned Domain Controller (DC) upgrade from Windows Server 2019 to Windows Server 2025. The engagement addresses a comprehensive review of AD security posture across 12 defined milestones, covering areas from DC health and baseline configuration through to privileged access governance and delegated permissions review.</w:t>
      </w:r>
    </w:p>
    <w:p>
      <w:r>
        <w:t xml:space="preserve">The primary drivers for this engagement are:</w:t>
      </w:r>
    </w:p>
    <w:p>
      <w:pPr>
        <w:pStyle w:val="ListBullet"/>
      </w:pPr>
      <w:r>
        <w:t xml:space="preserve">DC operating system upgrade to Windows Server 2025 (in-place and swing migration approach)</w:t>
      </w:r>
    </w:p>
    <w:p>
      <w:pPr>
        <w:pStyle w:val="ListBullet"/>
      </w:pPr>
      <w:r>
        <w:t xml:space="preserve">Active Directory security hygiene to reduce attack surface prior to and following the upgrade</w:t>
      </w:r>
    </w:p>
    <w:p>
      <w:pPr>
        <w:pStyle w:val="ListBullet"/>
      </w:pPr>
      <w:r>
        <w:t xml:space="preserve">CIS Benchmark Level 1 compliance alignment for Windows Server 2022 / 2025</w:t>
      </w:r>
    </w:p>
    <w:p>
      <w:pPr>
        <w:pStyle w:val="ListBullet"/>
      </w:pPr>
      <w:r>
        <w:t xml:space="preserve">NIST SP 800-53 control evidence generation for governance and audit reporting</w:t>
      </w:r>
    </w:p>
    <w:p>
      <w:pPr>
        <w:pStyle w:val="ListBullet"/>
      </w:pPr>
      <w:r>
        <w:t xml:space="preserve">Hybrid Azure AD Join environment considerations, including Windows Hello for Business Kerberos hybrid trust</w:t>
      </w:r>
    </w:p>
    <w:p>
      <w:r>
        <w:t xml:space="preserve">MetLife's environment includes Domain Controllers currently running Windows Server 2019, a hybrid Azure AD join configuration, and legacy applications with IP-bound dependencies on DC addresses -- all of which have been accounted for in the solution design.</w:t>
      </w:r>
    </w:p>
    <w:p>
      <w:pPr>
        <w:pStyle w:val="Heading1"/>
      </w:pPr>
      <w:r>
        <w:t xml:space="preserve">Solution Delivered</w:t>
      </w:r>
    </w:p>
    <w:p>
      <w:r>
        <w:t xml:space="preserve">The deliverable is the AD Remediation Agent -- a PowerShell 5.1 automation framework that discovers, baselines, and remediates Active Directory security findings across all 12 milestones. It runs from any domain-joined Windows machine or Privileged Access Workstation (PAW) and requires no additional software beyond the ActiveDirectory RSAT module (plus GPMC for GPO-related checks).</w:t>
      </w:r>
    </w:p>
    <w:p>
      <w:r>
        <w:t xml:space="preserve">The agent operates in four modes:</w:t>
      </w:r>
    </w:p>
    <w:p/>
    <w:tbl>
      <w:tblPr>
        <w:tblStyle w:val="TableGrid"/>
        <w:tblW w:w="9360" w:type="dxa"/>
      </w:tblPr>
      <w:tblGrid>
        <w:gridCol w:w="3120"/>
        <w:gridCol w:w="3120"/>
        <w:gridCol w:w="3120"/>
      </w:tblGrid>
      <w:tr>
        <w:tc>
          <w:tcPr>
            <w:tcW w:w="3120" w:type="dxa"/>
            <w:shd w:val="clear" w:color="auto" w:fill="2E74B5"/>
          </w:tcPr>
          <w:p>
            <w:pPr>
              <w:spacing w:after="80"/>
            </w:pPr>
            <w:r>
              <w:rPr>
                <w:b/>
                <w:color w:val="FFFFFF"/>
              </w:rPr>
              <w:t xml:space="preserve">Mode</w:t>
            </w:r>
          </w:p>
        </w:tc>
        <w:tc>
          <w:tcPr>
            <w:tcW w:w="3120" w:type="dxa"/>
            <w:shd w:val="clear" w:color="auto" w:fill="2E74B5"/>
          </w:tcPr>
          <w:p>
            <w:pPr>
              <w:spacing w:after="80"/>
            </w:pPr>
            <w:r>
              <w:rPr>
                <w:b/>
                <w:color w:val="FFFFFF"/>
              </w:rPr>
              <w:t xml:space="preserve">Description</w:t>
            </w:r>
          </w:p>
        </w:tc>
        <w:tc>
          <w:tcPr>
            <w:tcW w:w="3120" w:type="dxa"/>
            <w:shd w:val="clear" w:color="auto" w:fill="2E74B5"/>
          </w:tcPr>
          <w:p>
            <w:pPr>
              <w:spacing w:after="80"/>
            </w:pPr>
            <w:r>
              <w:rPr>
                <w:b/>
                <w:color w:val="FFFFFF"/>
              </w:rPr>
              <w:t xml:space="preserve">Makes Changes</w:t>
            </w:r>
          </w:p>
        </w:tc>
      </w:tr>
      <w:tr>
        <w:tc>
          <w:tcPr>
            <w:tcW w:w="3120" w:type="dxa"/>
            <w:shd w:val="clear" w:color="auto" w:fill="EBF3FB"/>
          </w:tcPr>
          <w:p>
            <w:pPr>
              <w:spacing w:after="80"/>
            </w:pPr>
            <w:r>
              <w:t xml:space="preserve">Discover</w:t>
            </w:r>
          </w:p>
        </w:tc>
        <w:tc>
          <w:tcPr>
            <w:tcW w:w="3120" w:type="dxa"/>
            <w:shd w:val="clear" w:color="auto" w:fill="EBF3FB"/>
          </w:tcPr>
          <w:p>
            <w:pPr>
              <w:spacing w:after="80"/>
            </w:pPr>
            <w:r>
              <w:t xml:space="preserve">Runs all checks, logs findings, produces HTML report with CIS and NIST annotations</w:t>
            </w:r>
          </w:p>
        </w:tc>
        <w:tc>
          <w:tcPr>
            <w:tcW w:w="3120" w:type="dxa"/>
            <w:shd w:val="clear" w:color="auto" w:fill="EBF3FB"/>
          </w:tcPr>
          <w:p>
            <w:pPr>
              <w:spacing w:after="80"/>
            </w:pPr>
            <w:r>
              <w:t xml:space="preserve">No</w:t>
            </w:r>
          </w:p>
        </w:tc>
      </w:tr>
      <w:tr>
        <w:tc>
          <w:tcPr>
            <w:tcW w:w="3120" w:type="dxa"/>
            <w:shd w:val="clear" w:color="auto" w:fill="FFFFFF"/>
          </w:tcPr>
          <w:p>
            <w:pPr>
              <w:spacing w:after="80"/>
            </w:pPr>
            <w:r>
              <w:t xml:space="preserve">Baseline</w:t>
            </w:r>
          </w:p>
        </w:tc>
        <w:tc>
          <w:tcPr>
            <w:tcW w:w="3120" w:type="dxa"/>
            <w:shd w:val="clear" w:color="auto" w:fill="FFFFFF"/>
          </w:tcPr>
          <w:p>
            <w:pPr>
              <w:spacing w:after="80"/>
            </w:pPr>
            <w:r>
              <w:t xml:space="preserve">Snapshots current AD state as the approved reference point for drift tracking</w:t>
            </w:r>
          </w:p>
        </w:tc>
        <w:tc>
          <w:tcPr>
            <w:tcW w:w="3120" w:type="dxa"/>
            <w:shd w:val="clear" w:color="auto" w:fill="FFFFFF"/>
          </w:tcPr>
          <w:p>
            <w:pPr>
              <w:spacing w:after="80"/>
            </w:pPr>
            <w:r>
              <w:t xml:space="preserve">No</w:t>
            </w:r>
          </w:p>
        </w:tc>
      </w:tr>
      <w:tr>
        <w:tc>
          <w:tcPr>
            <w:tcW w:w="3120" w:type="dxa"/>
            <w:shd w:val="clear" w:color="auto" w:fill="EBF3FB"/>
          </w:tcPr>
          <w:p>
            <w:pPr>
              <w:spacing w:after="80"/>
            </w:pPr>
            <w:r>
              <w:t xml:space="preserve">Remediate</w:t>
            </w:r>
          </w:p>
        </w:tc>
        <w:tc>
          <w:tcPr>
            <w:tcW w:w="3120" w:type="dxa"/>
            <w:shd w:val="clear" w:color="auto" w:fill="EBF3FB"/>
          </w:tcPr>
          <w:p>
            <w:pPr>
              <w:spacing w:after="80"/>
            </w:pPr>
            <w:r>
              <w:t xml:space="preserve">Runs checks then prompts for explicit human approval before each change</w:t>
            </w:r>
          </w:p>
        </w:tc>
        <w:tc>
          <w:tcPr>
            <w:tcW w:w="3120" w:type="dxa"/>
            <w:shd w:val="clear" w:color="auto" w:fill="EBF3FB"/>
          </w:tcPr>
          <w:p>
            <w:pPr>
              <w:spacing w:after="80"/>
            </w:pPr>
            <w:r>
              <w:t xml:space="preserve">Yes -- with approval only</w:t>
            </w:r>
          </w:p>
        </w:tc>
      </w:tr>
      <w:tr>
        <w:tc>
          <w:tcPr>
            <w:tcW w:w="3120" w:type="dxa"/>
            <w:shd w:val="clear" w:color="auto" w:fill="FFFFFF"/>
          </w:tcPr>
          <w:p>
            <w:pPr>
              <w:spacing w:after="80"/>
            </w:pPr>
            <w:r>
              <w:t xml:space="preserve">Report</w:t>
            </w:r>
          </w:p>
        </w:tc>
        <w:tc>
          <w:tcPr>
            <w:tcW w:w="3120" w:type="dxa"/>
            <w:shd w:val="clear" w:color="auto" w:fill="FFFFFF"/>
          </w:tcPr>
          <w:p>
            <w:pPr>
              <w:spacing w:after="80"/>
            </w:pPr>
            <w:r>
              <w:t xml:space="preserve">Generates a historical drift report from stored baselines. No AD queries.</w:t>
            </w:r>
          </w:p>
        </w:tc>
        <w:tc>
          <w:tcPr>
            <w:tcW w:w="3120" w:type="dxa"/>
            <w:shd w:val="clear" w:color="auto" w:fill="FFFFFF"/>
          </w:tcPr>
          <w:p>
            <w:pPr>
              <w:spacing w:after="80"/>
            </w:pPr>
            <w:r>
              <w:t xml:space="preserve">No</w:t>
            </w:r>
          </w:p>
        </w:tc>
      </w:tr>
    </w:tbl>
    <w:p/>
    <w:p>
      <w:pPr>
        <w:pStyle w:val="Heading2"/>
      </w:pPr>
      <w:r>
        <w:t xml:space="preserve">Key Technical Characteristics</w:t>
      </w:r>
    </w:p>
    <w:p>
      <w:pPr>
        <w:pStyle w:val="ListBullet"/>
      </w:pPr>
      <w:r>
        <w:t xml:space="preserve">PowerShell 5.1 only -- ships in-box on Windows Server 2019 and 2025; no additional runtime required</w:t>
      </w:r>
    </w:p>
    <w:p>
      <w:pPr>
        <w:pStyle w:val="ListBullet"/>
      </w:pPr>
      <w:r>
        <w:t xml:space="preserve">Compliance-mapped findings -- every finding carries CIS Benchmark Level 1 control and NIST SP 800-53 control ID</w:t>
      </w:r>
    </w:p>
    <w:p>
      <w:pPr>
        <w:pStyle w:val="ListBullet"/>
      </w:pPr>
      <w:r>
        <w:t xml:space="preserve">Human-in-the-loop -- no change is ever made without explicit operator approval at the CLI</w:t>
      </w:r>
    </w:p>
    <w:p>
      <w:pPr>
        <w:pStyle w:val="ListBullet"/>
      </w:pPr>
      <w:r>
        <w:t xml:space="preserve">Typed confirmation required for HIGH and CRITICAL risk changes (operator must type the target name)</w:t>
      </w:r>
    </w:p>
    <w:p>
      <w:pPr>
        <w:pStyle w:val="ListBullet"/>
      </w:pPr>
      <w:r>
        <w:t xml:space="preserve">DC Upgrade Gate -- blocks M3-M12 remediation until all DCs are confirmed on the target OS</w:t>
      </w:r>
    </w:p>
    <w:p>
      <w:pPr>
        <w:pStyle w:val="ListBullet"/>
      </w:pPr>
      <w:r>
        <w:t xml:space="preserve">Safe-by-default -- no AD objects are ever deleted; stale accounts are quarantined (disabled and moved)</w:t>
      </w:r>
    </w:p>
    <w:p>
      <w:pPr>
        <w:pStyle w:val="ListBullet"/>
      </w:pPr>
      <w:r>
        <w:t xml:space="preserve">Full audit trail -- every run, finding, approval, and denial is logged to a structured CSV and HTML report</w:t>
      </w:r>
    </w:p>
    <w:p>
      <w:pPr>
        <w:pStyle w:val="ListBullet"/>
      </w:pPr>
      <w:r>
        <w:t xml:space="preserve">Baseline and drift tracking -- subsequent runs compare against a stored baseline and label findings as New, Persisting, or Resolved</w:t>
      </w:r>
    </w:p>
    <w:p>
      <w:pPr>
        <w:pStyle w:val="Heading1"/>
      </w:pPr>
      <w:r>
        <w:t xml:space="preserve">Milestone Coverage</w:t>
      </w:r>
    </w:p>
    <w:p>
      <w:r>
        <w:t xml:space="preserve">All 11 scripted milestones are fully implemented. M2 (DC Upgrade) is intentionally not scripted -- it is a manual, change-controlled process. M1 produces a DC inventory with upgrade readiness flags used to gate M3-M12 remediation.</w:t>
      </w:r>
    </w:p>
    <w:p/>
    <w:tbl>
      <w:tblPr>
        <w:tblStyle w:val="TableGrid"/>
        <w:tblW w:w="9360" w:type="dxa"/>
      </w:tblPr>
      <w:tblGrid>
        <w:gridCol w:w="1872"/>
        <w:gridCol w:w="1872"/>
        <w:gridCol w:w="1872"/>
        <w:gridCol w:w="1872"/>
        <w:gridCol w:w="1872"/>
      </w:tblGrid>
      <w:tr>
        <w:tc>
          <w:tcPr>
            <w:tcW w:w="1872" w:type="dxa"/>
            <w:shd w:val="clear" w:color="auto" w:fill="2E74B5"/>
          </w:tcPr>
          <w:p>
            <w:pPr>
              <w:spacing w:after="80"/>
            </w:pPr>
            <w:r>
              <w:rPr>
                <w:b/>
                <w:color w:val="FFFFFF"/>
              </w:rPr>
              <w:t xml:space="preserve">ID</w:t>
            </w:r>
          </w:p>
        </w:tc>
        <w:tc>
          <w:tcPr>
            <w:tcW w:w="1872" w:type="dxa"/>
            <w:shd w:val="clear" w:color="auto" w:fill="2E74B5"/>
          </w:tcPr>
          <w:p>
            <w:pPr>
              <w:spacing w:after="80"/>
            </w:pPr>
            <w:r>
              <w:rPr>
                <w:b/>
                <w:color w:val="FFFFFF"/>
              </w:rPr>
              <w:t xml:space="preserve">Milestone</w:t>
            </w:r>
          </w:p>
        </w:tc>
        <w:tc>
          <w:tcPr>
            <w:tcW w:w="1872" w:type="dxa"/>
            <w:shd w:val="clear" w:color="auto" w:fill="2E74B5"/>
          </w:tcPr>
          <w:p>
            <w:pPr>
              <w:spacing w:after="80"/>
            </w:pPr>
            <w:r>
              <w:rPr>
                <w:b/>
                <w:color w:val="FFFFFF"/>
              </w:rPr>
              <w:t xml:space="preserve">Status</w:t>
            </w:r>
          </w:p>
        </w:tc>
        <w:tc>
          <w:tcPr>
            <w:tcW w:w="1872" w:type="dxa"/>
            <w:shd w:val="clear" w:color="auto" w:fill="2E74B5"/>
          </w:tcPr>
          <w:p>
            <w:pPr>
              <w:spacing w:after="80"/>
            </w:pPr>
            <w:r>
              <w:rPr>
                <w:b/>
                <w:color w:val="FFFFFF"/>
              </w:rPr>
              <w:t xml:space="preserve">Remediates</w:t>
            </w:r>
          </w:p>
        </w:tc>
        <w:tc>
          <w:tcPr>
            <w:tcW w:w="1872" w:type="dxa"/>
            <w:shd w:val="clear" w:color="auto" w:fill="2E74B5"/>
          </w:tcPr>
          <w:p>
            <w:pPr>
              <w:spacing w:after="80"/>
            </w:pPr>
            <w:r>
              <w:rPr>
                <w:b/>
                <w:color w:val="FFFFFF"/>
              </w:rPr>
              <w:t xml:space="preserve">Risk Level</w:t>
            </w:r>
          </w:p>
        </w:tc>
      </w:tr>
      <w:tr>
        <w:tc>
          <w:tcPr>
            <w:tcW w:w="1872" w:type="dxa"/>
            <w:shd w:val="clear" w:color="auto" w:fill="EBF3FB"/>
          </w:tcPr>
          <w:p>
            <w:pPr>
              <w:spacing w:after="80"/>
            </w:pPr>
            <w:r>
              <w:t xml:space="preserve">M1</w:t>
            </w:r>
          </w:p>
        </w:tc>
        <w:tc>
          <w:tcPr>
            <w:tcW w:w="1872" w:type="dxa"/>
            <w:shd w:val="clear" w:color="auto" w:fill="EBF3FB"/>
          </w:tcPr>
          <w:p>
            <w:pPr>
              <w:spacing w:after="80"/>
            </w:pPr>
            <w:r>
              <w:t xml:space="preserve">DC Health and Baseline</w:t>
            </w:r>
          </w:p>
        </w:tc>
        <w:tc>
          <w:tcPr>
            <w:tcW w:w="1872" w:type="dxa"/>
            <w:shd w:val="clear" w:color="auto" w:fill="EBF3FB"/>
          </w:tcPr>
          <w:p>
            <w:pPr>
              <w:spacing w:after="80"/>
            </w:pPr>
            <w:r>
              <w:t xml:space="preserve">Implemented</w:t>
            </w:r>
          </w:p>
        </w:tc>
        <w:tc>
          <w:tcPr>
            <w:tcW w:w="1872" w:type="dxa"/>
            <w:shd w:val="clear" w:color="auto" w:fill="EBF3FB"/>
          </w:tcPr>
          <w:p>
            <w:pPr>
              <w:spacing w:after="80"/>
            </w:pPr>
            <w:r>
              <w:t xml:space="preserve">No -- flags only</w:t>
            </w:r>
          </w:p>
        </w:tc>
        <w:tc>
          <w:tcPr>
            <w:tcW w:w="1872" w:type="dxa"/>
            <w:shd w:val="clear" w:color="auto" w:fill="EBF3FB"/>
          </w:tcPr>
          <w:p>
            <w:pPr>
              <w:spacing w:after="80"/>
            </w:pPr>
            <w:r>
              <w:t xml:space="preserve">INFO to HIGH</w:t>
            </w:r>
          </w:p>
        </w:tc>
      </w:tr>
      <w:tr>
        <w:tc>
          <w:tcPr>
            <w:tcW w:w="1872" w:type="dxa"/>
            <w:shd w:val="clear" w:color="auto" w:fill="FFFFFF"/>
          </w:tcPr>
          <w:p>
            <w:pPr>
              <w:spacing w:after="80"/>
            </w:pPr>
            <w:r>
              <w:t xml:space="preserve">M2</w:t>
            </w:r>
          </w:p>
        </w:tc>
        <w:tc>
          <w:tcPr>
            <w:tcW w:w="1872" w:type="dxa"/>
            <w:shd w:val="clear" w:color="auto" w:fill="FFFFFF"/>
          </w:tcPr>
          <w:p>
            <w:pPr>
              <w:spacing w:after="80"/>
            </w:pPr>
            <w:r>
              <w:t xml:space="preserve">DC Upgrade to Windows Server 2025</w:t>
            </w:r>
          </w:p>
        </w:tc>
        <w:tc>
          <w:tcPr>
            <w:tcW w:w="1872" w:type="dxa"/>
            <w:shd w:val="clear" w:color="auto" w:fill="FFFFFF"/>
          </w:tcPr>
          <w:p>
            <w:pPr>
              <w:spacing w:after="80"/>
            </w:pPr>
            <w:r>
              <w:t xml:space="preserve">Manual</w:t>
            </w:r>
          </w:p>
        </w:tc>
        <w:tc>
          <w:tcPr>
            <w:tcW w:w="1872" w:type="dxa"/>
            <w:shd w:val="clear" w:color="auto" w:fill="FFFFFF"/>
          </w:tcPr>
          <w:p>
            <w:pPr>
              <w:spacing w:after="80"/>
            </w:pPr>
            <w:r>
              <w:t xml:space="preserve">N/A -- manual process</w:t>
            </w:r>
          </w:p>
        </w:tc>
        <w:tc>
          <w:tcPr>
            <w:tcW w:w="1872" w:type="dxa"/>
            <w:shd w:val="clear" w:color="auto" w:fill="FFFFFF"/>
          </w:tcPr>
          <w:p>
            <w:pPr>
              <w:spacing w:after="80"/>
            </w:pPr>
            <w:r>
              <w:t xml:space="preserve">HIGH / CRITICAL</w:t>
            </w:r>
          </w:p>
        </w:tc>
      </w:tr>
      <w:tr>
        <w:tc>
          <w:tcPr>
            <w:tcW w:w="1872" w:type="dxa"/>
            <w:shd w:val="clear" w:color="auto" w:fill="EBF3FB"/>
          </w:tcPr>
          <w:p>
            <w:pPr>
              <w:spacing w:after="80"/>
            </w:pPr>
            <w:r>
              <w:t xml:space="preserve">M3</w:t>
            </w:r>
          </w:p>
        </w:tc>
        <w:tc>
          <w:tcPr>
            <w:tcW w:w="1872" w:type="dxa"/>
            <w:shd w:val="clear" w:color="auto" w:fill="EBF3FB"/>
          </w:tcPr>
          <w:p>
            <w:pPr>
              <w:spacing w:after="80"/>
            </w:pPr>
            <w:r>
              <w:t xml:space="preserve">OU Structure Cleanup</w:t>
            </w:r>
          </w:p>
        </w:tc>
        <w:tc>
          <w:tcPr>
            <w:tcW w:w="1872" w:type="dxa"/>
            <w:shd w:val="clear" w:color="auto" w:fill="EBF3FB"/>
          </w:tcPr>
          <w:p>
            <w:pPr>
              <w:spacing w:after="80"/>
            </w:pPr>
            <w:r>
              <w:t xml:space="preserve">Implemented</w:t>
            </w:r>
          </w:p>
        </w:tc>
        <w:tc>
          <w:tcPr>
            <w:tcW w:w="1872" w:type="dxa"/>
            <w:shd w:val="clear" w:color="auto" w:fill="EBF3FB"/>
          </w:tcPr>
          <w:p>
            <w:pPr>
              <w:spacing w:after="80"/>
            </w:pPr>
            <w:r>
              <w:t xml:space="preserve">No -- Discover-only</w:t>
            </w:r>
          </w:p>
        </w:tc>
        <w:tc>
          <w:tcPr>
            <w:tcW w:w="1872" w:type="dxa"/>
            <w:shd w:val="clear" w:color="auto" w:fill="EBF3FB"/>
          </w:tcPr>
          <w:p>
            <w:pPr>
              <w:spacing w:after="80"/>
            </w:pPr>
            <w:r>
              <w:t xml:space="preserve">LOW / MEDIUM</w:t>
            </w:r>
          </w:p>
        </w:tc>
      </w:tr>
      <w:tr>
        <w:tc>
          <w:tcPr>
            <w:tcW w:w="1872" w:type="dxa"/>
            <w:shd w:val="clear" w:color="auto" w:fill="FFFFFF"/>
          </w:tcPr>
          <w:p>
            <w:pPr>
              <w:spacing w:after="80"/>
            </w:pPr>
            <w:r>
              <w:t xml:space="preserve">M4</w:t>
            </w:r>
          </w:p>
        </w:tc>
        <w:tc>
          <w:tcPr>
            <w:tcW w:w="1872" w:type="dxa"/>
            <w:shd w:val="clear" w:color="auto" w:fill="FFFFFF"/>
          </w:tcPr>
          <w:p>
            <w:pPr>
              <w:spacing w:after="80"/>
            </w:pPr>
            <w:r>
              <w:t xml:space="preserve">Unconstrained Delegation</w:t>
            </w:r>
          </w:p>
        </w:tc>
        <w:tc>
          <w:tcPr>
            <w:tcW w:w="1872" w:type="dxa"/>
            <w:shd w:val="clear" w:color="auto" w:fill="FFFFFF"/>
          </w:tcPr>
          <w:p>
            <w:pPr>
              <w:spacing w:after="80"/>
            </w:pPr>
            <w:r>
              <w:t xml:space="preserve">Implemented</w:t>
            </w:r>
          </w:p>
        </w:tc>
        <w:tc>
          <w:tcPr>
            <w:tcW w:w="1872" w:type="dxa"/>
            <w:shd w:val="clear" w:color="auto" w:fill="FFFFFF"/>
          </w:tcPr>
          <w:p>
            <w:pPr>
              <w:spacing w:after="80"/>
            </w:pPr>
            <w:r>
              <w:t xml:space="preserve">Yes -- per-object approval</w:t>
            </w:r>
          </w:p>
        </w:tc>
        <w:tc>
          <w:tcPr>
            <w:tcW w:w="1872" w:type="dxa"/>
            <w:shd w:val="clear" w:color="auto" w:fill="FFFFFF"/>
          </w:tcPr>
          <w:p>
            <w:pPr>
              <w:spacing w:after="80"/>
            </w:pPr>
            <w:r>
              <w:t xml:space="preserve">HIGH / CRITICAL</w:t>
            </w:r>
          </w:p>
        </w:tc>
      </w:tr>
      <w:tr>
        <w:tc>
          <w:tcPr>
            <w:tcW w:w="1872" w:type="dxa"/>
            <w:shd w:val="clear" w:color="auto" w:fill="EBF3FB"/>
          </w:tcPr>
          <w:p>
            <w:pPr>
              <w:spacing w:after="80"/>
            </w:pPr>
            <w:r>
              <w:t xml:space="preserve">M5</w:t>
            </w:r>
          </w:p>
        </w:tc>
        <w:tc>
          <w:tcPr>
            <w:tcW w:w="1872" w:type="dxa"/>
            <w:shd w:val="clear" w:color="auto" w:fill="EBF3FB"/>
          </w:tcPr>
          <w:p>
            <w:pPr>
              <w:spacing w:after="80"/>
            </w:pPr>
            <w:r>
              <w:t xml:space="preserve">SPN Audit</w:t>
            </w:r>
          </w:p>
        </w:tc>
        <w:tc>
          <w:tcPr>
            <w:tcW w:w="1872" w:type="dxa"/>
            <w:shd w:val="clear" w:color="auto" w:fill="EBF3FB"/>
          </w:tcPr>
          <w:p>
            <w:pPr>
              <w:spacing w:after="80"/>
            </w:pPr>
            <w:r>
              <w:t xml:space="preserve">Implemented</w:t>
            </w:r>
          </w:p>
        </w:tc>
        <w:tc>
          <w:tcPr>
            <w:tcW w:w="1872" w:type="dxa"/>
            <w:shd w:val="clear" w:color="auto" w:fill="EBF3FB"/>
          </w:tcPr>
          <w:p>
            <w:pPr>
              <w:spacing w:after="80"/>
            </w:pPr>
            <w:r>
              <w:t xml:space="preserve">Partial -- AES enc. type with approval</w:t>
            </w:r>
          </w:p>
        </w:tc>
        <w:tc>
          <w:tcPr>
            <w:tcW w:w="1872" w:type="dxa"/>
            <w:shd w:val="clear" w:color="auto" w:fill="EBF3FB"/>
          </w:tcPr>
          <w:p>
            <w:pPr>
              <w:spacing w:after="80"/>
            </w:pPr>
            <w:r>
              <w:t xml:space="preserve">MEDIUM / HIGH</w:t>
            </w:r>
          </w:p>
        </w:tc>
      </w:tr>
      <w:tr>
        <w:tc>
          <w:tcPr>
            <w:tcW w:w="1872" w:type="dxa"/>
            <w:shd w:val="clear" w:color="auto" w:fill="FFFFFF"/>
          </w:tcPr>
          <w:p>
            <w:pPr>
              <w:spacing w:after="80"/>
            </w:pPr>
            <w:r>
              <w:t xml:space="preserve">M6</w:t>
            </w:r>
          </w:p>
        </w:tc>
        <w:tc>
          <w:tcPr>
            <w:tcW w:w="1872" w:type="dxa"/>
            <w:shd w:val="clear" w:color="auto" w:fill="FFFFFF"/>
          </w:tcPr>
          <w:p>
            <w:pPr>
              <w:spacing w:after="80"/>
            </w:pPr>
            <w:r>
              <w:t xml:space="preserve">Kerberos Configuration</w:t>
            </w:r>
          </w:p>
        </w:tc>
        <w:tc>
          <w:tcPr>
            <w:tcW w:w="1872" w:type="dxa"/>
            <w:shd w:val="clear" w:color="auto" w:fill="FFFFFF"/>
          </w:tcPr>
          <w:p>
            <w:pPr>
              <w:spacing w:after="80"/>
            </w:pPr>
            <w:r>
              <w:t xml:space="preserve">Implemented</w:t>
            </w:r>
          </w:p>
        </w:tc>
        <w:tc>
          <w:tcPr>
            <w:tcW w:w="1872" w:type="dxa"/>
            <w:shd w:val="clear" w:color="auto" w:fill="FFFFFF"/>
          </w:tcPr>
          <w:p>
            <w:pPr>
              <w:spacing w:after="80"/>
            </w:pPr>
            <w:r>
              <w:t xml:space="preserve">Partial -- AES enc. type with approval</w:t>
            </w:r>
          </w:p>
        </w:tc>
        <w:tc>
          <w:tcPr>
            <w:tcW w:w="1872" w:type="dxa"/>
            <w:shd w:val="clear" w:color="auto" w:fill="FFFFFF"/>
          </w:tcPr>
          <w:p>
            <w:pPr>
              <w:spacing w:after="80"/>
            </w:pPr>
            <w:r>
              <w:t xml:space="preserve">MEDIUM / HIGH</w:t>
            </w:r>
          </w:p>
        </w:tc>
      </w:tr>
      <w:tr>
        <w:tc>
          <w:tcPr>
            <w:tcW w:w="1872" w:type="dxa"/>
            <w:shd w:val="clear" w:color="auto" w:fill="EBF3FB"/>
          </w:tcPr>
          <w:p>
            <w:pPr>
              <w:spacing w:after="80"/>
            </w:pPr>
            <w:r>
              <w:t xml:space="preserve">M7</w:t>
            </w:r>
          </w:p>
        </w:tc>
        <w:tc>
          <w:tcPr>
            <w:tcW w:w="1872" w:type="dxa"/>
            <w:shd w:val="clear" w:color="auto" w:fill="EBF3FB"/>
          </w:tcPr>
          <w:p>
            <w:pPr>
              <w:spacing w:after="80"/>
            </w:pPr>
            <w:r>
              <w:t xml:space="preserve">DC Hardening and CIS L1 Baseline</w:t>
            </w:r>
          </w:p>
        </w:tc>
        <w:tc>
          <w:tcPr>
            <w:tcW w:w="1872" w:type="dxa"/>
            <w:shd w:val="clear" w:color="auto" w:fill="EBF3FB"/>
          </w:tcPr>
          <w:p>
            <w:pPr>
              <w:spacing w:after="80"/>
            </w:pPr>
            <w:r>
              <w:t xml:space="preserve">Implemented</w:t>
            </w:r>
          </w:p>
        </w:tc>
        <w:tc>
          <w:tcPr>
            <w:tcW w:w="1872" w:type="dxa"/>
            <w:shd w:val="clear" w:color="auto" w:fill="EBF3FB"/>
          </w:tcPr>
          <w:p>
            <w:pPr>
              <w:spacing w:after="80"/>
            </w:pPr>
            <w:r>
              <w:t xml:space="preserve">Yes -- registry changes with approval</w:t>
            </w:r>
          </w:p>
        </w:tc>
        <w:tc>
          <w:tcPr>
            <w:tcW w:w="1872" w:type="dxa"/>
            <w:shd w:val="clear" w:color="auto" w:fill="EBF3FB"/>
          </w:tcPr>
          <w:p>
            <w:pPr>
              <w:spacing w:after="80"/>
            </w:pPr>
            <w:r>
              <w:t xml:space="preserve">HIGH / CRITICAL</w:t>
            </w:r>
          </w:p>
        </w:tc>
      </w:tr>
      <w:tr>
        <w:tc>
          <w:tcPr>
            <w:tcW w:w="1872" w:type="dxa"/>
            <w:shd w:val="clear" w:color="auto" w:fill="FFFFFF"/>
          </w:tcPr>
          <w:p>
            <w:pPr>
              <w:spacing w:after="80"/>
            </w:pPr>
            <w:r>
              <w:t xml:space="preserve">M8</w:t>
            </w:r>
          </w:p>
        </w:tc>
        <w:tc>
          <w:tcPr>
            <w:tcW w:w="1872" w:type="dxa"/>
            <w:shd w:val="clear" w:color="auto" w:fill="FFFFFF"/>
          </w:tcPr>
          <w:p>
            <w:pPr>
              <w:spacing w:after="80"/>
            </w:pPr>
            <w:r>
              <w:t xml:space="preserve">GPO Cleanup</w:t>
            </w:r>
          </w:p>
        </w:tc>
        <w:tc>
          <w:tcPr>
            <w:tcW w:w="1872" w:type="dxa"/>
            <w:shd w:val="clear" w:color="auto" w:fill="FFFFFF"/>
          </w:tcPr>
          <w:p>
            <w:pPr>
              <w:spacing w:after="80"/>
            </w:pPr>
            <w:r>
              <w:t xml:space="preserve">Implemented</w:t>
            </w:r>
          </w:p>
        </w:tc>
        <w:tc>
          <w:tcPr>
            <w:tcW w:w="1872" w:type="dxa"/>
            <w:shd w:val="clear" w:color="auto" w:fill="FFFFFF"/>
          </w:tcPr>
          <w:p>
            <w:pPr>
              <w:spacing w:after="80"/>
            </w:pPr>
            <w:r>
              <w:t xml:space="preserve">Yes -- backup-first; disable/delete</w:t>
            </w:r>
          </w:p>
        </w:tc>
        <w:tc>
          <w:tcPr>
            <w:tcW w:w="1872" w:type="dxa"/>
            <w:shd w:val="clear" w:color="auto" w:fill="FFFFFF"/>
          </w:tcPr>
          <w:p>
            <w:pPr>
              <w:spacing w:after="80"/>
            </w:pPr>
            <w:r>
              <w:t xml:space="preserve">LOW / MEDIUM</w:t>
            </w:r>
          </w:p>
        </w:tc>
      </w:tr>
      <w:tr>
        <w:tc>
          <w:tcPr>
            <w:tcW w:w="1872" w:type="dxa"/>
            <w:shd w:val="clear" w:color="auto" w:fill="EBF3FB"/>
          </w:tcPr>
          <w:p>
            <w:pPr>
              <w:spacing w:after="80"/>
            </w:pPr>
            <w:r>
              <w:t xml:space="preserve">M9</w:t>
            </w:r>
          </w:p>
        </w:tc>
        <w:tc>
          <w:tcPr>
            <w:tcW w:w="1872" w:type="dxa"/>
            <w:shd w:val="clear" w:color="auto" w:fill="EBF3FB"/>
          </w:tcPr>
          <w:p>
            <w:pPr>
              <w:spacing w:after="80"/>
            </w:pPr>
            <w:r>
              <w:t xml:space="preserve">Security Group Cleanup</w:t>
            </w:r>
          </w:p>
        </w:tc>
        <w:tc>
          <w:tcPr>
            <w:tcW w:w="1872" w:type="dxa"/>
            <w:shd w:val="clear" w:color="auto" w:fill="EBF3FB"/>
          </w:tcPr>
          <w:p>
            <w:pPr>
              <w:spacing w:after="80"/>
            </w:pPr>
            <w:r>
              <w:t xml:space="preserve">Implemented</w:t>
            </w:r>
          </w:p>
        </w:tc>
        <w:tc>
          <w:tcPr>
            <w:tcW w:w="1872" w:type="dxa"/>
            <w:shd w:val="clear" w:color="auto" w:fill="EBF3FB"/>
          </w:tcPr>
          <w:p>
            <w:pPr>
              <w:spacing w:after="80"/>
            </w:pPr>
            <w:r>
              <w:t xml:space="preserve">Yes -- with approval</w:t>
            </w:r>
          </w:p>
        </w:tc>
        <w:tc>
          <w:tcPr>
            <w:tcW w:w="1872" w:type="dxa"/>
            <w:shd w:val="clear" w:color="auto" w:fill="EBF3FB"/>
          </w:tcPr>
          <w:p>
            <w:pPr>
              <w:spacing w:after="80"/>
            </w:pPr>
            <w:r>
              <w:t xml:space="preserve">LOW / MEDIUM</w:t>
            </w:r>
          </w:p>
        </w:tc>
      </w:tr>
      <w:tr>
        <w:tc>
          <w:tcPr>
            <w:tcW w:w="1872" w:type="dxa"/>
            <w:shd w:val="clear" w:color="auto" w:fill="FFFFFF"/>
          </w:tcPr>
          <w:p>
            <w:pPr>
              <w:spacing w:after="80"/>
            </w:pPr>
            <w:r>
              <w:t xml:space="preserve">M10</w:t>
            </w:r>
          </w:p>
        </w:tc>
        <w:tc>
          <w:tcPr>
            <w:tcW w:w="1872" w:type="dxa"/>
            <w:shd w:val="clear" w:color="auto" w:fill="FFFFFF"/>
          </w:tcPr>
          <w:p>
            <w:pPr>
              <w:spacing w:after="80"/>
            </w:pPr>
            <w:r>
              <w:t xml:space="preserve">Delegated Permissions Review</w:t>
            </w:r>
          </w:p>
        </w:tc>
        <w:tc>
          <w:tcPr>
            <w:tcW w:w="1872" w:type="dxa"/>
            <w:shd w:val="clear" w:color="auto" w:fill="FFFFFF"/>
          </w:tcPr>
          <w:p>
            <w:pPr>
              <w:spacing w:after="80"/>
            </w:pPr>
            <w:r>
              <w:t xml:space="preserve">Implemented</w:t>
            </w:r>
          </w:p>
        </w:tc>
        <w:tc>
          <w:tcPr>
            <w:tcW w:w="1872" w:type="dxa"/>
            <w:shd w:val="clear" w:color="auto" w:fill="FFFFFF"/>
          </w:tcPr>
          <w:p>
            <w:pPr>
              <w:spacing w:after="80"/>
            </w:pPr>
            <w:r>
              <w:t xml:space="preserve">Yes -- DC OU ACE removal with approval</w:t>
            </w:r>
          </w:p>
        </w:tc>
        <w:tc>
          <w:tcPr>
            <w:tcW w:w="1872" w:type="dxa"/>
            <w:shd w:val="clear" w:color="auto" w:fill="FFFFFF"/>
          </w:tcPr>
          <w:p>
            <w:pPr>
              <w:spacing w:after="80"/>
            </w:pPr>
            <w:r>
              <w:t xml:space="preserve">HIGH / CRITICAL</w:t>
            </w:r>
          </w:p>
        </w:tc>
      </w:tr>
      <w:tr>
        <w:tc>
          <w:tcPr>
            <w:tcW w:w="1872" w:type="dxa"/>
            <w:shd w:val="clear" w:color="auto" w:fill="EBF3FB"/>
          </w:tcPr>
          <w:p>
            <w:pPr>
              <w:spacing w:after="80"/>
            </w:pPr>
            <w:r>
              <w:t xml:space="preserve">M11</w:t>
            </w:r>
          </w:p>
        </w:tc>
        <w:tc>
          <w:tcPr>
            <w:tcW w:w="1872" w:type="dxa"/>
            <w:shd w:val="clear" w:color="auto" w:fill="EBF3FB"/>
          </w:tcPr>
          <w:p>
            <w:pPr>
              <w:spacing w:after="80"/>
            </w:pPr>
            <w:r>
              <w:t xml:space="preserve">Stale Account Quarantine</w:t>
            </w:r>
          </w:p>
        </w:tc>
        <w:tc>
          <w:tcPr>
            <w:tcW w:w="1872" w:type="dxa"/>
            <w:shd w:val="clear" w:color="auto" w:fill="EBF3FB"/>
          </w:tcPr>
          <w:p>
            <w:pPr>
              <w:spacing w:after="80"/>
            </w:pPr>
            <w:r>
              <w:t xml:space="preserve">Implemented</w:t>
            </w:r>
          </w:p>
        </w:tc>
        <w:tc>
          <w:tcPr>
            <w:tcW w:w="1872" w:type="dxa"/>
            <w:shd w:val="clear" w:color="auto" w:fill="EBF3FB"/>
          </w:tcPr>
          <w:p>
            <w:pPr>
              <w:spacing w:after="80"/>
            </w:pPr>
            <w:r>
              <w:t xml:space="preserve">Yes -- bulk approval; disable and move</w:t>
            </w:r>
          </w:p>
        </w:tc>
        <w:tc>
          <w:tcPr>
            <w:tcW w:w="1872" w:type="dxa"/>
            <w:shd w:val="clear" w:color="auto" w:fill="EBF3FB"/>
          </w:tcPr>
          <w:p>
            <w:pPr>
              <w:spacing w:after="80"/>
            </w:pPr>
            <w:r>
              <w:t xml:space="preserve">LOW / MEDIUM</w:t>
            </w:r>
          </w:p>
        </w:tc>
      </w:tr>
      <w:tr>
        <w:tc>
          <w:tcPr>
            <w:tcW w:w="1872" w:type="dxa"/>
            <w:shd w:val="clear" w:color="auto" w:fill="FFFFFF"/>
          </w:tcPr>
          <w:p>
            <w:pPr>
              <w:spacing w:after="80"/>
            </w:pPr>
            <w:r>
              <w:t xml:space="preserve">M12</w:t>
            </w:r>
          </w:p>
        </w:tc>
        <w:tc>
          <w:tcPr>
            <w:tcW w:w="1872" w:type="dxa"/>
            <w:shd w:val="clear" w:color="auto" w:fill="FFFFFF"/>
          </w:tcPr>
          <w:p>
            <w:pPr>
              <w:spacing w:after="80"/>
            </w:pPr>
            <w:r>
              <w:t xml:space="preserve">Privileged Group Review</w:t>
            </w:r>
          </w:p>
        </w:tc>
        <w:tc>
          <w:tcPr>
            <w:tcW w:w="1872" w:type="dxa"/>
            <w:shd w:val="clear" w:color="auto" w:fill="FFFFFF"/>
          </w:tcPr>
          <w:p>
            <w:pPr>
              <w:spacing w:after="80"/>
            </w:pPr>
            <w:r>
              <w:t xml:space="preserve">Implemented</w:t>
            </w:r>
          </w:p>
        </w:tc>
        <w:tc>
          <w:tcPr>
            <w:tcW w:w="1872" w:type="dxa"/>
            <w:shd w:val="clear" w:color="auto" w:fill="FFFFFF"/>
          </w:tcPr>
          <w:p>
            <w:pPr>
              <w:spacing w:after="80"/>
            </w:pPr>
            <w:r>
              <w:t xml:space="preserve">Yes -- per-member approval</w:t>
            </w:r>
          </w:p>
        </w:tc>
        <w:tc>
          <w:tcPr>
            <w:tcW w:w="1872" w:type="dxa"/>
            <w:shd w:val="clear" w:color="auto" w:fill="FFFFFF"/>
          </w:tcPr>
          <w:p>
            <w:pPr>
              <w:spacing w:after="80"/>
            </w:pPr>
            <w:r>
              <w:t xml:space="preserve">HIGH / CRITICAL</w:t>
            </w:r>
          </w:p>
        </w:tc>
      </w:tr>
    </w:tbl>
    <w:p/>
    <w:p>
      <w:pPr>
        <w:pStyle w:val="Heading1"/>
      </w:pPr>
      <w:r>
        <w:t xml:space="preserve">Key Design Decisions</w:t>
      </w:r>
    </w:p>
    <w:p>
      <w:pPr>
        <w:pStyle w:val="Heading2"/>
      </w:pPr>
      <w:r>
        <w:t xml:space="preserve">M3 -- OU Structure Cleanup: Discover-Only</w:t>
      </w:r>
    </w:p>
    <w:p>
      <w:r>
        <w:t xml:space="preserve">M3 is deliberately Discover-only. OU path changes break existing GPO links and membership-by-location assumptions; any restructuring must be planned with the MetLife AD team and executed via formal change management. M3 produces a comprehensive audit report (7 checks including default container usage, block inheritance gaps, policy gap OUs, and non-standard OU delegation ACEs) that gives the AD team everything they need to plan changes manually.</w:t>
      </w:r>
    </w:p>
    <w:p>
      <w:pPr>
        <w:pStyle w:val="Heading2"/>
      </w:pPr>
      <w:r>
        <w:t xml:space="preserve">M10 -- Delegated Permissions: Conservative Remediation Scope</w:t>
      </w:r>
    </w:p>
    <w:p>
      <w:r>
        <w:t xml:space="preserve">M10 offers automated per-ACE removal only for the DC OU (OU=Domain Controllers). Checks covering DCSync rights, AdminSDHolder backdoor ACEs, and domain root high-risk ACEs are Discover-only because those changes require deliberate review and a separate change request. This is intentional -- the blast radius of incorrect ACL changes at the domain root or AdminSDHolder level is a full domain compromise.</w:t>
      </w:r>
    </w:p>
    <w:p>
      <w:pPr>
        <w:pStyle w:val="Heading2"/>
      </w:pPr>
      <w:r>
        <w:t xml:space="preserve">M7 -- DC Hardening: WinRM-Based Remote Checks</w:t>
      </w:r>
    </w:p>
    <w:p>
      <w:r>
        <w:t xml:space="preserve">All 12 DC hardening checks run remotely against each DC via WinRM (Invoke-Command). DCs where WinRM is unavailable receive a HIGH finding -- WinRM unavailability is itself a hardening gap. LSASS PPL and Credential Guard changes require a reboot; the agent tracks affected DCs and prints a consolidated banner after the remediation loop.</w:t>
      </w:r>
    </w:p>
    <w:p>
      <w:pPr>
        <w:pStyle w:val="Heading2"/>
      </w:pPr>
      <w:r>
        <w:t xml:space="preserve">Hybrid Azure AD Awareness</w:t>
      </w:r>
    </w:p>
    <w:p>
      <w:r>
        <w:t xml:space="preserve">LastLogonDate on AD user objects reflects on-premises Kerberos logons only. Users authenticating exclusively via Entra ID will appear stale in M11. The config ships with HybridAAD = true, which triggers a warning before M11 Remediate mode runs, prompting the operator to cross-reference Entra ID sign-in logs before bulk-quarantining accounts.</w:t>
      </w:r>
    </w:p>
    <w:p>
      <w:pPr>
        <w:pStyle w:val="Heading1"/>
      </w:pPr>
      <w:r>
        <w:t xml:space="preserve">Client Presentation Talking Points</w:t>
      </w:r>
    </w:p>
    <w:p>
      <w:pPr>
        <w:pStyle w:val="Heading2"/>
      </w:pPr>
      <w:r>
        <w:t xml:space="preserve">Opening the Conversation</w:t>
      </w:r>
    </w:p>
    <w:p>
      <w:pPr>
        <w:pStyle w:val="ListBullet"/>
      </w:pPr>
      <w:r>
        <w:t xml:space="preserve">The tool is ready to use today -- no additional installation, licensing, or infrastructure required</w:t>
      </w:r>
    </w:p>
    <w:p>
      <w:pPr>
        <w:pStyle w:val="ListBullet"/>
      </w:pPr>
      <w:r>
        <w:t xml:space="preserve">First recommended action: run Mode Discover to get a current-state security report against CIS Level 1</w:t>
      </w:r>
    </w:p>
    <w:p>
      <w:pPr>
        <w:pStyle w:val="ListBullet"/>
      </w:pPr>
      <w:r>
        <w:t xml:space="preserve">The report is suitable for management review -- it maps every finding to a CIS control and NIST SP 800-53 family</w:t>
      </w:r>
    </w:p>
    <w:p>
      <w:pPr>
        <w:pStyle w:val="Heading2"/>
      </w:pPr>
      <w:r>
        <w:t xml:space="preserve">Control and Safety</w:t>
      </w:r>
    </w:p>
    <w:p>
      <w:pPr>
        <w:pStyle w:val="ListBullet"/>
      </w:pPr>
      <w:r>
        <w:t xml:space="preserve">Nothing changes in the environment without the operator explicitly typing Approve at the CLI</w:t>
      </w:r>
    </w:p>
    <w:p>
      <w:pPr>
        <w:pStyle w:val="ListBullet"/>
      </w:pPr>
      <w:r>
        <w:t xml:space="preserve">For HIGH and CRITICAL risk changes, the operator must type the target object name exactly before the approval prompt appears</w:t>
      </w:r>
    </w:p>
    <w:p>
      <w:pPr>
        <w:pStyle w:val="ListBullet"/>
      </w:pPr>
      <w:r>
        <w:t xml:space="preserve">No AD objects are ever deleted -- stale accounts are disabled and moved, not removed</w:t>
      </w:r>
    </w:p>
    <w:p>
      <w:pPr>
        <w:pStyle w:val="ListBullet"/>
      </w:pPr>
      <w:r>
        <w:t xml:space="preserve">All actions are logged with timestamps, object DNs, CIS/NIST references, and rollback steps</w:t>
      </w:r>
    </w:p>
    <w:p>
      <w:pPr>
        <w:pStyle w:val="Heading2"/>
      </w:pPr>
      <w:r>
        <w:t xml:space="preserve">The DC Upgrade Story</w:t>
      </w:r>
    </w:p>
    <w:p>
      <w:pPr>
        <w:pStyle w:val="ListBullet"/>
      </w:pPr>
      <w:r>
        <w:t xml:space="preserve">M1 Discover produces a DC inventory with upgrade readiness flags -- use this to plan the Server 2025 upgrade sequence</w:t>
      </w:r>
    </w:p>
    <w:p>
      <w:pPr>
        <w:pStyle w:val="ListBullet"/>
      </w:pPr>
      <w:r>
        <w:t xml:space="preserve">The upgrade gate prevents remediation running against a pre-upgrade environment -- reduces the risk of double-handling</w:t>
      </w:r>
    </w:p>
    <w:p>
      <w:pPr>
        <w:pStyle w:val="ListBullet"/>
      </w:pPr>
      <w:r>
        <w:t xml:space="preserve">After upgrade, run Mode Baseline to snapshot the post-upgrade state, then proceed through M3-M12 remediation</w:t>
      </w:r>
    </w:p>
    <w:p>
      <w:pPr>
        <w:pStyle w:val="Heading2"/>
      </w:pPr>
      <w:r>
        <w:t xml:space="preserve">Anticipated Questions</w:t>
      </w:r>
    </w:p>
    <w:p>
      <w:pPr>
        <w:pStyle w:val="ListBullet"/>
      </w:pPr>
      <w:r>
        <w:t xml:space="preserve">Can we schedule this to run automatically? -- Discover and Report modes can be scheduled via Task Scheduler. Remediate mode requires a human operator by design.</w:t>
      </w:r>
    </w:p>
    <w:p>
      <w:pPr>
        <w:pStyle w:val="ListBullet"/>
      </w:pPr>
      <w:r>
        <w:t xml:space="preserve">Does it touch Azure AD? -- No. The tool works entirely against on-premises AD. M6 checks WHfB Kerberos hybrid trust objects in on-prem AD but does not write to Entra ID.</w:t>
      </w:r>
    </w:p>
    <w:p>
      <w:pPr>
        <w:pStyle w:val="ListBullet"/>
      </w:pPr>
      <w:r>
        <w:t xml:space="preserve">What credentials does it use? -- The operator's current Windows session (Kerberos token). No credentials are stored or prompted for.</w:t>
      </w:r>
    </w:p>
    <w:p>
      <w:pPr>
        <w:pStyle w:val="ListBullet"/>
      </w:pPr>
      <w:r>
        <w:t xml:space="preserve">Can we extend it? -- Yes. The extending guide in README.md covers adding new milestone modules in approximately 50-100 lines of PowerShell.</w:t>
      </w:r>
    </w:p>
    <w:p>
      <w:pPr>
        <w:pStyle w:val="Heading1"/>
      </w:pPr>
      <w:r>
        <w:t xml:space="preserve">Follow-On Opportunities</w:t>
      </w:r>
    </w:p>
    <w:p>
      <w:pPr>
        <w:pStyle w:val="Heading2"/>
      </w:pPr>
      <w:r>
        <w:t xml:space="preserve">Immediate (Post-Discovery)</w:t>
      </w:r>
    </w:p>
    <w:p>
      <w:pPr>
        <w:pStyle w:val="ListBullet"/>
      </w:pPr>
      <w:r>
        <w:t xml:space="preserve">Guided Remediation Engagement -- work through M4, M10, M7, M6, M12 in risk priority order with a Fusion5 consultant present</w:t>
      </w:r>
    </w:p>
    <w:p>
      <w:pPr>
        <w:pStyle w:val="ListBullet"/>
      </w:pPr>
      <w:r>
        <w:t xml:space="preserve">DC Upgrade Project -- use M1 findings to plan and execute the Server 2019 to Server 2025 swing migration</w:t>
      </w:r>
    </w:p>
    <w:p>
      <w:pPr>
        <w:pStyle w:val="Heading2"/>
      </w:pPr>
      <w:r>
        <w:t xml:space="preserve">Ongoing</w:t>
      </w:r>
    </w:p>
    <w:p>
      <w:pPr>
        <w:pStyle w:val="ListBullet"/>
      </w:pPr>
      <w:r>
        <w:t xml:space="preserve">Managed Monitoring -- weekly scheduled Discover runs with a Fusion5 consultant reviewing the drift report</w:t>
      </w:r>
    </w:p>
    <w:p>
      <w:pPr>
        <w:pStyle w:val="ListBullet"/>
      </w:pPr>
      <w:r>
        <w:t xml:space="preserve">Baseline Review Cadence -- quarterly Baseline resets following each remediation wave</w:t>
      </w:r>
    </w:p>
    <w:p>
      <w:pPr>
        <w:pStyle w:val="Heading2"/>
      </w:pPr>
      <w:r>
        <w:t xml:space="preserve">Expansion Opportunities</w:t>
      </w:r>
    </w:p>
    <w:p>
      <w:pPr>
        <w:pStyle w:val="ListBullet"/>
      </w:pPr>
      <w:r>
        <w:t xml:space="preserve">Entra ID Hardening -- extend M6's WHfB and hybrid trust checks into a dedicated cloud identity assessment</w:t>
      </w:r>
    </w:p>
    <w:p>
      <w:pPr>
        <w:pStyle w:val="ListBullet"/>
      </w:pPr>
      <w:r>
        <w:t xml:space="preserve">Fine-Grained Password Policy Review -- additional M11 capability flagged for future development</w:t>
      </w:r>
    </w:p>
    <w:p>
      <w:pPr>
        <w:pStyle w:val="ListBullet"/>
      </w:pPr>
      <w:r>
        <w:t xml:space="preserve">Privileged Access Workstation Audit -- additional M12 capability for PAW configuration review</w:t>
      </w:r>
    </w:p>
    <w:p>
      <w:pPr>
        <w:pStyle w:val="ListBullet"/>
      </w:pPr>
      <w:r>
        <w:t xml:space="preserve">Authentication Policy and Silo Design -- M6 currently flags the gap; a silo design engagement would complete the picture</w:t>
      </w:r>
    </w:p>
    <w:p>
      <w:pPr>
        <w:pStyle w:val="ListBullet"/>
      </w:pPr>
      <w:r>
        <w:t xml:space="preserve">Custom Module Development -- the agent's extension model supports adding organisation-specific checks with minimal effort</w:t>
      </w:r>
    </w:p>
    <w:sectPr>
      <w:pgSz w:w="12240" w:h="15840"/>
      <w:pgMar w:top="1440" w:right="1800" w:bottom="1440" w:left="180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rPr>
        <w:sz w:val="24"/>
      </w:rPr>
    </w:lvl>
    <w:lvl w:ilvl="1">
      <w:start w:val="1"/>
      <w:numFmt w:val="bullet"/>
      <w:lvlText w:val="◦"/>
      <w:lvlJc w:val="left"/>
      <w:pPr>
        <w:ind w:left="1440" w:hanging="360"/>
      </w:pPr>
    </w:lvl>
  </w:abstractNum>
  <w:abstractNum w:abstractNumId="1">
    <w:multiLevelType w:val="hybridMultilevel"/>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docDefaults>
    <w:rPrDefault>
      <w:rPr>
        <w:rFonts w:ascii="Calibri" w:hAnsi="Calibri"/>
        <w:sz w:val="24"/>
        <w:szCs w:val="24"/>
      </w:rPr>
    </w:rPrDefault>
  </w:docDefaults>
  <w:style w:type="paragraph" w:styleId="Normal" w:default="1">
    <w:name w:val="Normal"/>
    <w:pPr>
      <w:spacing w:after="160" w:line="276" w:lineRule="auto"/>
    </w:pPr>
    <w:rPr>
      <w:rFonts w:ascii="Calibri" w:hAnsi="Calibri"/>
      <w:sz w:val="24"/>
      <w:szCs w:val="24"/>
    </w:rPr>
  </w:style>
  <w:style w:type="paragraph" w:styleId="Heading1">
    <w:name w:val="heading 1"/>
    <w:basedOn w:val="Normal"/>
    <w:next w:val="Normal"/>
    <w:pPr>
      <w:outlineLvl w:val="0"/>
      <w:spacing w:before="480" w:after="160"/>
      <w:keepNext/>
    </w:pPr>
    <w:rPr>
      <w:b/>
      <w:rFonts w:ascii="Calibri" w:hAnsi="Calibri"/>
      <w:sz w:val="36"/>
      <w:szCs w:val="36"/>
      <w:color w:val="1F3864"/>
    </w:rPr>
  </w:style>
  <w:style w:type="paragraph" w:styleId="Heading2">
    <w:name w:val="heading 2"/>
    <w:basedOn w:val="Normal"/>
    <w:next w:val="Normal"/>
    <w:pPr>
      <w:outlineLvl w:val="1"/>
      <w:spacing w:before="320" w:after="120"/>
      <w:keepNext/>
    </w:pPr>
    <w:rPr>
      <w:b/>
      <w:rFonts w:ascii="Calibri" w:hAnsi="Calibri"/>
      <w:sz w:val="28"/>
      <w:szCs w:val="28"/>
      <w:color w:val="2E74B5"/>
    </w:rPr>
  </w:style>
  <w:style w:type="paragraph" w:styleId="Title">
    <w:name w:val="Title"/>
    <w:basedOn w:val="Normal"/>
    <w:pPr>
      <w:jc w:val="center"/>
      <w:spacing w:before="0" w:after="240"/>
    </w:pPr>
    <w:rPr>
      <w:b/>
      <w:rFonts w:ascii="Calibri" w:hAnsi="Calibri"/>
      <w:sz w:val="56"/>
      <w:szCs w:val="56"/>
      <w:color w:val="1F3864"/>
    </w:rPr>
  </w:style>
  <w:style w:type="paragraph" w:styleId="Subtitle">
    <w:name w:val="Subtitle"/>
    <w:basedOn w:val="Normal"/>
    <w:pPr>
      <w:jc w:val="center"/>
      <w:spacing w:after="160"/>
    </w:pPr>
    <w:rPr>
      <w:i/>
      <w:rFonts w:ascii="Calibri" w:hAnsi="Calibri"/>
      <w:sz w:val="32"/>
      <w:szCs w:val="32"/>
      <w:color w:val="595959"/>
    </w:rPr>
  </w:style>
  <w:style w:type="paragraph" w:styleId="ListBullet">
    <w:name w:val="List Bullet"/>
    <w:basedOn w:val="Normal"/>
    <w:pPr>
      <w:spacing w:after="80"/>
      <w:numPr>
        <w:ilvl w:val="0"/>
        <w:numId w:val="1"/>
      </w:numPr>
    </w:pPr>
  </w:style>
  <w:style w:type="paragraph" w:styleId="ListNumber">
    <w:name w:val="List Number"/>
    <w:basedOn w:val="Normal"/>
    <w:pPr>
      <w:spacing w:after="80"/>
      <w:numPr>
        <w:ilvl w:val="0"/>
        <w:numId w:val="2"/>
      </w:numPr>
    </w:pPr>
  </w:style>
  <w:style w:type="paragraph" w:styleId="CodeBlock">
    <w:name w:val="Code Block"/>
    <w:basedOn w:val="Normal"/>
    <w:pPr>
      <w:spacing w:before="120" w:after="120"/>
      <w:shd w:val="clear" w:color="auto" w:fill="F2F2F2"/>
    </w:pPr>
    <w:rPr>
      <w:rFonts w:ascii="Courier New" w:hAnsi="Courier New"/>
      <w:sz w:val="20"/>
      <w:szCs w:val="20"/>
      <w:color w:val="333333"/>
    </w:rPr>
  </w:style>
  <w:style w:type="table" w:styleId="TableGrid">
    <w:name w:val="Table Grid"/>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