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Active Directory Remediation and Cleanup</w:t>
      </w:r>
    </w:p>
    <w:p>
      <w:pPr>
        <w:pStyle w:val="Subtitle"/>
      </w:pPr>
      <w:r>
        <w:t xml:space="preserve">Proposal for MetLife</w:t>
      </w:r>
    </w:p>
    <w:p/>
    <w:p>
      <w:pPr>
        <w:spacing w:after="80"/>
      </w:pPr>
      <w:r>
        <w:rPr>
          <w:b/>
        </w:rPr>
        <w:t xml:space="preserve">Prepared for:  </w:t>
      </w:r>
      <w:r>
        <w:t xml:space="preserve">MetLife</w:t>
      </w:r>
    </w:p>
    <w:p>
      <w:pPr>
        <w:spacing w:after="80"/>
      </w:pPr>
      <w:r>
        <w:rPr>
          <w:b/>
        </w:rPr>
        <w:t xml:space="preserve">Prepared by:  </w:t>
      </w:r>
      <w:r>
        <w:t xml:space="preserve">Fusion5</w:t>
      </w:r>
    </w:p>
    <w:p>
      <w:pPr>
        <w:spacing w:after="80"/>
      </w:pPr>
      <w:r>
        <w:rPr>
          <w:b/>
        </w:rPr>
        <w:t xml:space="preserve">Date:  </w:t>
      </w:r>
      <w:r>
        <w:t xml:space="preserve">March 2026</w:t>
      </w:r>
    </w:p>
    <w:p>
      <w:pPr>
        <w:spacing w:after="80"/>
      </w:pPr>
      <w:r>
        <w:rPr>
          <w:b/>
        </w:rPr>
        <w:t xml:space="preserve">Classification:  </w:t>
      </w:r>
      <w:r>
        <w:t xml:space="preserve">COMMERCIAL IN CONFIDENCE</w:t>
      </w:r>
    </w:p>
    <w:p/>
    <w:p>
      <w:r>
        <w:br w:type="page"/>
      </w:r>
    </w:p>
    <w:p>
      <w:pPr>
        <w:pStyle w:val="Heading1"/>
      </w:pPr>
      <w:r>
        <w:t xml:space="preserve">Background and Understanding</w:t>
      </w:r>
    </w:p>
    <w:p>
      <w:r>
        <w:t xml:space="preserve">Thank you for the time you and your team invested in our initial discussion. Following that conversation, Fusion5 has prepared this proposal based on the context you shared and the scope areas we worked through together. We understand that a recent issue impacting mapped drives has brought into focus the need to prioritise Active Directory remediation and cleanup activities within your on-premise AD environment, and that MetLife is looking to move forward with this work in a structured and timely way.</w:t>
      </w:r>
    </w:p>
    <w:p>
      <w:r>
        <w:t xml:space="preserve">This proposal reflects the requirements and priorities discussed during our call. Where our initial conversation provided additional detail or nuance beyond the original scope brief -- for example, around the hybrid Azure AD Join configuration, the Windows Hello for Business Kerberos hybrid trust topology, and application dependencies on DC IP addresses -- we have incorporated that context into the proposed approach and phasing.</w:t>
      </w:r>
    </w:p>
    <w:p>
      <w:r>
        <w:t xml:space="preserve">Our proposed solution addresses all eleven areas identified in your scope. The Scope Coverage section below maps each of your requirements directly to the components we will deliver, so you can confirm at a glance that nothing has been missed.</w:t>
      </w:r>
    </w:p>
    <w:p>
      <w:pPr>
        <w:pStyle w:val="Heading1"/>
      </w:pPr>
      <w:r>
        <w:t xml:space="preserve">Proposed Solution</w:t>
      </w:r>
    </w:p>
    <w:p>
      <w:r>
        <w:t xml:space="preserve">To deliver this engagement, Fusion5 proposes to develop and deploy the AD Remediation Agent -- a purpose-built PowerShell automation framework designed specifically around MetLife's stated requirements. The agent will run directly from any domain-joined Windows machine or Privileged Access Workstation and requires no additional software, licensing, or infrastructure beyond the standard Windows Remote Server Administration Tools (RSAT) that are already available in your environment.</w:t>
      </w:r>
    </w:p>
    <w:p>
      <w:r>
        <w:t xml:space="preserve">The agent will operate in four modes, giving MetLife full control over discovery, remediation, and ongoing monitoring:</w:t>
      </w:r>
    </w:p>
    <w:p/>
    <w:tbl>
      <w:tblPr>
        <w:tblStyle w:val="TableGrid"/>
        <w:tblW w:w="9360" w:type="dxa"/>
      </w:tblPr>
      <w:tblGrid>
        <w:gridCol w:w="3120"/>
        <w:gridCol w:w="3120"/>
        <w:gridCol w:w="3120"/>
      </w:tblGrid>
      <w:tr>
        <w:tc>
          <w:tcPr>
            <w:tcW w:w="3120" w:type="dxa"/>
            <w:shd w:val="clear" w:color="auto" w:fill="2E74B5"/>
          </w:tcPr>
          <w:p>
            <w:pPr>
              <w:spacing w:after="80"/>
            </w:pPr>
            <w:r>
              <w:rPr>
                <w:b/>
                <w:color w:val="FFFFFF"/>
              </w:rPr>
              <w:t xml:space="preserve">Mode</w:t>
            </w:r>
          </w:p>
        </w:tc>
        <w:tc>
          <w:tcPr>
            <w:tcW w:w="3120" w:type="dxa"/>
            <w:shd w:val="clear" w:color="auto" w:fill="2E74B5"/>
          </w:tcPr>
          <w:p>
            <w:pPr>
              <w:spacing w:after="80"/>
            </w:pPr>
            <w:r>
              <w:rPr>
                <w:b/>
                <w:color w:val="FFFFFF"/>
              </w:rPr>
              <w:t xml:space="preserve">Purpose</w:t>
            </w:r>
          </w:p>
        </w:tc>
        <w:tc>
          <w:tcPr>
            <w:tcW w:w="3120" w:type="dxa"/>
            <w:shd w:val="clear" w:color="auto" w:fill="2E74B5"/>
          </w:tcPr>
          <w:p>
            <w:pPr>
              <w:spacing w:after="80"/>
            </w:pPr>
            <w:r>
              <w:rPr>
                <w:b/>
                <w:color w:val="FFFFFF"/>
              </w:rPr>
              <w:t xml:space="preserve">Changes to Active Directory</w:t>
            </w:r>
          </w:p>
        </w:tc>
      </w:tr>
      <w:tr>
        <w:tc>
          <w:tcPr>
            <w:tcW w:w="3120" w:type="dxa"/>
            <w:shd w:val="clear" w:color="auto" w:fill="EBF3FB"/>
          </w:tcPr>
          <w:p>
            <w:pPr>
              <w:spacing w:after="80"/>
            </w:pPr>
            <w:r>
              <w:t xml:space="preserve">Discover</w:t>
            </w:r>
          </w:p>
        </w:tc>
        <w:tc>
          <w:tcPr>
            <w:tcW w:w="3120" w:type="dxa"/>
            <w:shd w:val="clear" w:color="auto" w:fill="EBF3FB"/>
          </w:tcPr>
          <w:p>
            <w:pPr>
              <w:spacing w:after="80"/>
            </w:pPr>
            <w:r>
              <w:t xml:space="preserve">Runs all assessment checks across every in-scope area and produces a findings report annotated with CIS Benchmark Level 1 control references. Safe to run at any time -- no changes are made.</w:t>
            </w:r>
          </w:p>
        </w:tc>
        <w:tc>
          <w:tcPr>
            <w:tcW w:w="3120" w:type="dxa"/>
            <w:shd w:val="clear" w:color="auto" w:fill="EBF3FB"/>
          </w:tcPr>
          <w:p>
            <w:pPr>
              <w:spacing w:after="80"/>
            </w:pPr>
            <w:r>
              <w:t xml:space="preserve">None</w:t>
            </w:r>
          </w:p>
        </w:tc>
      </w:tr>
      <w:tr>
        <w:tc>
          <w:tcPr>
            <w:tcW w:w="3120" w:type="dxa"/>
            <w:shd w:val="clear" w:color="auto" w:fill="FFFFFF"/>
          </w:tcPr>
          <w:p>
            <w:pPr>
              <w:spacing w:after="80"/>
            </w:pPr>
            <w:r>
              <w:t xml:space="preserve">Baseline</w:t>
            </w:r>
          </w:p>
        </w:tc>
        <w:tc>
          <w:tcPr>
            <w:tcW w:w="3120" w:type="dxa"/>
            <w:shd w:val="clear" w:color="auto" w:fill="FFFFFF"/>
          </w:tcPr>
          <w:p>
            <w:pPr>
              <w:spacing w:after="80"/>
            </w:pPr>
            <w:r>
              <w:t xml:space="preserve">Snapshots the current state of Active Directory as the approved reference point. All subsequent Discover or Remediate runs compare against this snapshot, highlighting what is new, persisting, or resolved.</w:t>
            </w:r>
          </w:p>
        </w:tc>
        <w:tc>
          <w:tcPr>
            <w:tcW w:w="3120" w:type="dxa"/>
            <w:shd w:val="clear" w:color="auto" w:fill="FFFFFF"/>
          </w:tcPr>
          <w:p>
            <w:pPr>
              <w:spacing w:after="80"/>
            </w:pPr>
            <w:r>
              <w:t xml:space="preserve">None</w:t>
            </w:r>
          </w:p>
        </w:tc>
      </w:tr>
      <w:tr>
        <w:tc>
          <w:tcPr>
            <w:tcW w:w="3120" w:type="dxa"/>
            <w:shd w:val="clear" w:color="auto" w:fill="EBF3FB"/>
          </w:tcPr>
          <w:p>
            <w:pPr>
              <w:spacing w:after="80"/>
            </w:pPr>
            <w:r>
              <w:t xml:space="preserve">Remediate</w:t>
            </w:r>
          </w:p>
        </w:tc>
        <w:tc>
          <w:tcPr>
            <w:tcW w:w="3120" w:type="dxa"/>
            <w:shd w:val="clear" w:color="auto" w:fill="EBF3FB"/>
          </w:tcPr>
          <w:p>
            <w:pPr>
              <w:spacing w:after="80"/>
            </w:pPr>
            <w:r>
              <w:t xml:space="preserve">Runs all checks and presents each finding to the operator with full impact detail, rollback steps, and an explicit approve-or-skip prompt. No action is taken without the operator's deliberate approval.</w:t>
            </w:r>
          </w:p>
        </w:tc>
        <w:tc>
          <w:tcPr>
            <w:tcW w:w="3120" w:type="dxa"/>
            <w:shd w:val="clear" w:color="auto" w:fill="EBF3FB"/>
          </w:tcPr>
          <w:p>
            <w:pPr>
              <w:spacing w:after="80"/>
            </w:pPr>
            <w:r>
              <w:t xml:space="preserve">Yes -- with explicit operator approval only</w:t>
            </w:r>
          </w:p>
        </w:tc>
      </w:tr>
      <w:tr>
        <w:tc>
          <w:tcPr>
            <w:tcW w:w="3120" w:type="dxa"/>
            <w:shd w:val="clear" w:color="auto" w:fill="FFFFFF"/>
          </w:tcPr>
          <w:p>
            <w:pPr>
              <w:spacing w:after="80"/>
            </w:pPr>
            <w:r>
              <w:t xml:space="preserve">Report</w:t>
            </w:r>
          </w:p>
        </w:tc>
        <w:tc>
          <w:tcPr>
            <w:tcW w:w="3120" w:type="dxa"/>
            <w:shd w:val="clear" w:color="auto" w:fill="FFFFFF"/>
          </w:tcPr>
          <w:p>
            <w:pPr>
              <w:spacing w:after="80"/>
            </w:pPr>
            <w:r>
              <w:t xml:space="preserve">Generates a management-ready drift report from stored baseline data. No Active Directory connection required.</w:t>
            </w:r>
          </w:p>
        </w:tc>
        <w:tc>
          <w:tcPr>
            <w:tcW w:w="3120" w:type="dxa"/>
            <w:shd w:val="clear" w:color="auto" w:fill="FFFFFF"/>
          </w:tcPr>
          <w:p>
            <w:pPr>
              <w:spacing w:after="80"/>
            </w:pPr>
            <w:r>
              <w:t xml:space="preserve">None</w:t>
            </w:r>
          </w:p>
        </w:tc>
      </w:tr>
    </w:tbl>
    <w:p/>
    <w:p>
      <w:r>
        <w:t xml:space="preserve">Every run produces a structured HTML report and a CSV activity log. All findings are mapped to CIS Benchmark Level 1 controls (Windows Server 2022/2025) and NIST SP 800-53 control identifiers, making the output directly suitable for audit evidence packages and risk register updates.</w:t>
      </w:r>
    </w:p>
    <w:p>
      <w:pPr>
        <w:pStyle w:val="Heading1"/>
      </w:pPr>
      <w:r>
        <w:t xml:space="preserve">Scope Coverage</w:t>
      </w:r>
    </w:p>
    <w:p>
      <w:r>
        <w:t xml:space="preserve">The table below maps each requirement from your engagement brief to the corresponding milestone in our proposed solution. All eleven scripted milestones are fully automated for assessment. Remediation -- where applicable -- is available with explicit operator approval at each step.</w:t>
      </w:r>
    </w:p>
    <w:p/>
    <w:tbl>
      <w:tblPr>
        <w:tblStyle w:val="TableGrid"/>
        <w:tblW w:w="9360" w:type="dxa"/>
      </w:tblPr>
      <w:tblGrid>
        <w:gridCol w:w="3120"/>
        <w:gridCol w:w="3120"/>
        <w:gridCol w:w="3120"/>
      </w:tblGrid>
      <w:tr>
        <w:tc>
          <w:tcPr>
            <w:tcW w:w="3120" w:type="dxa"/>
            <w:shd w:val="clear" w:color="auto" w:fill="2E74B5"/>
          </w:tcPr>
          <w:p>
            <w:pPr>
              <w:spacing w:after="80"/>
            </w:pPr>
            <w:r>
              <w:rPr>
                <w:b/>
                <w:color w:val="FFFFFF"/>
              </w:rPr>
              <w:t xml:space="preserve">Your Requirement</w:t>
            </w:r>
          </w:p>
        </w:tc>
        <w:tc>
          <w:tcPr>
            <w:tcW w:w="3120" w:type="dxa"/>
            <w:shd w:val="clear" w:color="auto" w:fill="2E74B5"/>
          </w:tcPr>
          <w:p>
            <w:pPr>
              <w:spacing w:after="80"/>
            </w:pPr>
            <w:r>
              <w:rPr>
                <w:b/>
                <w:color w:val="FFFFFF"/>
              </w:rPr>
              <w:t xml:space="preserve">Milestone(s)</w:t>
            </w:r>
          </w:p>
        </w:tc>
        <w:tc>
          <w:tcPr>
            <w:tcW w:w="3120" w:type="dxa"/>
            <w:shd w:val="clear" w:color="auto" w:fill="2E74B5"/>
          </w:tcPr>
          <w:p>
            <w:pPr>
              <w:spacing w:after="80"/>
            </w:pPr>
            <w:r>
              <w:rPr>
                <w:b/>
                <w:color w:val="FFFFFF"/>
              </w:rPr>
              <w:t xml:space="preserve">How We Will Address It</w:t>
            </w:r>
          </w:p>
        </w:tc>
      </w:tr>
      <w:tr>
        <w:tc>
          <w:tcPr>
            <w:tcW w:w="3120" w:type="dxa"/>
            <w:shd w:val="clear" w:color="auto" w:fill="EBF3FB"/>
          </w:tcPr>
          <w:p>
            <w:pPr>
              <w:spacing w:after="80"/>
            </w:pPr>
            <w:r>
              <w:t xml:space="preserve">Upgrade Domain Controllers to Windows Server 2025</w:t>
            </w:r>
          </w:p>
        </w:tc>
        <w:tc>
          <w:tcPr>
            <w:tcW w:w="3120" w:type="dxa"/>
            <w:shd w:val="clear" w:color="auto" w:fill="EBF3FB"/>
          </w:tcPr>
          <w:p>
            <w:pPr>
              <w:spacing w:after="80"/>
            </w:pPr>
            <w:r>
              <w:t xml:space="preserve">M1, M2</w:t>
            </w:r>
          </w:p>
        </w:tc>
        <w:tc>
          <w:tcPr>
            <w:tcW w:w="3120" w:type="dxa"/>
            <w:shd w:val="clear" w:color="auto" w:fill="EBF3FB"/>
          </w:tcPr>
          <w:p>
            <w:pPr>
              <w:spacing w:after="80"/>
            </w:pPr>
            <w:r>
              <w:t xml:space="preserve">M1 produces a DC health and upgrade readiness report. M2 is the upgrade itself -- Fusion5 will lead the migration planning and execution.</w:t>
            </w:r>
          </w:p>
        </w:tc>
      </w:tr>
      <w:tr>
        <w:tc>
          <w:tcPr>
            <w:tcW w:w="3120" w:type="dxa"/>
            <w:shd w:val="clear" w:color="auto" w:fill="FFFFFF"/>
          </w:tcPr>
          <w:p>
            <w:pPr>
              <w:spacing w:after="80"/>
            </w:pPr>
            <w:r>
              <w:t xml:space="preserve">Active Directory structure cleanup and hygiene improvements</w:t>
            </w:r>
          </w:p>
        </w:tc>
        <w:tc>
          <w:tcPr>
            <w:tcW w:w="3120" w:type="dxa"/>
            <w:shd w:val="clear" w:color="auto" w:fill="FFFFFF"/>
          </w:tcPr>
          <w:p>
            <w:pPr>
              <w:spacing w:after="80"/>
            </w:pPr>
            <w:r>
              <w:t xml:space="preserve">M3</w:t>
            </w:r>
          </w:p>
        </w:tc>
        <w:tc>
          <w:tcPr>
            <w:tcW w:w="3120" w:type="dxa"/>
            <w:shd w:val="clear" w:color="auto" w:fill="FFFFFF"/>
          </w:tcPr>
          <w:p>
            <w:pPr>
              <w:spacing w:after="80"/>
            </w:pPr>
            <w:r>
              <w:t xml:space="preserve">OU inventory, default container usage, empty OUs, block inheritance gaps, and non-standard OU delegation are assessed and reported.</w:t>
            </w:r>
          </w:p>
        </w:tc>
      </w:tr>
      <w:tr>
        <w:tc>
          <w:tcPr>
            <w:tcW w:w="3120" w:type="dxa"/>
            <w:shd w:val="clear" w:color="auto" w:fill="EBF3FB"/>
          </w:tcPr>
          <w:p>
            <w:pPr>
              <w:spacing w:after="80"/>
            </w:pPr>
            <w:r>
              <w:t xml:space="preserve">Review and remediate unconstrained delegation</w:t>
            </w:r>
          </w:p>
        </w:tc>
        <w:tc>
          <w:tcPr>
            <w:tcW w:w="3120" w:type="dxa"/>
            <w:shd w:val="clear" w:color="auto" w:fill="EBF3FB"/>
          </w:tcPr>
          <w:p>
            <w:pPr>
              <w:spacing w:after="80"/>
            </w:pPr>
            <w:r>
              <w:t xml:space="preserve">M4</w:t>
            </w:r>
          </w:p>
        </w:tc>
        <w:tc>
          <w:tcPr>
            <w:tcW w:w="3120" w:type="dxa"/>
            <w:shd w:val="clear" w:color="auto" w:fill="EBF3FB"/>
          </w:tcPr>
          <w:p>
            <w:pPr>
              <w:spacing w:after="80"/>
            </w:pPr>
            <w:r>
              <w:t xml:space="preserve">All computer and user accounts with unconstrained Kerberos delegation (excluding DCs) are identified and delegation can be removed with approval.</w:t>
            </w:r>
          </w:p>
        </w:tc>
      </w:tr>
      <w:tr>
        <w:tc>
          <w:tcPr>
            <w:tcW w:w="3120" w:type="dxa"/>
            <w:shd w:val="clear" w:color="auto" w:fill="FFFFFF"/>
          </w:tcPr>
          <w:p>
            <w:pPr>
              <w:spacing w:after="80"/>
            </w:pPr>
            <w:r>
              <w:t xml:space="preserve">Identify duplicate or incorrect Service Principal Names (SPNs)</w:t>
            </w:r>
          </w:p>
        </w:tc>
        <w:tc>
          <w:tcPr>
            <w:tcW w:w="3120" w:type="dxa"/>
            <w:shd w:val="clear" w:color="auto" w:fill="FFFFFF"/>
          </w:tcPr>
          <w:p>
            <w:pPr>
              <w:spacing w:after="80"/>
            </w:pPr>
            <w:r>
              <w:t xml:space="preserve">M5</w:t>
            </w:r>
          </w:p>
        </w:tc>
        <w:tc>
          <w:tcPr>
            <w:tcW w:w="3120" w:type="dxa"/>
            <w:shd w:val="clear" w:color="auto" w:fill="FFFFFF"/>
          </w:tcPr>
          <w:p>
            <w:pPr>
              <w:spacing w:after="80"/>
            </w:pPr>
            <w:r>
              <w:t xml:space="preserve">Duplicate SPNs, Kerberoastable accounts, SPNs on disabled accounts, and Tier 0 accounts with SPNs are flagged and reported.</w:t>
            </w:r>
          </w:p>
        </w:tc>
      </w:tr>
      <w:tr>
        <w:tc>
          <w:tcPr>
            <w:tcW w:w="3120" w:type="dxa"/>
            <w:shd w:val="clear" w:color="auto" w:fill="EBF3FB"/>
          </w:tcPr>
          <w:p>
            <w:pPr>
              <w:spacing w:after="80"/>
            </w:pPr>
            <w:r>
              <w:t xml:space="preserve">Review Kerberos configuration including encryption types and authentication settings</w:t>
            </w:r>
          </w:p>
        </w:tc>
        <w:tc>
          <w:tcPr>
            <w:tcW w:w="3120" w:type="dxa"/>
            <w:shd w:val="clear" w:color="auto" w:fill="EBF3FB"/>
          </w:tcPr>
          <w:p>
            <w:pPr>
              <w:spacing w:after="80"/>
            </w:pPr>
            <w:r>
              <w:t xml:space="preserve">M6</w:t>
            </w:r>
          </w:p>
        </w:tc>
        <w:tc>
          <w:tcPr>
            <w:tcW w:w="3120" w:type="dxa"/>
            <w:shd w:val="clear" w:color="auto" w:fill="EBF3FB"/>
          </w:tcPr>
          <w:p>
            <w:pPr>
              <w:spacing w:after="80"/>
            </w:pPr>
            <w:r>
              <w:t xml:space="preserve">RC4-only accounts, ticket policy, WHfB Kerberos hybrid trust, and authentication policy gaps are assessed. AES encryption types can be enforced with approval.</w:t>
            </w:r>
          </w:p>
        </w:tc>
      </w:tr>
      <w:tr>
        <w:tc>
          <w:tcPr>
            <w:tcW w:w="3120" w:type="dxa"/>
            <w:shd w:val="clear" w:color="auto" w:fill="FFFFFF"/>
          </w:tcPr>
          <w:p>
            <w:pPr>
              <w:spacing w:after="80"/>
            </w:pPr>
            <w:r>
              <w:t xml:space="preserve">Domain Controller hardening including auditing and security baseline review</w:t>
            </w:r>
          </w:p>
        </w:tc>
        <w:tc>
          <w:tcPr>
            <w:tcW w:w="3120" w:type="dxa"/>
            <w:shd w:val="clear" w:color="auto" w:fill="FFFFFF"/>
          </w:tcPr>
          <w:p>
            <w:pPr>
              <w:spacing w:after="80"/>
            </w:pPr>
            <w:r>
              <w:t xml:space="preserve">M7</w:t>
            </w:r>
          </w:p>
        </w:tc>
        <w:tc>
          <w:tcPr>
            <w:tcW w:w="3120" w:type="dxa"/>
            <w:shd w:val="clear" w:color="auto" w:fill="FFFFFF"/>
          </w:tcPr>
          <w:p>
            <w:pPr>
              <w:spacing w:after="80"/>
            </w:pPr>
            <w:r>
              <w:t xml:space="preserve">12 CIS Level 1 checks run remotely against each DC via WinRM: LDAP signing, SMB signing, NLA, Print Spooler, LSASS protection, Credential Guard, audit policy, and more.</w:t>
            </w:r>
          </w:p>
        </w:tc>
      </w:tr>
      <w:tr>
        <w:tc>
          <w:tcPr>
            <w:tcW w:w="3120" w:type="dxa"/>
            <w:shd w:val="clear" w:color="auto" w:fill="EBF3FB"/>
          </w:tcPr>
          <w:p>
            <w:pPr>
              <w:spacing w:after="80"/>
            </w:pPr>
            <w:r>
              <w:t xml:space="preserve">Group Policy cleanup -- redundant, unused or conflicting GPOs</w:t>
            </w:r>
          </w:p>
        </w:tc>
        <w:tc>
          <w:tcPr>
            <w:tcW w:w="3120" w:type="dxa"/>
            <w:shd w:val="clear" w:color="auto" w:fill="EBF3FB"/>
          </w:tcPr>
          <w:p>
            <w:pPr>
              <w:spacing w:after="80"/>
            </w:pPr>
            <w:r>
              <w:t xml:space="preserve">M8</w:t>
            </w:r>
          </w:p>
        </w:tc>
        <w:tc>
          <w:tcPr>
            <w:tcW w:w="3120" w:type="dxa"/>
            <w:shd w:val="clear" w:color="auto" w:fill="EBF3FB"/>
          </w:tcPr>
          <w:p>
            <w:pPr>
              <w:spacing w:after="80"/>
            </w:pPr>
            <w:r>
              <w:t xml:space="preserve">Unlinked, empty, disabled, and orphaned GPOs are identified. GPOs are backed up before any disable or delete action is taken with approval.</w:t>
            </w:r>
          </w:p>
        </w:tc>
      </w:tr>
      <w:tr>
        <w:tc>
          <w:tcPr>
            <w:tcW w:w="3120" w:type="dxa"/>
            <w:shd w:val="clear" w:color="auto" w:fill="FFFFFF"/>
          </w:tcPr>
          <w:p>
            <w:pPr>
              <w:spacing w:after="80"/>
            </w:pPr>
            <w:r>
              <w:t xml:space="preserve">Identify and clean up unused or redundant security groups and OUs</w:t>
            </w:r>
          </w:p>
        </w:tc>
        <w:tc>
          <w:tcPr>
            <w:tcW w:w="3120" w:type="dxa"/>
            <w:shd w:val="clear" w:color="auto" w:fill="FFFFFF"/>
          </w:tcPr>
          <w:p>
            <w:pPr>
              <w:spacing w:after="80"/>
            </w:pPr>
            <w:r>
              <w:t xml:space="preserve">M3, M9</w:t>
            </w:r>
          </w:p>
        </w:tc>
        <w:tc>
          <w:tcPr>
            <w:tcW w:w="3120" w:type="dxa"/>
            <w:shd w:val="clear" w:color="auto" w:fill="FFFFFF"/>
          </w:tcPr>
          <w:p>
            <w:pPr>
              <w:spacing w:after="80"/>
            </w:pPr>
            <w:r>
              <w:t xml:space="preserve">M3 audits empty and redundant OUs. M9 identifies empty groups, disabled account memberships, circular nesting, and AdminSDHolder remnants.</w:t>
            </w:r>
          </w:p>
        </w:tc>
      </w:tr>
      <w:tr>
        <w:tc>
          <w:tcPr>
            <w:tcW w:w="3120" w:type="dxa"/>
            <w:shd w:val="clear" w:color="auto" w:fill="EBF3FB"/>
          </w:tcPr>
          <w:p>
            <w:pPr>
              <w:spacing w:after="80"/>
            </w:pPr>
            <w:r>
              <w:t xml:space="preserve">Review delegated permissions and remove unnecessary elevated access</w:t>
            </w:r>
          </w:p>
        </w:tc>
        <w:tc>
          <w:tcPr>
            <w:tcW w:w="3120" w:type="dxa"/>
            <w:shd w:val="clear" w:color="auto" w:fill="EBF3FB"/>
          </w:tcPr>
          <w:p>
            <w:pPr>
              <w:spacing w:after="80"/>
            </w:pPr>
            <w:r>
              <w:t xml:space="preserve">M10</w:t>
            </w:r>
          </w:p>
        </w:tc>
        <w:tc>
          <w:tcPr>
            <w:tcW w:w="3120" w:type="dxa"/>
            <w:shd w:val="clear" w:color="auto" w:fill="EBF3FB"/>
          </w:tcPr>
          <w:p>
            <w:pPr>
              <w:spacing w:after="80"/>
            </w:pPr>
            <w:r>
              <w:t xml:space="preserve">DCSync rights, domain root ACEs, AdminSDHolder ACEs, DC OU delegation, DnsAdmins membership, and DC object delegation are all assessed. DC OU ACE removal is available with approval.</w:t>
            </w:r>
          </w:p>
        </w:tc>
      </w:tr>
      <w:tr>
        <w:tc>
          <w:tcPr>
            <w:tcW w:w="3120" w:type="dxa"/>
            <w:shd w:val="clear" w:color="auto" w:fill="FFFFFF"/>
          </w:tcPr>
          <w:p>
            <w:pPr>
              <w:spacing w:after="80"/>
            </w:pPr>
            <w:r>
              <w:t xml:space="preserve">Identify and remove stale or inactive user, computer and service accounts</w:t>
            </w:r>
          </w:p>
        </w:tc>
        <w:tc>
          <w:tcPr>
            <w:tcW w:w="3120" w:type="dxa"/>
            <w:shd w:val="clear" w:color="auto" w:fill="FFFFFF"/>
          </w:tcPr>
          <w:p>
            <w:pPr>
              <w:spacing w:after="80"/>
            </w:pPr>
            <w:r>
              <w:t xml:space="preserve">M11</w:t>
            </w:r>
          </w:p>
        </w:tc>
        <w:tc>
          <w:tcPr>
            <w:tcW w:w="3120" w:type="dxa"/>
            <w:shd w:val="clear" w:color="auto" w:fill="FFFFFF"/>
          </w:tcPr>
          <w:p>
            <w:pPr>
              <w:spacing w:after="80"/>
            </w:pPr>
            <w:r>
              <w:t xml:space="preserve">Accounts inactive beyond a configurable threshold (default 90 days) are identified. Bulk quarantine (disable and move to Quarantine OU) is available with approval.</w:t>
            </w:r>
          </w:p>
        </w:tc>
      </w:tr>
      <w:tr>
        <w:tc>
          <w:tcPr>
            <w:tcW w:w="3120" w:type="dxa"/>
            <w:shd w:val="clear" w:color="auto" w:fill="EBF3FB"/>
          </w:tcPr>
          <w:p>
            <w:pPr>
              <w:spacing w:after="80"/>
            </w:pPr>
            <w:r>
              <w:t xml:space="preserve">Review and clean up privileged AD groups including Domain Admins</w:t>
            </w:r>
          </w:p>
        </w:tc>
        <w:tc>
          <w:tcPr>
            <w:tcW w:w="3120" w:type="dxa"/>
            <w:shd w:val="clear" w:color="auto" w:fill="EBF3FB"/>
          </w:tcPr>
          <w:p>
            <w:pPr>
              <w:spacing w:after="80"/>
            </w:pPr>
            <w:r>
              <w:t xml:space="preserve">M12</w:t>
            </w:r>
          </w:p>
        </w:tc>
        <w:tc>
          <w:tcPr>
            <w:tcW w:w="3120" w:type="dxa"/>
            <w:shd w:val="clear" w:color="auto" w:fill="EBF3FB"/>
          </w:tcPr>
          <w:p>
            <w:pPr>
              <w:spacing w:after="80"/>
            </w:pPr>
            <w:r>
              <w:t xml:space="preserve">Domain Admins, Enterprise Admins, Schema Admins and six further privileged groups are reviewed. New members, stale accounts, service accounts, and nested groups are flagged. Members can be removed with per-member approval.</w:t>
            </w:r>
          </w:p>
        </w:tc>
      </w:tr>
    </w:tbl>
    <w:p/>
    <w:p>
      <w:pPr>
        <w:pStyle w:val="Heading1"/>
      </w:pPr>
      <w:r>
        <w:t xml:space="preserve">Engagement Approach</w:t>
      </w:r>
    </w:p>
    <w:p>
      <w:r>
        <w:t xml:space="preserve">We propose to structure the engagement in four sequential phases. Phases 1 and 2 can be run in parallel where the risk profile allows, and the DC upgrade (Phase 3) is sequenced to follow the initial remediation wave so that hardening work is not duplicated across OS versions.</w:t>
      </w:r>
    </w:p>
    <w:p>
      <w:pPr>
        <w:pStyle w:val="Heading2"/>
      </w:pPr>
      <w:r>
        <w:t xml:space="preserve">Phase 1 -- Discovery and Assessment</w:t>
      </w:r>
    </w:p>
    <w:p>
      <w:r>
        <w:t xml:space="preserve">Run the agent in Discover mode across all milestones to establish a current-state findings report. Fusion5 will review the output with MetLife's AD team, prioritise findings by risk severity, and agree a remediation sequence. This phase makes no changes to Active Directory and can begin promptly upon engagement confirmation. Typical output includes a ranked findings list, a CIS compliance gap summary, and a recommended remediation roadmap.</w:t>
      </w:r>
    </w:p>
    <w:p>
      <w:pPr>
        <w:pStyle w:val="Heading2"/>
      </w:pPr>
      <w:r>
        <w:t xml:space="preserve">Phase 2 -- Remediation</w:t>
      </w:r>
    </w:p>
    <w:p>
      <w:r>
        <w:t xml:space="preserve">Work through the agreed milestones in Remediate mode. Each finding is presented to the operator with the exact proposed action, impact if applied incorrectly, and step-by-step rollback instructions before any approval prompt is shown. We recommend prioritising in risk order: unconstrained delegation (M4), delegated permissions (M10), DC hardening (M7), privileged group review (M12), and Kerberos configuration (M6) before addressing hygiene items such as stale accounts, GPO cleanup, and security group cleanup.</w:t>
      </w:r>
    </w:p>
    <w:p>
      <w:pPr>
        <w:pStyle w:val="Heading2"/>
      </w:pPr>
      <w:r>
        <w:t xml:space="preserve">Phase 3 -- Domain Controller Upgrade to Windows Server 2025</w:t>
      </w:r>
    </w:p>
    <w:p>
      <w:r>
        <w:t xml:space="preserve">Following the initial remediation wave, Fusion5 will lead the Domain Controller upgrade to Windows Server 2025. We recommend a swing migration approach to preserve DC IP addresses and avoid disruption to any applications with IP-bound dependencies on DC addresses. The M1 health and readiness report produced in Phase 1 will be used to sequence the upgrade and validate each DC post-migration. DFSR SYSVOL replication mode will be confirmed prior to commencing the upgrade.</w:t>
      </w:r>
    </w:p>
    <w:p>
      <w:pPr>
        <w:pStyle w:val="Heading2"/>
      </w:pPr>
      <w:r>
        <w:t xml:space="preserve">Phase 4 -- Post-Upgrade Baseline and Ongoing Monitoring</w:t>
      </w:r>
    </w:p>
    <w:p>
      <w:r>
        <w:t xml:space="preserve">Once all DCs are confirmed on Windows Server 2025, the agent will snapshot the post-upgrade, post-remediation state as the approved baseline. Fusion5 recommends scheduling regular Discover runs to maintain ongoing visibility of AD configuration drift. This positions the tooling as a sustainable monitoring capability that MetLife can continue to operate after the initial engagement concludes.</w:t>
      </w:r>
    </w:p>
    <w:p>
      <w:pPr>
        <w:pStyle w:val="Heading1"/>
      </w:pPr>
      <w:r>
        <w:t xml:space="preserve">How We Will Keep Your Environment Safe</w:t>
      </w:r>
    </w:p>
    <w:p>
      <w:r>
        <w:t xml:space="preserve">We understand that this work will be performed in a production Active Directory environment. Our approach is designed from the ground up to be safe, reversible, and fully under MetLife's control at every step.</w:t>
      </w:r>
    </w:p>
    <w:p>
      <w:pPr>
        <w:pStyle w:val="Heading2"/>
      </w:pPr>
      <w:r>
        <w:t xml:space="preserve">Explicit approval before every change</w:t>
      </w:r>
    </w:p>
    <w:p>
      <w:r>
        <w:t xml:space="preserve">No change will be made to Active Directory without the operator reviewing and approving it at the command line. For every remediable finding, the operator is shown the exact action proposed, the potential impact if applied incorrectly, and rollback steps before any prompt is presented. For HIGH and CRITICAL risk changes -- such as removing delegation rights or modifying DC-level ACLs -- the operator must type the name of the target object exactly before the approval prompt appears.</w:t>
      </w:r>
    </w:p>
    <w:p>
      <w:pPr>
        <w:pStyle w:val="Heading2"/>
      </w:pPr>
      <w:r>
        <w:t xml:space="preserve">No accounts or objects will be deleted</w:t>
      </w:r>
    </w:p>
    <w:p>
      <w:r>
        <w:t xml:space="preserve">Stale user and computer accounts are quarantined -- disabled and moved to a dedicated Quarantine OU with a date-stamped description -- never deleted. Group Policy Objects are backed up and disabled before any deletion is offered, with a distinct second approval step required. AD objects can be recovered at any time from the Quarantine OU or from GPO backups.</w:t>
      </w:r>
    </w:p>
    <w:p>
      <w:pPr>
        <w:pStyle w:val="Heading2"/>
      </w:pPr>
      <w:r>
        <w:t xml:space="preserve">Full audit trail of all actions</w:t>
      </w:r>
    </w:p>
    <w:p>
      <w:r>
        <w:t xml:space="preserve">Every run produces a structured CSV activity log and an HTML report recording the timestamp, finding, target object, operator decision, and outcome for every item processed. These logs are suitable for direct submission as audit evidence and are retained in a configurable output directory.</w:t>
      </w:r>
    </w:p>
    <w:p>
      <w:pPr>
        <w:pStyle w:val="Heading2"/>
      </w:pPr>
      <w:r>
        <w:t xml:space="preserve">Baseline comparison and drift tracking</w:t>
      </w:r>
    </w:p>
    <w:p>
      <w:r>
        <w:t xml:space="preserve">After the post-upgrade baseline is set, all subsequent runs will clearly distinguish findings that are New, Persisting, or Resolved -- providing a clear record of remediation progress and any configuration drift that occurs after the initial cleanup.</w:t>
      </w:r>
    </w:p>
    <w:p>
      <w:pPr>
        <w:pStyle w:val="Heading1"/>
      </w:pPr>
      <w:r>
        <w:t xml:space="preserve">Why Fusion5</w:t>
      </w:r>
    </w:p>
    <w:p>
      <w:pPr>
        <w:pStyle w:val="Heading2"/>
      </w:pPr>
      <w:r>
        <w:t xml:space="preserve">Purpose-built for your environment</w:t>
      </w:r>
    </w:p>
    <w:p>
      <w:r>
        <w:t xml:space="preserve">Rather than adapting a generic scanning tool, Fusion5 will develop a framework built specifically around MetLife's stated requirements and environment -- including the Hybrid Azure AD Join configuration, Windows Hello for Business Kerberos hybrid trust objects, and IP-bound application dependencies on DC addresses. Every finding and every remediation step will be directly applicable to MetLife, not generic.</w:t>
      </w:r>
    </w:p>
    <w:p>
      <w:pPr>
        <w:pStyle w:val="Heading2"/>
      </w:pPr>
      <w:r>
        <w:t xml:space="preserve">Practical remediation focus</w:t>
      </w:r>
    </w:p>
    <w:p>
      <w:r>
        <w:t xml:space="preserve">Our approach aligns with your stated intent: focused, practical remediation and cleanup. The engagement is not an audit that produces a report and walks away -- we will work alongside MetLife's AD team through each remediation step, with Fusion5 consultants present during any Remediate mode sessions.</w:t>
      </w:r>
    </w:p>
    <w:p>
      <w:pPr>
        <w:pStyle w:val="Heading2"/>
      </w:pPr>
      <w:r>
        <w:t xml:space="preserve">Compliance-ready output</w:t>
      </w:r>
    </w:p>
    <w:p>
      <w:r>
        <w:t xml:space="preserve">Every finding maps to a CIS Benchmark Level 1 control and a NIST SP 800-53 identifier. The HTML reports are structured for direct use in audit evidence packages, reducing the overhead of translating technical remediation work into governance documentation.</w:t>
      </w:r>
    </w:p>
    <w:p>
      <w:pPr>
        <w:pStyle w:val="Heading2"/>
      </w:pPr>
      <w:r>
        <w:t xml:space="preserve">Knowledge transfer and ongoing capability</w:t>
      </w:r>
    </w:p>
    <w:p>
      <w:r>
        <w:t xml:space="preserve">The AD Remediation Agent and all tooling will be handed over to MetLife at the conclusion of the engagement. Your AD team will be able to continue running Discover and Report modes independently on an ongoing basis, with Fusion5 available for support, follow-on remediation sessions, or additional module development as your requirements evolve.</w:t>
      </w:r>
    </w:p>
    <w:p>
      <w:pPr>
        <w:pStyle w:val="Heading1"/>
      </w:pPr>
      <w:r>
        <w:t xml:space="preserve">Proposed Next Steps</w:t>
      </w:r>
    </w:p>
    <w:p>
      <w:r>
        <w:t xml:space="preserve">Following our initial discussion, we are ready to move forward as soon as scope and timelines are confirmed. The following steps are proposed:</w:t>
      </w:r>
    </w:p>
    <w:p>
      <w:pPr>
        <w:pStyle w:val="ListNumber"/>
      </w:pPr>
      <w:r>
        <w:t xml:space="preserve">MetLife to review this proposal and confirm the scope, phasing, and any adjustments arising from our initial discussion</w:t>
      </w:r>
    </w:p>
    <w:p>
      <w:pPr>
        <w:pStyle w:val="ListNumber"/>
      </w:pPr>
      <w:r>
        <w:t xml:space="preserve">Fusion5 to prepare and issue a Statement of Work based on the confirmed scope</w:t>
      </w:r>
    </w:p>
    <w:p>
      <w:pPr>
        <w:pStyle w:val="ListNumber"/>
      </w:pPr>
      <w:r>
        <w:t xml:space="preserve">MetLife to confirm access arrangements -- a domain-joined machine and a read-privileged account are sufficient to begin Phase 1 in Discover mode with no changes to Active Directory</w:t>
      </w:r>
    </w:p>
    <w:p>
      <w:pPr>
        <w:pStyle w:val="ListNumber"/>
      </w:pPr>
      <w:r>
        <w:t xml:space="preserve">Agree a start date and milestone sequencing aligned to MetLife's DC upgrade timeline</w:t>
      </w:r>
    </w:p>
    <w:p>
      <w:pPr>
        <w:pStyle w:val="ListNumber"/>
      </w:pPr>
      <w:r>
        <w:t xml:space="preserve">Commence Phase 1 -- Discovery and Assessment</w:t>
      </w:r>
    </w:p>
    <w:p/>
    <w:p>
      <w:r>
        <w:t xml:space="preserve">We look forward to your feedback on this proposal. Please do not hesitate to reach out if you have any questions or would like to discuss any aspect of the proposed approach.</w:t>
      </w:r>
    </w:p>
    <w:sectPr>
      <w:pgSz w:w="12240" w:h="15840"/>
      <w:pgMar w:top="1440" w:right="1800" w:bottom="1440" w:left="180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sz w:val="24"/>
      </w:rPr>
    </w:lvl>
    <w:lvl w:ilvl="1">
      <w:start w:val="1"/>
      <w:numFmt w:val="bullet"/>
      <w:lvlText w:val="◦"/>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4"/>
        <w:szCs w:val="24"/>
      </w:rPr>
    </w:rPrDefault>
  </w:docDefaults>
  <w:style w:type="paragraph" w:styleId="Normal" w:default="1">
    <w:name w:val="Normal"/>
    <w:pPr>
      <w:spacing w:after="160" w:line="276" w:lineRule="auto"/>
    </w:pPr>
    <w:rPr>
      <w:rFonts w:ascii="Calibri" w:hAnsi="Calibri"/>
      <w:sz w:val="24"/>
      <w:szCs w:val="24"/>
    </w:rPr>
  </w:style>
  <w:style w:type="paragraph" w:styleId="Heading1">
    <w:name w:val="heading 1"/>
    <w:basedOn w:val="Normal"/>
    <w:next w:val="Normal"/>
    <w:pPr>
      <w:outlineLvl w:val="0"/>
      <w:spacing w:before="480" w:after="160"/>
      <w:keepNext/>
    </w:pPr>
    <w:rPr>
      <w:b/>
      <w:rFonts w:ascii="Calibri" w:hAnsi="Calibri"/>
      <w:sz w:val="36"/>
      <w:szCs w:val="36"/>
      <w:color w:val="1F3864"/>
    </w:rPr>
  </w:style>
  <w:style w:type="paragraph" w:styleId="Heading2">
    <w:name w:val="heading 2"/>
    <w:basedOn w:val="Normal"/>
    <w:next w:val="Normal"/>
    <w:pPr>
      <w:outlineLvl w:val="1"/>
      <w:spacing w:before="320" w:after="120"/>
      <w:keepNext/>
    </w:pPr>
    <w:rPr>
      <w:b/>
      <w:rFonts w:ascii="Calibri" w:hAnsi="Calibri"/>
      <w:sz w:val="28"/>
      <w:szCs w:val="28"/>
      <w:color w:val="2E74B5"/>
    </w:rPr>
  </w:style>
  <w:style w:type="paragraph" w:styleId="Title">
    <w:name w:val="Title"/>
    <w:basedOn w:val="Normal"/>
    <w:pPr>
      <w:jc w:val="center"/>
      <w:spacing w:before="0" w:after="240"/>
    </w:pPr>
    <w:rPr>
      <w:b/>
      <w:rFonts w:ascii="Calibri" w:hAnsi="Calibri"/>
      <w:sz w:val="56"/>
      <w:szCs w:val="56"/>
      <w:color w:val="1F3864"/>
    </w:rPr>
  </w:style>
  <w:style w:type="paragraph" w:styleId="Subtitle">
    <w:name w:val="Subtitle"/>
    <w:basedOn w:val="Normal"/>
    <w:pPr>
      <w:jc w:val="center"/>
      <w:spacing w:after="160"/>
    </w:pPr>
    <w:rPr>
      <w:i/>
      <w:rFonts w:ascii="Calibri" w:hAnsi="Calibri"/>
      <w:sz w:val="32"/>
      <w:szCs w:val="32"/>
      <w:color w:val="595959"/>
    </w:rPr>
  </w:style>
  <w:style w:type="paragraph" w:styleId="ListBullet">
    <w:name w:val="List Bullet"/>
    <w:basedOn w:val="Normal"/>
    <w:pPr>
      <w:spacing w:after="80"/>
      <w:numPr>
        <w:ilvl w:val="0"/>
        <w:numId w:val="1"/>
      </w:numPr>
    </w:pPr>
  </w:style>
  <w:style w:type="paragraph" w:styleId="ListNumber">
    <w:name w:val="List Number"/>
    <w:basedOn w:val="Normal"/>
    <w:pPr>
      <w:spacing w:after="80"/>
      <w:numPr>
        <w:ilvl w:val="0"/>
        <w:numId w:val="2"/>
      </w:numPr>
    </w:pPr>
  </w:style>
  <w:style w:type="paragraph" w:styleId="CodeBlock">
    <w:name w:val="Code Block"/>
    <w:basedOn w:val="Normal"/>
    <w:pPr>
      <w:spacing w:before="120" w:after="120"/>
      <w:shd w:val="clear" w:color="auto" w:fill="F2F2F2"/>
    </w:pPr>
    <w:rPr>
      <w:rFonts w:ascii="Courier New" w:hAnsi="Courier New"/>
      <w:sz w:val="20"/>
      <w:szCs w:val="20"/>
      <w:color w:val="333333"/>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