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pPr>
        <w:pStyle w:val="Title"/>
      </w:pPr>
      <w:r>
        <w:t xml:space="preserve">Active Directory Security Assessment and Remediation</w:t>
      </w:r>
    </w:p>
    <w:p>
      <w:pPr>
        <w:pStyle w:val="Subtitle"/>
      </w:pPr>
      <w:r>
        <w:t xml:space="preserve">Proposal for MetLife</w:t>
      </w:r>
    </w:p>
    <w:p/>
    <w:p>
      <w:pPr>
        <w:spacing w:after="80"/>
      </w:pPr>
      <w:r>
        <w:rPr>
          <w:b/>
        </w:rPr>
        <w:t xml:space="preserve">Prepared for:  </w:t>
      </w:r>
      <w:r>
        <w:t xml:space="preserve">MetLife</w:t>
      </w:r>
    </w:p>
    <w:p>
      <w:pPr>
        <w:spacing w:after="80"/>
      </w:pPr>
      <w:r>
        <w:rPr>
          <w:b/>
        </w:rPr>
        <w:t xml:space="preserve">Prepared by:  </w:t>
      </w:r>
      <w:r>
        <w:t xml:space="preserve">Fusion5</w:t>
      </w:r>
    </w:p>
    <w:p>
      <w:pPr>
        <w:spacing w:after="80"/>
      </w:pPr>
      <w:r>
        <w:rPr>
          <w:b/>
        </w:rPr>
        <w:t xml:space="preserve">Date:  </w:t>
      </w:r>
      <w:r>
        <w:t xml:space="preserve">March 2026</w:t>
      </w:r>
    </w:p>
    <w:p>
      <w:pPr>
        <w:spacing w:after="80"/>
      </w:pPr>
      <w:r>
        <w:rPr>
          <w:b/>
        </w:rPr>
        <w:t xml:space="preserve">Classification:  </w:t>
      </w:r>
      <w:r>
        <w:t xml:space="preserve">COMMERCIAL IN CONFIDENCE</w:t>
      </w:r>
    </w:p>
    <w:p/>
    <w:p>
      <w:r>
        <w:br w:type="page"/>
      </w:r>
    </w:p>
    <w:p>
      <w:pPr>
        <w:pStyle w:val="Heading1"/>
      </w:pPr>
      <w:r>
        <w:t xml:space="preserve">Overview</w:t>
      </w:r>
    </w:p>
    <w:p>
      <w:r>
        <w:t xml:space="preserve">Fusion5 is pleased to propose a structured Active Directory (AD) security assessment and remediation engagement for MetLife. This proposal outlines our recommended approach, the scope of work, and the tooling we will deliver to help MetLife improve its AD security posture in advance of -- and following -- the planned Domain Controller upgrade from Windows Server 2019 to Windows Server 2025.</w:t>
      </w:r>
    </w:p>
    <w:p>
      <w:r>
        <w:t xml:space="preserve">Active Directory is the foundation of identity and access control across MetLife's environment. Weaknesses in AD configuration -- misconfigured delegation, stale privileged accounts, insecure Kerberos settings, or non-standard ACL assignments -- represent high-value attack paths that are frequently exploited in modern ransomware and identity-based attacks. Addressing these risks in a controlled, auditable way is a critical step before any major infrastructure change such as a DC OS upgrade.</w:t>
      </w:r>
    </w:p>
    <w:p>
      <w:r>
        <w:t xml:space="preserve">This engagement will deliver a purpose-built automation framework -- the AD Remediation Agent -- that assesses MetLife's AD environment against the CIS Benchmark Level 1 standard and NIST SP 800-53, identifies security risks across 12 defined areas, and supports remediation with human-in-the-loop approval controls that ensure no change is ever made without explicit operator sign-off.</w:t>
      </w:r>
    </w:p>
    <w:p>
      <w:pPr>
        <w:pStyle w:val="Heading1"/>
      </w:pPr>
      <w:r>
        <w:t xml:space="preserve">Why Now</w:t>
      </w:r>
    </w:p>
    <w:p>
      <w:r>
        <w:t xml:space="preserve">The planned upgrade of MetLife's Domain Controllers to Windows Server 2025 creates a natural and time-sensitive window to address AD security hygiene. There are three reasons why this work is best performed as part of the upgrade programme rather than after it:</w:t>
      </w:r>
    </w:p>
    <w:p>
      <w:pPr>
        <w:pStyle w:val="ListBullet"/>
      </w:pPr>
      <w:r>
        <w:t xml:space="preserve">Upgrading a Domain Controller running misconfigured or vulnerable AD services carries forward those weaknesses onto the new platform. Remediating before the upgrade reduces the risk that security gaps persist into the new environment.</w:t>
      </w:r>
    </w:p>
    <w:p>
      <w:pPr>
        <w:pStyle w:val="ListBullet"/>
      </w:pPr>
      <w:r>
        <w:t xml:space="preserve">Windows Server 2025 introduces stronger default security baselines -- including LDAP channel binding and SMB signing enforcement. Identifying and resolving existing non-compliant configurations in advance avoids operational disruption when these defaults take effect.</w:t>
      </w:r>
    </w:p>
    <w:p>
      <w:pPr>
        <w:pStyle w:val="ListBullet"/>
      </w:pPr>
      <w:r>
        <w:t xml:space="preserve">A post-upgrade baseline snapshot, taken once the environment is in a known-good state, provides MetLife with a documented reference point for ongoing compliance and audit purposes.</w:t>
      </w:r>
    </w:p>
    <w:p>
      <w:r>
        <w:t xml:space="preserve">MetLife's environment includes a Hybrid Azure AD Join configuration and Windows Hello for Business Kerberos hybrid trust objects. Our proposed solution has been designed to account for these components, including guidance on cross-referencing Entra ID sign-in activity before any stale account remediation is performed.</w:t>
      </w:r>
    </w:p>
    <w:p>
      <w:pPr>
        <w:pStyle w:val="Heading1"/>
      </w:pPr>
      <w:r>
        <w:t xml:space="preserve">Proposed Solution</w:t>
      </w:r>
    </w:p>
    <w:p>
      <w:r>
        <w:t xml:space="preserve">We propose to deliver the AD Remediation Agent -- a PowerShell 5.1 automation framework purpose-built for this engagement. The agent will run directly from any domain-joined Windows machine or Privileged Access Workstation and will require no additional software, licensing, or infrastructure beyond the standard ActiveDirectory and GPMC Remote Server Administration Tools (RSAT), which are already available in MetLife's environment.</w:t>
      </w:r>
    </w:p>
    <w:p>
      <w:r>
        <w:t xml:space="preserve">The agent will operate in four modes, giving MetLife full control over how and when the tooling is used:</w:t>
      </w:r>
    </w:p>
    <w:p/>
    <w:tbl>
      <w:tblPr>
        <w:tblStyle w:val="TableGrid"/>
        <w:tblW w:w="9360" w:type="dxa"/>
      </w:tblPr>
      <w:tblGrid>
        <w:gridCol w:w="3120"/>
        <w:gridCol w:w="3120"/>
        <w:gridCol w:w="3120"/>
      </w:tblGrid>
      <w:tr>
        <w:tc>
          <w:tcPr>
            <w:tcW w:w="3120" w:type="dxa"/>
            <w:shd w:val="clear" w:color="auto" w:fill="2E74B5"/>
          </w:tcPr>
          <w:p>
            <w:pPr>
              <w:spacing w:after="80"/>
            </w:pPr>
            <w:r>
              <w:rPr>
                <w:b/>
                <w:color w:val="FFFFFF"/>
              </w:rPr>
              <w:t xml:space="preserve">Mode</w:t>
            </w:r>
          </w:p>
        </w:tc>
        <w:tc>
          <w:tcPr>
            <w:tcW w:w="3120" w:type="dxa"/>
            <w:shd w:val="clear" w:color="auto" w:fill="2E74B5"/>
          </w:tcPr>
          <w:p>
            <w:pPr>
              <w:spacing w:after="80"/>
            </w:pPr>
            <w:r>
              <w:rPr>
                <w:b/>
                <w:color w:val="FFFFFF"/>
              </w:rPr>
              <w:t xml:space="preserve">Purpose</w:t>
            </w:r>
          </w:p>
        </w:tc>
        <w:tc>
          <w:tcPr>
            <w:tcW w:w="3120" w:type="dxa"/>
            <w:shd w:val="clear" w:color="auto" w:fill="2E74B5"/>
          </w:tcPr>
          <w:p>
            <w:pPr>
              <w:spacing w:after="80"/>
            </w:pPr>
            <w:r>
              <w:rPr>
                <w:b/>
                <w:color w:val="FFFFFF"/>
              </w:rPr>
              <w:t xml:space="preserve">Changes Made</w:t>
            </w:r>
          </w:p>
        </w:tc>
      </w:tr>
      <w:tr>
        <w:tc>
          <w:tcPr>
            <w:tcW w:w="3120" w:type="dxa"/>
            <w:shd w:val="clear" w:color="auto" w:fill="EBF3FB"/>
          </w:tcPr>
          <w:p>
            <w:pPr>
              <w:spacing w:after="80"/>
            </w:pPr>
            <w:r>
              <w:t xml:space="preserve">Discover</w:t>
            </w:r>
          </w:p>
        </w:tc>
        <w:tc>
          <w:tcPr>
            <w:tcW w:w="3120" w:type="dxa"/>
            <w:shd w:val="clear" w:color="auto" w:fill="EBF3FB"/>
          </w:tcPr>
          <w:p>
            <w:pPr>
              <w:spacing w:after="80"/>
            </w:pPr>
            <w:r>
              <w:t xml:space="preserve">Runs all assessment checks and produces a findings report with full CIS and NIST control annotations. This is the recommended starting point -- safe to run in production at any time.</w:t>
            </w:r>
          </w:p>
        </w:tc>
        <w:tc>
          <w:tcPr>
            <w:tcW w:w="3120" w:type="dxa"/>
            <w:shd w:val="clear" w:color="auto" w:fill="EBF3FB"/>
          </w:tcPr>
          <w:p>
            <w:pPr>
              <w:spacing w:after="80"/>
            </w:pPr>
            <w:r>
              <w:t xml:space="preserve">None</w:t>
            </w:r>
          </w:p>
        </w:tc>
      </w:tr>
      <w:tr>
        <w:tc>
          <w:tcPr>
            <w:tcW w:w="3120" w:type="dxa"/>
            <w:shd w:val="clear" w:color="auto" w:fill="FFFFFF"/>
          </w:tcPr>
          <w:p>
            <w:pPr>
              <w:spacing w:after="80"/>
            </w:pPr>
            <w:r>
              <w:t xml:space="preserve">Baseline</w:t>
            </w:r>
          </w:p>
        </w:tc>
        <w:tc>
          <w:tcPr>
            <w:tcW w:w="3120" w:type="dxa"/>
            <w:shd w:val="clear" w:color="auto" w:fill="FFFFFF"/>
          </w:tcPr>
          <w:p>
            <w:pPr>
              <w:spacing w:after="80"/>
            </w:pPr>
            <w:r>
              <w:t xml:space="preserve">Snapshots the current state of Active Directory as an approved reference point. All subsequent runs will compare against this snapshot, identifying new, persisting, or resolved findings.</w:t>
            </w:r>
          </w:p>
        </w:tc>
        <w:tc>
          <w:tcPr>
            <w:tcW w:w="3120" w:type="dxa"/>
            <w:shd w:val="clear" w:color="auto" w:fill="FFFFFF"/>
          </w:tcPr>
          <w:p>
            <w:pPr>
              <w:spacing w:after="80"/>
            </w:pPr>
            <w:r>
              <w:t xml:space="preserve">None</w:t>
            </w:r>
          </w:p>
        </w:tc>
      </w:tr>
      <w:tr>
        <w:tc>
          <w:tcPr>
            <w:tcW w:w="3120" w:type="dxa"/>
            <w:shd w:val="clear" w:color="auto" w:fill="EBF3FB"/>
          </w:tcPr>
          <w:p>
            <w:pPr>
              <w:spacing w:after="80"/>
            </w:pPr>
            <w:r>
              <w:t xml:space="preserve">Remediate</w:t>
            </w:r>
          </w:p>
        </w:tc>
        <w:tc>
          <w:tcPr>
            <w:tcW w:w="3120" w:type="dxa"/>
            <w:shd w:val="clear" w:color="auto" w:fill="EBF3FB"/>
          </w:tcPr>
          <w:p>
            <w:pPr>
              <w:spacing w:after="80"/>
            </w:pPr>
            <w:r>
              <w:t xml:space="preserve">Runs all checks, then walks the operator through each remediable finding with full impact detail, rollback steps, and an explicit approve-or-skip prompt before any action is taken.</w:t>
            </w:r>
          </w:p>
        </w:tc>
        <w:tc>
          <w:tcPr>
            <w:tcW w:w="3120" w:type="dxa"/>
            <w:shd w:val="clear" w:color="auto" w:fill="EBF3FB"/>
          </w:tcPr>
          <w:p>
            <w:pPr>
              <w:spacing w:after="80"/>
            </w:pPr>
            <w:r>
              <w:t xml:space="preserve">Yes -- with explicit approval only</w:t>
            </w:r>
          </w:p>
        </w:tc>
      </w:tr>
      <w:tr>
        <w:tc>
          <w:tcPr>
            <w:tcW w:w="3120" w:type="dxa"/>
            <w:shd w:val="clear" w:color="auto" w:fill="FFFFFF"/>
          </w:tcPr>
          <w:p>
            <w:pPr>
              <w:spacing w:after="80"/>
            </w:pPr>
            <w:r>
              <w:t xml:space="preserve">Report</w:t>
            </w:r>
          </w:p>
        </w:tc>
        <w:tc>
          <w:tcPr>
            <w:tcW w:w="3120" w:type="dxa"/>
            <w:shd w:val="clear" w:color="auto" w:fill="FFFFFF"/>
          </w:tcPr>
          <w:p>
            <w:pPr>
              <w:spacing w:after="80"/>
            </w:pPr>
            <w:r>
              <w:t xml:space="preserve">Generates a drift report comparing current findings against the stored baseline. No Active Directory connection is required -- suitable for management reporting.</w:t>
            </w:r>
          </w:p>
        </w:tc>
        <w:tc>
          <w:tcPr>
            <w:tcW w:w="3120" w:type="dxa"/>
            <w:shd w:val="clear" w:color="auto" w:fill="FFFFFF"/>
          </w:tcPr>
          <w:p>
            <w:pPr>
              <w:spacing w:after="80"/>
            </w:pPr>
            <w:r>
              <w:t xml:space="preserve">None</w:t>
            </w:r>
          </w:p>
        </w:tc>
      </w:tr>
    </w:tbl>
    <w:p/>
    <w:p>
      <w:r>
        <w:t xml:space="preserve">Every run produces a structured HTML report that maps all findings to CIS Benchmark Level 1 controls and NIST SP 800-53 control identifiers. This output is suitable for direct use in audit evidence packages, risk register updates, and executive reporting.</w:t>
      </w:r>
    </w:p>
    <w:p>
      <w:pPr>
        <w:pStyle w:val="Heading1"/>
      </w:pPr>
      <w:r>
        <w:t xml:space="preserve">Scope of Work</w:t>
      </w:r>
    </w:p>
    <w:p>
      <w:r>
        <w:t xml:space="preserve">The proposed engagement covers 12 Active Directory security and hygiene milestones. Milestone 2 (DC Upgrade to Windows Server 2025) is a manual, change-controlled process that Fusion5 will support with readiness reporting and technical guidance from Milestone 1. All other milestones will be delivered as automated assessment and remediation capability within the agent.</w:t>
      </w:r>
    </w:p>
    <w:p/>
    <w:tbl>
      <w:tblPr>
        <w:tblStyle w:val="TableGrid"/>
        <w:tblW w:w="9360" w:type="dxa"/>
      </w:tblPr>
      <w:tblGrid>
        <w:gridCol w:w="2340"/>
        <w:gridCol w:w="2340"/>
        <w:gridCol w:w="2340"/>
        <w:gridCol w:w="2340"/>
      </w:tblGrid>
      <w:tr>
        <w:tc>
          <w:tcPr>
            <w:tcW w:w="2340" w:type="dxa"/>
            <w:shd w:val="clear" w:color="auto" w:fill="2E74B5"/>
          </w:tcPr>
          <w:p>
            <w:pPr>
              <w:spacing w:after="80"/>
            </w:pPr>
            <w:r>
              <w:rPr>
                <w:b/>
                <w:color w:val="FFFFFF"/>
              </w:rPr>
              <w:t xml:space="preserve">Milestone</w:t>
            </w:r>
          </w:p>
        </w:tc>
        <w:tc>
          <w:tcPr>
            <w:tcW w:w="2340" w:type="dxa"/>
            <w:shd w:val="clear" w:color="auto" w:fill="2E74B5"/>
          </w:tcPr>
          <w:p>
            <w:pPr>
              <w:spacing w:after="80"/>
            </w:pPr>
            <w:r>
              <w:rPr>
                <w:b/>
                <w:color w:val="FFFFFF"/>
              </w:rPr>
              <w:t xml:space="preserve">Area</w:t>
            </w:r>
          </w:p>
        </w:tc>
        <w:tc>
          <w:tcPr>
            <w:tcW w:w="2340" w:type="dxa"/>
            <w:shd w:val="clear" w:color="auto" w:fill="2E74B5"/>
          </w:tcPr>
          <w:p>
            <w:pPr>
              <w:spacing w:after="80"/>
            </w:pPr>
            <w:r>
              <w:rPr>
                <w:b/>
                <w:color w:val="FFFFFF"/>
              </w:rPr>
              <w:t xml:space="preserve">What We Will Assess</w:t>
            </w:r>
          </w:p>
        </w:tc>
        <w:tc>
          <w:tcPr>
            <w:tcW w:w="2340" w:type="dxa"/>
            <w:shd w:val="clear" w:color="auto" w:fill="2E74B5"/>
          </w:tcPr>
          <w:p>
            <w:pPr>
              <w:spacing w:after="80"/>
            </w:pPr>
            <w:r>
              <w:rPr>
                <w:b/>
                <w:color w:val="FFFFFF"/>
              </w:rPr>
              <w:t xml:space="preserve">Proposed Remediation</w:t>
            </w:r>
          </w:p>
        </w:tc>
      </w:tr>
      <w:tr>
        <w:tc>
          <w:tcPr>
            <w:tcW w:w="2340" w:type="dxa"/>
            <w:shd w:val="clear" w:color="auto" w:fill="EBF3FB"/>
          </w:tcPr>
          <w:p>
            <w:pPr>
              <w:spacing w:after="80"/>
            </w:pPr>
            <w:r>
              <w:t xml:space="preserve">M1</w:t>
            </w:r>
          </w:p>
        </w:tc>
        <w:tc>
          <w:tcPr>
            <w:tcW w:w="2340" w:type="dxa"/>
            <w:shd w:val="clear" w:color="auto" w:fill="EBF3FB"/>
          </w:tcPr>
          <w:p>
            <w:pPr>
              <w:spacing w:after="80"/>
            </w:pPr>
            <w:r>
              <w:t xml:space="preserve">Domain Controller Health</w:t>
            </w:r>
          </w:p>
        </w:tc>
        <w:tc>
          <w:tcPr>
            <w:tcW w:w="2340" w:type="dxa"/>
            <w:shd w:val="clear" w:color="auto" w:fill="EBF3FB"/>
          </w:tcPr>
          <w:p>
            <w:pPr>
              <w:spacing w:after="80"/>
            </w:pPr>
            <w:r>
              <w:t xml:space="preserve">Replication status, FSMO roles, DNS health, SYSVOL mode, time sync, OS versions, krbtgt age, AS-REP roastable accounts</w:t>
            </w:r>
          </w:p>
        </w:tc>
        <w:tc>
          <w:tcPr>
            <w:tcW w:w="2340" w:type="dxa"/>
            <w:shd w:val="clear" w:color="auto" w:fill="EBF3FB"/>
          </w:tcPr>
          <w:p>
            <w:pPr>
              <w:spacing w:after="80"/>
            </w:pPr>
            <w:r>
              <w:t xml:space="preserve">Audit report only</w:t>
            </w:r>
          </w:p>
        </w:tc>
      </w:tr>
      <w:tr>
        <w:tc>
          <w:tcPr>
            <w:tcW w:w="2340" w:type="dxa"/>
            <w:shd w:val="clear" w:color="auto" w:fill="FFFFFF"/>
          </w:tcPr>
          <w:p>
            <w:pPr>
              <w:spacing w:after="80"/>
            </w:pPr>
            <w:r>
              <w:t xml:space="preserve">M2</w:t>
            </w:r>
          </w:p>
        </w:tc>
        <w:tc>
          <w:tcPr>
            <w:tcW w:w="2340" w:type="dxa"/>
            <w:shd w:val="clear" w:color="auto" w:fill="FFFFFF"/>
          </w:tcPr>
          <w:p>
            <w:pPr>
              <w:spacing w:after="80"/>
            </w:pPr>
            <w:r>
              <w:t xml:space="preserve">DC Upgrade to Server 2025</w:t>
            </w:r>
          </w:p>
        </w:tc>
        <w:tc>
          <w:tcPr>
            <w:tcW w:w="2340" w:type="dxa"/>
            <w:shd w:val="clear" w:color="auto" w:fill="FFFFFF"/>
          </w:tcPr>
          <w:p>
            <w:pPr>
              <w:spacing w:after="80"/>
            </w:pPr>
            <w:r>
              <w:t xml:space="preserve">In-place upgrade readiness, DFSR migration status, IP-bound application risk assessment</w:t>
            </w:r>
          </w:p>
        </w:tc>
        <w:tc>
          <w:tcPr>
            <w:tcW w:w="2340" w:type="dxa"/>
            <w:shd w:val="clear" w:color="auto" w:fill="FFFFFF"/>
          </w:tcPr>
          <w:p>
            <w:pPr>
              <w:spacing w:after="80"/>
            </w:pPr>
            <w:r>
              <w:t xml:space="preserve">Manual -- change-controlled</w:t>
            </w:r>
          </w:p>
        </w:tc>
      </w:tr>
      <w:tr>
        <w:tc>
          <w:tcPr>
            <w:tcW w:w="2340" w:type="dxa"/>
            <w:shd w:val="clear" w:color="auto" w:fill="EBF3FB"/>
          </w:tcPr>
          <w:p>
            <w:pPr>
              <w:spacing w:after="80"/>
            </w:pPr>
            <w:r>
              <w:t xml:space="preserve">M3</w:t>
            </w:r>
          </w:p>
        </w:tc>
        <w:tc>
          <w:tcPr>
            <w:tcW w:w="2340" w:type="dxa"/>
            <w:shd w:val="clear" w:color="auto" w:fill="EBF3FB"/>
          </w:tcPr>
          <w:p>
            <w:pPr>
              <w:spacing w:after="80"/>
            </w:pPr>
            <w:r>
              <w:t xml:space="preserve">OU Structure</w:t>
            </w:r>
          </w:p>
        </w:tc>
        <w:tc>
          <w:tcPr>
            <w:tcW w:w="2340" w:type="dxa"/>
            <w:shd w:val="clear" w:color="auto" w:fill="EBF3FB"/>
          </w:tcPr>
          <w:p>
            <w:pPr>
              <w:spacing w:after="80"/>
            </w:pPr>
            <w:r>
              <w:t xml:space="preserve">Default container usage, empty OUs, block inheritance gaps, deep nesting, non-standard OU permissions</w:t>
            </w:r>
          </w:p>
        </w:tc>
        <w:tc>
          <w:tcPr>
            <w:tcW w:w="2340" w:type="dxa"/>
            <w:shd w:val="clear" w:color="auto" w:fill="EBF3FB"/>
          </w:tcPr>
          <w:p>
            <w:pPr>
              <w:spacing w:after="80"/>
            </w:pPr>
            <w:r>
              <w:t xml:space="preserve">Audit report only</w:t>
            </w:r>
          </w:p>
        </w:tc>
      </w:tr>
      <w:tr>
        <w:tc>
          <w:tcPr>
            <w:tcW w:w="2340" w:type="dxa"/>
            <w:shd w:val="clear" w:color="auto" w:fill="FFFFFF"/>
          </w:tcPr>
          <w:p>
            <w:pPr>
              <w:spacing w:after="80"/>
            </w:pPr>
            <w:r>
              <w:t xml:space="preserve">M4</w:t>
            </w:r>
          </w:p>
        </w:tc>
        <w:tc>
          <w:tcPr>
            <w:tcW w:w="2340" w:type="dxa"/>
            <w:shd w:val="clear" w:color="auto" w:fill="FFFFFF"/>
          </w:tcPr>
          <w:p>
            <w:pPr>
              <w:spacing w:after="80"/>
            </w:pPr>
            <w:r>
              <w:t xml:space="preserve">Unconstrained Delegation</w:t>
            </w:r>
          </w:p>
        </w:tc>
        <w:tc>
          <w:tcPr>
            <w:tcW w:w="2340" w:type="dxa"/>
            <w:shd w:val="clear" w:color="auto" w:fill="FFFFFF"/>
          </w:tcPr>
          <w:p>
            <w:pPr>
              <w:spacing w:after="80"/>
            </w:pPr>
            <w:r>
              <w:t xml:space="preserve">Computer and user accounts with unconstrained Kerberos delegation (excluding DCs) -- high-value attack path</w:t>
            </w:r>
          </w:p>
        </w:tc>
        <w:tc>
          <w:tcPr>
            <w:tcW w:w="2340" w:type="dxa"/>
            <w:shd w:val="clear" w:color="auto" w:fill="FFFFFF"/>
          </w:tcPr>
          <w:p>
            <w:pPr>
              <w:spacing w:after="80"/>
            </w:pPr>
            <w:r>
              <w:t xml:space="preserve">Removes delegation with approval</w:t>
            </w:r>
          </w:p>
        </w:tc>
      </w:tr>
      <w:tr>
        <w:tc>
          <w:tcPr>
            <w:tcW w:w="2340" w:type="dxa"/>
            <w:shd w:val="clear" w:color="auto" w:fill="EBF3FB"/>
          </w:tcPr>
          <w:p>
            <w:pPr>
              <w:spacing w:after="80"/>
            </w:pPr>
            <w:r>
              <w:t xml:space="preserve">M5</w:t>
            </w:r>
          </w:p>
        </w:tc>
        <w:tc>
          <w:tcPr>
            <w:tcW w:w="2340" w:type="dxa"/>
            <w:shd w:val="clear" w:color="auto" w:fill="EBF3FB"/>
          </w:tcPr>
          <w:p>
            <w:pPr>
              <w:spacing w:after="80"/>
            </w:pPr>
            <w:r>
              <w:t xml:space="preserve">Service Principal Name Audit</w:t>
            </w:r>
          </w:p>
        </w:tc>
        <w:tc>
          <w:tcPr>
            <w:tcW w:w="2340" w:type="dxa"/>
            <w:shd w:val="clear" w:color="auto" w:fill="EBF3FB"/>
          </w:tcPr>
          <w:p>
            <w:pPr>
              <w:spacing w:after="80"/>
            </w:pPr>
            <w:r>
              <w:t xml:space="preserve">Duplicate SPNs, Kerberoastable accounts, SPNs on disabled accounts, Tier 0 accounts with SPNs</w:t>
            </w:r>
          </w:p>
        </w:tc>
        <w:tc>
          <w:tcPr>
            <w:tcW w:w="2340" w:type="dxa"/>
            <w:shd w:val="clear" w:color="auto" w:fill="EBF3FB"/>
          </w:tcPr>
          <w:p>
            <w:pPr>
              <w:spacing w:after="80"/>
            </w:pPr>
            <w:r>
              <w:t xml:space="preserve">Sets AES encryption with approval</w:t>
            </w:r>
          </w:p>
        </w:tc>
      </w:tr>
      <w:tr>
        <w:tc>
          <w:tcPr>
            <w:tcW w:w="2340" w:type="dxa"/>
            <w:shd w:val="clear" w:color="auto" w:fill="FFFFFF"/>
          </w:tcPr>
          <w:p>
            <w:pPr>
              <w:spacing w:after="80"/>
            </w:pPr>
            <w:r>
              <w:t xml:space="preserve">M6</w:t>
            </w:r>
          </w:p>
        </w:tc>
        <w:tc>
          <w:tcPr>
            <w:tcW w:w="2340" w:type="dxa"/>
            <w:shd w:val="clear" w:color="auto" w:fill="FFFFFF"/>
          </w:tcPr>
          <w:p>
            <w:pPr>
              <w:spacing w:after="80"/>
            </w:pPr>
            <w:r>
              <w:t xml:space="preserve">Kerberos Configuration</w:t>
            </w:r>
          </w:p>
        </w:tc>
        <w:tc>
          <w:tcPr>
            <w:tcW w:w="2340" w:type="dxa"/>
            <w:shd w:val="clear" w:color="auto" w:fill="FFFFFF"/>
          </w:tcPr>
          <w:p>
            <w:pPr>
              <w:spacing w:after="80"/>
            </w:pPr>
            <w:r>
              <w:t xml:space="preserve">RC4-only accounts, Kerberos ticket policy, WHfB Kerberos hybrid trust, authentication policy coverage</w:t>
            </w:r>
          </w:p>
        </w:tc>
        <w:tc>
          <w:tcPr>
            <w:tcW w:w="2340" w:type="dxa"/>
            <w:shd w:val="clear" w:color="auto" w:fill="FFFFFF"/>
          </w:tcPr>
          <w:p>
            <w:pPr>
              <w:spacing w:after="80"/>
            </w:pPr>
            <w:r>
              <w:t xml:space="preserve">Sets AES encryption with approval</w:t>
            </w:r>
          </w:p>
        </w:tc>
      </w:tr>
      <w:tr>
        <w:tc>
          <w:tcPr>
            <w:tcW w:w="2340" w:type="dxa"/>
            <w:shd w:val="clear" w:color="auto" w:fill="EBF3FB"/>
          </w:tcPr>
          <w:p>
            <w:pPr>
              <w:spacing w:after="80"/>
            </w:pPr>
            <w:r>
              <w:t xml:space="preserve">M7</w:t>
            </w:r>
          </w:p>
        </w:tc>
        <w:tc>
          <w:tcPr>
            <w:tcW w:w="2340" w:type="dxa"/>
            <w:shd w:val="clear" w:color="auto" w:fill="EBF3FB"/>
          </w:tcPr>
          <w:p>
            <w:pPr>
              <w:spacing w:after="80"/>
            </w:pPr>
            <w:r>
              <w:t xml:space="preserve">DC Hardening (CIS Level 1)</w:t>
            </w:r>
          </w:p>
        </w:tc>
        <w:tc>
          <w:tcPr>
            <w:tcW w:w="2340" w:type="dxa"/>
            <w:shd w:val="clear" w:color="auto" w:fill="EBF3FB"/>
          </w:tcPr>
          <w:p>
            <w:pPr>
              <w:spacing w:after="80"/>
            </w:pPr>
            <w:r>
              <w:t xml:space="preserve">LDAP signing, LDAP channel binding, SMB signing, NLA for RDP, Print Spooler, LSASS protection, WDigest, Credential Guard, audit policy</w:t>
            </w:r>
          </w:p>
        </w:tc>
        <w:tc>
          <w:tcPr>
            <w:tcW w:w="2340" w:type="dxa"/>
            <w:shd w:val="clear" w:color="auto" w:fill="EBF3FB"/>
          </w:tcPr>
          <w:p>
            <w:pPr>
              <w:spacing w:after="80"/>
            </w:pPr>
            <w:r>
              <w:t xml:space="preserve">Registry/GPO changes with approval</w:t>
            </w:r>
          </w:p>
        </w:tc>
      </w:tr>
      <w:tr>
        <w:tc>
          <w:tcPr>
            <w:tcW w:w="2340" w:type="dxa"/>
            <w:shd w:val="clear" w:color="auto" w:fill="FFFFFF"/>
          </w:tcPr>
          <w:p>
            <w:pPr>
              <w:spacing w:after="80"/>
            </w:pPr>
            <w:r>
              <w:t xml:space="preserve">M8</w:t>
            </w:r>
          </w:p>
        </w:tc>
        <w:tc>
          <w:tcPr>
            <w:tcW w:w="2340" w:type="dxa"/>
            <w:shd w:val="clear" w:color="auto" w:fill="FFFFFF"/>
          </w:tcPr>
          <w:p>
            <w:pPr>
              <w:spacing w:after="80"/>
            </w:pPr>
            <w:r>
              <w:t xml:space="preserve">Group Policy Cleanup</w:t>
            </w:r>
          </w:p>
        </w:tc>
        <w:tc>
          <w:tcPr>
            <w:tcW w:w="2340" w:type="dxa"/>
            <w:shd w:val="clear" w:color="auto" w:fill="FFFFFF"/>
          </w:tcPr>
          <w:p>
            <w:pPr>
              <w:spacing w:after="80"/>
            </w:pPr>
            <w:r>
              <w:t xml:space="preserve">Unlinked GPOs, empty GPOs, disabled GPOs, Default Domain Policy modifications, SYSVOL orphans, non-standard GPO permissions</w:t>
            </w:r>
          </w:p>
        </w:tc>
        <w:tc>
          <w:tcPr>
            <w:tcW w:w="2340" w:type="dxa"/>
            <w:shd w:val="clear" w:color="auto" w:fill="FFFFFF"/>
          </w:tcPr>
          <w:p>
            <w:pPr>
              <w:spacing w:after="80"/>
            </w:pPr>
            <w:r>
              <w:t xml:space="preserve">Backup-first; disable or delete with approval</w:t>
            </w:r>
          </w:p>
        </w:tc>
      </w:tr>
      <w:tr>
        <w:tc>
          <w:tcPr>
            <w:tcW w:w="2340" w:type="dxa"/>
            <w:shd w:val="clear" w:color="auto" w:fill="EBF3FB"/>
          </w:tcPr>
          <w:p>
            <w:pPr>
              <w:spacing w:after="80"/>
            </w:pPr>
            <w:r>
              <w:t xml:space="preserve">M9</w:t>
            </w:r>
          </w:p>
        </w:tc>
        <w:tc>
          <w:tcPr>
            <w:tcW w:w="2340" w:type="dxa"/>
            <w:shd w:val="clear" w:color="auto" w:fill="EBF3FB"/>
          </w:tcPr>
          <w:p>
            <w:pPr>
              <w:spacing w:after="80"/>
            </w:pPr>
            <w:r>
              <w:t xml:space="preserve">Security Group Hygiene</w:t>
            </w:r>
          </w:p>
        </w:tc>
        <w:tc>
          <w:tcPr>
            <w:tcW w:w="2340" w:type="dxa"/>
            <w:shd w:val="clear" w:color="auto" w:fill="EBF3FB"/>
          </w:tcPr>
          <w:p>
            <w:pPr>
              <w:spacing w:after="80"/>
            </w:pPr>
            <w:r>
              <w:t xml:space="preserve">Empty groups, disabled accounts in groups, circular nesting, large universal groups, AdminSDHolder remnants, mail-enabled security groups</w:t>
            </w:r>
          </w:p>
        </w:tc>
        <w:tc>
          <w:tcPr>
            <w:tcW w:w="2340" w:type="dxa"/>
            <w:shd w:val="clear" w:color="auto" w:fill="EBF3FB"/>
          </w:tcPr>
          <w:p>
            <w:pPr>
              <w:spacing w:after="80"/>
            </w:pPr>
            <w:r>
              <w:t xml:space="preserve">Removes disabled accounts; clears AdminCount with approval</w:t>
            </w:r>
          </w:p>
        </w:tc>
      </w:tr>
      <w:tr>
        <w:tc>
          <w:tcPr>
            <w:tcW w:w="2340" w:type="dxa"/>
            <w:shd w:val="clear" w:color="auto" w:fill="FFFFFF"/>
          </w:tcPr>
          <w:p>
            <w:pPr>
              <w:spacing w:after="80"/>
            </w:pPr>
            <w:r>
              <w:t xml:space="preserve">M10</w:t>
            </w:r>
          </w:p>
        </w:tc>
        <w:tc>
          <w:tcPr>
            <w:tcW w:w="2340" w:type="dxa"/>
            <w:shd w:val="clear" w:color="auto" w:fill="FFFFFF"/>
          </w:tcPr>
          <w:p>
            <w:pPr>
              <w:spacing w:after="80"/>
            </w:pPr>
            <w:r>
              <w:t xml:space="preserve">Delegated Permissions</w:t>
            </w:r>
          </w:p>
        </w:tc>
        <w:tc>
          <w:tcPr>
            <w:tcW w:w="2340" w:type="dxa"/>
            <w:shd w:val="clear" w:color="auto" w:fill="FFFFFF"/>
          </w:tcPr>
          <w:p>
            <w:pPr>
              <w:spacing w:after="80"/>
            </w:pPr>
            <w:r>
              <w:t xml:space="preserve">DCSync rights, domain root high-risk ACEs, AdminSDHolder backdoor ACEs, DC OU delegation, DnsAdmins membership, DC object delegation</w:t>
            </w:r>
          </w:p>
        </w:tc>
        <w:tc>
          <w:tcPr>
            <w:tcW w:w="2340" w:type="dxa"/>
            <w:shd w:val="clear" w:color="auto" w:fill="FFFFFF"/>
          </w:tcPr>
          <w:p>
            <w:pPr>
              <w:spacing w:after="80"/>
            </w:pPr>
            <w:r>
              <w:t xml:space="preserve">DC OU ACE removal with approval; others audit-only</w:t>
            </w:r>
          </w:p>
        </w:tc>
      </w:tr>
      <w:tr>
        <w:tc>
          <w:tcPr>
            <w:tcW w:w="2340" w:type="dxa"/>
            <w:shd w:val="clear" w:color="auto" w:fill="EBF3FB"/>
          </w:tcPr>
          <w:p>
            <w:pPr>
              <w:spacing w:after="80"/>
            </w:pPr>
            <w:r>
              <w:t xml:space="preserve">M11</w:t>
            </w:r>
          </w:p>
        </w:tc>
        <w:tc>
          <w:tcPr>
            <w:tcW w:w="2340" w:type="dxa"/>
            <w:shd w:val="clear" w:color="auto" w:fill="EBF3FB"/>
          </w:tcPr>
          <w:p>
            <w:pPr>
              <w:spacing w:after="80"/>
            </w:pPr>
            <w:r>
              <w:t xml:space="preserve">Stale Account Quarantine</w:t>
            </w:r>
          </w:p>
        </w:tc>
        <w:tc>
          <w:tcPr>
            <w:tcW w:w="2340" w:type="dxa"/>
            <w:shd w:val="clear" w:color="auto" w:fill="EBF3FB"/>
          </w:tcPr>
          <w:p>
            <w:pPr>
              <w:spacing w:after="80"/>
            </w:pPr>
            <w:r>
              <w:t xml:space="preserve">User and computer accounts inactive beyond configurable threshold (default 90 days), with Hybrid Azure AD cross-reference guidance</w:t>
            </w:r>
          </w:p>
        </w:tc>
        <w:tc>
          <w:tcPr>
            <w:tcW w:w="2340" w:type="dxa"/>
            <w:shd w:val="clear" w:color="auto" w:fill="EBF3FB"/>
          </w:tcPr>
          <w:p>
            <w:pPr>
              <w:spacing w:after="80"/>
            </w:pPr>
            <w:r>
              <w:t xml:space="preserve">Bulk approval; disables and moves to Quarantine OU</w:t>
            </w:r>
          </w:p>
        </w:tc>
      </w:tr>
      <w:tr>
        <w:tc>
          <w:tcPr>
            <w:tcW w:w="2340" w:type="dxa"/>
            <w:shd w:val="clear" w:color="auto" w:fill="FFFFFF"/>
          </w:tcPr>
          <w:p>
            <w:pPr>
              <w:spacing w:after="80"/>
            </w:pPr>
            <w:r>
              <w:t xml:space="preserve">M12</w:t>
            </w:r>
          </w:p>
        </w:tc>
        <w:tc>
          <w:tcPr>
            <w:tcW w:w="2340" w:type="dxa"/>
            <w:shd w:val="clear" w:color="auto" w:fill="FFFFFF"/>
          </w:tcPr>
          <w:p>
            <w:pPr>
              <w:spacing w:after="80"/>
            </w:pPr>
            <w:r>
              <w:t xml:space="preserve">Privileged Group Review</w:t>
            </w:r>
          </w:p>
        </w:tc>
        <w:tc>
          <w:tcPr>
            <w:tcW w:w="2340" w:type="dxa"/>
            <w:shd w:val="clear" w:color="auto" w:fill="FFFFFF"/>
          </w:tcPr>
          <w:p>
            <w:pPr>
              <w:spacing w:after="80"/>
            </w:pPr>
            <w:r>
              <w:t xml:space="preserve">Domain Admins, Enterprise Admins, Schema Admins and six further privileged groups -- new members, stale accounts, service accounts, nested groups</w:t>
            </w:r>
          </w:p>
        </w:tc>
        <w:tc>
          <w:tcPr>
            <w:tcW w:w="2340" w:type="dxa"/>
            <w:shd w:val="clear" w:color="auto" w:fill="FFFFFF"/>
          </w:tcPr>
          <w:p>
            <w:pPr>
              <w:spacing w:after="80"/>
            </w:pPr>
            <w:r>
              <w:t xml:space="preserve">Removes members with approval (account not deleted)</w:t>
            </w:r>
          </w:p>
        </w:tc>
      </w:tr>
    </w:tbl>
    <w:p/>
    <w:p>
      <w:pPr>
        <w:pStyle w:val="Heading1"/>
      </w:pPr>
      <w:r>
        <w:t xml:space="preserve">Compliance Alignment</w:t>
      </w:r>
    </w:p>
    <w:p>
      <w:pPr>
        <w:pStyle w:val="Heading2"/>
      </w:pPr>
      <w:r>
        <w:t xml:space="preserve">CIS Benchmark Level 1 -- Windows Server 2022 / 2025</w:t>
      </w:r>
    </w:p>
    <w:p>
      <w:r>
        <w:t xml:space="preserve">All technical checks in the proposed solution will be sourced from the CIS (Center for Internet Security) Benchmark Level 1 profile for Windows Server 2022 and 2025. CIS Level 1 represents the universally recommended security baseline -- controls are precise, directly auditable, and designed to be implementable without material impact to business operations. Each finding produced by the tool will include the applicable CIS control reference and benchmark level.</w:t>
      </w:r>
    </w:p>
    <w:p>
      <w:pPr>
        <w:pStyle w:val="Heading2"/>
      </w:pPr>
      <w:r>
        <w:t xml:space="preserve">NIST SP 800-53</w:t>
      </w:r>
    </w:p>
    <w:p>
      <w:r>
        <w:t xml:space="preserve">Every finding will also be tagged with the corresponding NIST Special Publication 800-53 control identifier, enabling MetLife to map remediation activity directly to its governance and risk management framework. The HTML report will include a NIST control cross-reference summary grouped by control family (AC -- Access Control, CM -- Configuration Management, IA -- Identification and Authentication, SC -- System and Communications Protection, AU -- Audit, SI -- System Integrity).</w:t>
      </w:r>
    </w:p>
    <w:p>
      <w:pPr>
        <w:pStyle w:val="Heading1"/>
      </w:pPr>
      <w:r>
        <w:t xml:space="preserve">How We Will Work</w:t>
      </w:r>
    </w:p>
    <w:p>
      <w:pPr>
        <w:pStyle w:val="Heading2"/>
      </w:pPr>
      <w:r>
        <w:t xml:space="preserve">Human Approval Before Every Change</w:t>
      </w:r>
    </w:p>
    <w:p>
      <w:r>
        <w:t xml:space="preserve">No change will ever be made to Active Directory without explicit operator approval. For each remediable finding, the operator will be shown the exact action proposed, the full impact if the change is applied incorrectly, and step-by-step rollback instructions -- before any approval prompt is displayed. For HIGH and CRITICAL risk changes, the operator will be required to type the target object name exactly, providing a typed confirmation that the action has been reviewed and is intentional.</w:t>
      </w:r>
    </w:p>
    <w:p>
      <w:pPr>
        <w:pStyle w:val="Heading2"/>
      </w:pPr>
      <w:r>
        <w:t xml:space="preserve">No Objects Will Ever Be Deleted</w:t>
      </w:r>
    </w:p>
    <w:p>
      <w:r>
        <w:t xml:space="preserve">The agent follows a safe-by-default design. Stale user and computer accounts will be quarantined -- disabled and moved to a dedicated Quarantine OU with a description recording the date and reason -- rather than deleted. Group Policy Objects will be disabled and backed up before any deletion is offered, providing a recovery window. Deletion of any object will require a distinct, separate approval step.</w:t>
      </w:r>
    </w:p>
    <w:p>
      <w:pPr>
        <w:pStyle w:val="Heading2"/>
      </w:pPr>
      <w:r>
        <w:t xml:space="preserve">Full Audit Trail</w:t>
      </w:r>
    </w:p>
    <w:p>
      <w:r>
        <w:t xml:space="preserve">Every run of the agent will produce a structured CSV activity log and an HTML report. Each entry will record the timestamp, milestone, finding type, target object distinguished name, severity rating, CIS and NIST control references, the operator's decision, and the outcome of any change applied. These logs will be retained in a configurable output directory and are suitable for direct submission as audit evidence.</w:t>
      </w:r>
    </w:p>
    <w:p>
      <w:pPr>
        <w:pStyle w:val="Heading2"/>
      </w:pPr>
      <w:r>
        <w:t xml:space="preserve">Baseline and Ongoing Drift Tracking</w:t>
      </w:r>
    </w:p>
    <w:p>
      <w:r>
        <w:t xml:space="preserve">Once MetLife's DC upgrade is complete and an initial remediation wave has been run, the agent will snapshot the environment into a signed baseline. All subsequent Discover or Remediate runs will compare against this baseline, clearly categorising each finding as New (potential regression or new risk), Persisting (known and accepted), or Resolved (successfully remediated). This positions the agent as an ongoing monitoring tool, not just a one-time assessment.</w:t>
      </w:r>
    </w:p>
    <w:p>
      <w:pPr>
        <w:pStyle w:val="Heading1"/>
      </w:pPr>
      <w:r>
        <w:t xml:space="preserve">Proposed Engagement Phases</w:t>
      </w:r>
    </w:p>
    <w:p>
      <w:r>
        <w:t xml:space="preserve">We propose to structure the engagement in four sequential phases, aligned with MetLife's DC upgrade timeline:</w:t>
      </w:r>
    </w:p>
    <w:p>
      <w:pPr>
        <w:pStyle w:val="Heading2"/>
      </w:pPr>
      <w:r>
        <w:t xml:space="preserve">Phase 1 -- Initial Assessment (Discover)</w:t>
      </w:r>
    </w:p>
    <w:p>
      <w:r>
        <w:t xml:space="preserve">Run the agent in Discover mode across all 12 milestones to establish a current-state findings report. Fusion5 will review the output with MetLife's AD team, prioritise findings by risk, and agree a remediation roadmap. This phase requires no changes to Active Directory and can begin immediately upon engagement confirmation.</w:t>
      </w:r>
    </w:p>
    <w:p>
      <w:pPr>
        <w:pStyle w:val="Heading2"/>
      </w:pPr>
      <w:r>
        <w:t xml:space="preserve">Phase 2 -- Pre-Upgrade Remediation</w:t>
      </w:r>
    </w:p>
    <w:p>
      <w:r>
        <w:t xml:space="preserve">Work through the agreed high-priority milestones in Remediate mode before the DC upgrade begins. Recommended starting points are M4 (Unconstrained Delegation), M10 (Delegated Permissions), M7 (DC Hardening), M12 (Privileged Group Review), and M6 (Kerberos Configuration). All changes will be reviewed and approved by MetLife's AD team at the CLI before execution.</w:t>
      </w:r>
    </w:p>
    <w:p>
      <w:pPr>
        <w:pStyle w:val="Heading2"/>
      </w:pPr>
      <w:r>
        <w:t xml:space="preserve">Phase 3 -- DC Upgrade to Windows Server 2025</w:t>
      </w:r>
    </w:p>
    <w:p>
      <w:r>
        <w:t xml:space="preserve">Execute the Domain Controller upgrade using the swing migration approach to preserve DC IP addresses and minimise disruption to IP-bound applications. Fusion5 will provide technical guidance throughout, using the M1 readiness report to sequence the upgrade and validate each DC post-migration. This milestone is manual and change-controlled.</w:t>
      </w:r>
    </w:p>
    <w:p>
      <w:pPr>
        <w:pStyle w:val="Heading2"/>
      </w:pPr>
      <w:r>
        <w:t xml:space="preserve">Phase 4 -- Post-Upgrade Baseline and Ongoing Monitoring</w:t>
      </w:r>
    </w:p>
    <w:p>
      <w:r>
        <w:t xml:space="preserve">Once all DCs are confirmed on Windows Server 2025, run Mode Baseline to snapshot the post-upgrade, post-remediation state as the approved reference. Fusion5 recommends scheduling weekly Discover runs via Windows Task Scheduler to provide ongoing visibility of AD drift, with quarterly reviews of the drift report as part of MetLife's security operations cadence.</w:t>
      </w:r>
    </w:p>
    <w:p>
      <w:pPr>
        <w:pStyle w:val="Heading1"/>
      </w:pPr>
      <w:r>
        <w:t xml:space="preserve">Why Fusion5</w:t>
      </w:r>
    </w:p>
    <w:p>
      <w:pPr>
        <w:pStyle w:val="Heading2"/>
      </w:pPr>
      <w:r>
        <w:t xml:space="preserve">Purpose-Built Tooling</w:t>
      </w:r>
    </w:p>
    <w:p>
      <w:r>
        <w:t xml:space="preserve">Rather than relying on generic security scanning tools, Fusion5 has invested in developing an engagement-specific automation framework tailored to MetLife's environment -- accounting for the hybrid Azure AD join configuration, the Windows Hello for Business Kerberos hybrid trust topology, and the IP-bound application dependencies on DC addresses. This approach ensures that findings and remediation steps are directly applicable, not generic.</w:t>
      </w:r>
    </w:p>
    <w:p>
      <w:pPr>
        <w:pStyle w:val="Heading2"/>
      </w:pPr>
      <w:r>
        <w:t xml:space="preserve">Safe, Controlled Remediation</w:t>
      </w:r>
    </w:p>
    <w:p>
      <w:r>
        <w:t xml:space="preserve">Our human-in-the-loop design means MetLife retains full control at every step. Nothing changes without approval, every action is logged, and every change comes with rollback instructions. This makes the engagement suitable for a production environment where stability is paramount.</w:t>
      </w:r>
    </w:p>
    <w:p>
      <w:pPr>
        <w:pStyle w:val="Heading2"/>
      </w:pPr>
      <w:r>
        <w:t xml:space="preserve">Compliance-Ready Output</w:t>
      </w:r>
    </w:p>
    <w:p>
      <w:r>
        <w:t xml:space="preserve">Every finding produced by the agent maps to a CIS Benchmark Level 1 control and a NIST SP 800-53 identifier. The HTML reports are structured for direct submission as audit evidence, reducing the overhead of translating technical findings into governance documentation.</w:t>
      </w:r>
    </w:p>
    <w:p>
      <w:pPr>
        <w:pStyle w:val="Heading2"/>
      </w:pPr>
      <w:r>
        <w:t xml:space="preserve">Knowledge Transfer</w:t>
      </w:r>
    </w:p>
    <w:p>
      <w:r>
        <w:t xml:space="preserve">The AD Remediation Agent and all associated tooling will be handed over to MetLife at the conclusion of the engagement. MetLife's AD team will be able to run Discover and Report modes independently on an ongoing basis, with Fusion5 available for support, guided remediation sessions, or future module development as requirements evolve.</w:t>
      </w:r>
    </w:p>
    <w:p>
      <w:pPr>
        <w:pStyle w:val="Heading1"/>
      </w:pPr>
      <w:r>
        <w:t xml:space="preserve">Proposed Next Steps</w:t>
      </w:r>
    </w:p>
    <w:p>
      <w:r>
        <w:t xml:space="preserve">We welcome the opportunity to discuss this proposal with MetLife's team and tailor the scope and phasing to fit the DC upgrade timeline. The following steps are proposed to move forward:</w:t>
      </w:r>
    </w:p>
    <w:p>
      <w:pPr>
        <w:pStyle w:val="ListNumber"/>
      </w:pPr>
      <w:r>
        <w:t xml:space="preserve">Review and confirm the proposed scope of work with MetLife's AD and security teams</w:t>
      </w:r>
    </w:p>
    <w:p>
      <w:pPr>
        <w:pStyle w:val="ListNumber"/>
      </w:pPr>
      <w:r>
        <w:t xml:space="preserve">Agree engagement timelines aligned to the planned DC upgrade programme</w:t>
      </w:r>
    </w:p>
    <w:p>
      <w:pPr>
        <w:pStyle w:val="ListNumber"/>
      </w:pPr>
      <w:r>
        <w:t xml:space="preserve">Confirm access requirements -- a domain-joined machine and a read-privileged account are sufficient to begin Phase 1 in Discover mode</w:t>
      </w:r>
    </w:p>
    <w:p>
      <w:pPr>
        <w:pStyle w:val="ListNumber"/>
      </w:pPr>
      <w:r>
        <w:t xml:space="preserve">Schedule a technical walkthrough session with MetLife's AD team to introduce the tooling and review the Phase 1 approach</w:t>
      </w:r>
    </w:p>
    <w:p>
      <w:pPr>
        <w:pStyle w:val="ListNumber"/>
      </w:pPr>
      <w:r>
        <w:t xml:space="preserve">Execute a Statement of Work and commence Phase 1</w:t>
      </w:r>
    </w:p>
    <w:p/>
    <w:p>
      <w:r>
        <w:t xml:space="preserve">Please contact your Fusion5 account manager to discuss this proposal or to arrange a technical demonstration of the AD Remediation Agent.</w:t>
      </w:r>
    </w:p>
    <w:sectPr>
      <w:pgSz w:w="12240" w:h="15840"/>
      <w:pgMar w:top="1440" w:right="1800" w:bottom="1440" w:left="180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rPr>
        <w:sz w:val="24"/>
      </w:rPr>
    </w:lvl>
    <w:lvl w:ilvl="1">
      <w:start w:val="1"/>
      <w:numFmt w:val="bullet"/>
      <w:lvlText w:val="◦"/>
      <w:lvlJc w:val="left"/>
      <w:pPr>
        <w:ind w:left="1440" w:hanging="360"/>
      </w:pPr>
    </w:lvl>
  </w:abstractNum>
  <w:abstractNum w:abstractNumId="1">
    <w:multiLevelType w:val="hybridMultilevel"/>
    <w:lvl w:ilvl="0">
      <w:start w:val="1"/>
      <w:numFmt w:val="decimal"/>
      <w:lvlText w:val="%1."/>
      <w:lvlJc w:val="left"/>
      <w:pPr>
        <w:ind w:left="720" w:hanging="360"/>
      </w:pPr>
    </w:lvl>
  </w:abstractNum>
  <w:num w:numId="1">
    <w:abstractNumId w:val="0"/>
  </w:num>
  <w:num w:numId="2">
    <w:abstractNumId w:val="1"/>
  </w:num>
</w:numbering>
</file>

<file path=word/styles.xml><?xml version="1.0" encoding="utf-8"?>
<w:styles xmlns:w="http://schemas.openxmlformats.org/wordprocessingml/2006/main">
  <w:docDefaults>
    <w:rPrDefault>
      <w:rPr>
        <w:rFonts w:ascii="Calibri" w:hAnsi="Calibri"/>
        <w:sz w:val="24"/>
        <w:szCs w:val="24"/>
      </w:rPr>
    </w:rPrDefault>
  </w:docDefaults>
  <w:style w:type="paragraph" w:styleId="Normal" w:default="1">
    <w:name w:val="Normal"/>
    <w:pPr>
      <w:spacing w:after="160" w:line="276" w:lineRule="auto"/>
    </w:pPr>
    <w:rPr>
      <w:rFonts w:ascii="Calibri" w:hAnsi="Calibri"/>
      <w:sz w:val="24"/>
      <w:szCs w:val="24"/>
    </w:rPr>
  </w:style>
  <w:style w:type="paragraph" w:styleId="Heading1">
    <w:name w:val="heading 1"/>
    <w:basedOn w:val="Normal"/>
    <w:next w:val="Normal"/>
    <w:pPr>
      <w:outlineLvl w:val="0"/>
      <w:spacing w:before="480" w:after="160"/>
      <w:keepNext/>
    </w:pPr>
    <w:rPr>
      <w:b/>
      <w:rFonts w:ascii="Calibri" w:hAnsi="Calibri"/>
      <w:sz w:val="36"/>
      <w:szCs w:val="36"/>
      <w:color w:val="1F3864"/>
    </w:rPr>
  </w:style>
  <w:style w:type="paragraph" w:styleId="Heading2">
    <w:name w:val="heading 2"/>
    <w:basedOn w:val="Normal"/>
    <w:next w:val="Normal"/>
    <w:pPr>
      <w:outlineLvl w:val="1"/>
      <w:spacing w:before="320" w:after="120"/>
      <w:keepNext/>
    </w:pPr>
    <w:rPr>
      <w:b/>
      <w:rFonts w:ascii="Calibri" w:hAnsi="Calibri"/>
      <w:sz w:val="28"/>
      <w:szCs w:val="28"/>
      <w:color w:val="2E74B5"/>
    </w:rPr>
  </w:style>
  <w:style w:type="paragraph" w:styleId="Title">
    <w:name w:val="Title"/>
    <w:basedOn w:val="Normal"/>
    <w:pPr>
      <w:jc w:val="center"/>
      <w:spacing w:before="0" w:after="240"/>
    </w:pPr>
    <w:rPr>
      <w:b/>
      <w:rFonts w:ascii="Calibri" w:hAnsi="Calibri"/>
      <w:sz w:val="56"/>
      <w:szCs w:val="56"/>
      <w:color w:val="1F3864"/>
    </w:rPr>
  </w:style>
  <w:style w:type="paragraph" w:styleId="Subtitle">
    <w:name w:val="Subtitle"/>
    <w:basedOn w:val="Normal"/>
    <w:pPr>
      <w:jc w:val="center"/>
      <w:spacing w:after="160"/>
    </w:pPr>
    <w:rPr>
      <w:i/>
      <w:rFonts w:ascii="Calibri" w:hAnsi="Calibri"/>
      <w:sz w:val="32"/>
      <w:szCs w:val="32"/>
      <w:color w:val="595959"/>
    </w:rPr>
  </w:style>
  <w:style w:type="paragraph" w:styleId="ListBullet">
    <w:name w:val="List Bullet"/>
    <w:basedOn w:val="Normal"/>
    <w:pPr>
      <w:spacing w:after="80"/>
      <w:numPr>
        <w:ilvl w:val="0"/>
        <w:numId w:val="1"/>
      </w:numPr>
    </w:pPr>
  </w:style>
  <w:style w:type="paragraph" w:styleId="ListNumber">
    <w:name w:val="List Number"/>
    <w:basedOn w:val="Normal"/>
    <w:pPr>
      <w:spacing w:after="80"/>
      <w:numPr>
        <w:ilvl w:val="0"/>
        <w:numId w:val="2"/>
      </w:numPr>
    </w:pPr>
  </w:style>
  <w:style w:type="paragraph" w:styleId="CodeBlock">
    <w:name w:val="Code Block"/>
    <w:basedOn w:val="Normal"/>
    <w:pPr>
      <w:spacing w:before="120" w:after="120"/>
      <w:shd w:val="clear" w:color="auto" w:fill="F2F2F2"/>
    </w:pPr>
    <w:rPr>
      <w:rFonts w:ascii="Courier New" w:hAnsi="Courier New"/>
      <w:sz w:val="20"/>
      <w:szCs w:val="20"/>
      <w:color w:val="333333"/>
    </w:rPr>
  </w:style>
  <w:style w:type="table" w:styleId="TableGrid">
    <w:name w:val="Table Grid"/>
    <w:tblP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s>
</file>