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Active Directory Remediation and Hardening</w:t>
      </w:r>
    </w:p>
    <w:p>
      <w:pPr>
        <w:pStyle w:val="Subtitle"/>
      </w:pPr>
      <w:r>
        <w:t xml:space="preserve">Delivery Summary</w:t>
      </w:r>
    </w:p>
    <w:p/>
    <w:p>
      <w:pPr>
        <w:spacing w:after="80"/>
      </w:pPr>
      <w:r>
        <w:rPr>
          <w:b/>
        </w:rPr>
        <w:t xml:space="preserve">Prepared for:  </w:t>
      </w:r>
      <w:r>
        <w:t xml:space="preserve">MetLife</w:t>
      </w:r>
    </w:p>
    <w:p>
      <w:pPr>
        <w:spacing w:after="80"/>
      </w:pPr>
      <w:r>
        <w:rPr>
          <w:b/>
        </w:rPr>
        <w:t xml:space="preserve">Prepared by:  </w:t>
      </w:r>
      <w:r>
        <w:t xml:space="preserve">Fusion5</w:t>
      </w:r>
    </w:p>
    <w:p>
      <w:pPr>
        <w:spacing w:after="80"/>
      </w:pPr>
      <w:r>
        <w:rPr>
          <w:b/>
        </w:rPr>
        <w:t xml:space="preserve">Date:  </w:t>
      </w:r>
      <w:r>
        <w:t xml:space="preserve">March 2026</w:t>
      </w:r>
    </w:p>
    <w:p/>
    <w:p>
      <w:r>
        <w:br w:type="page"/>
      </w:r>
    </w:p>
    <w:p>
      <w:pPr>
        <w:pStyle w:val="Heading1"/>
      </w:pPr>
      <w:r>
        <w:t xml:space="preserve">Executive Summary</w:t>
      </w:r>
    </w:p>
    <w:p>
      <w:r>
        <w:t xml:space="preserve">Fusion5 has delivered the AD Remediation Agent -- a purpose-built Active Directory security assessment and remediation tool developed specifically for MetLife's environment. The solution provides a structured, repeatable, and fully auditable approach to identifying and resolving Active Directory security risks across 12 defined areas, from Domain Controller health and baseline configuration through to privileged access governance and delegated permissions.</w:t>
      </w:r>
    </w:p>
    <w:p>
      <w:r>
        <w:t xml:space="preserve">The tool is designed to operate safely in a production environment. Every remediation action requires explicit operator approval before it is executed, and a full audit trail is maintained for all findings, approvals, and actions taken. No Active Directory objects are ever deleted -- stale accounts are quarantined through a disable-and-move process, and all changes can be rolled back using documented steps provided at the time of approval.</w:t>
      </w:r>
    </w:p>
    <w:p>
      <w:r>
        <w:t xml:space="preserve">The AD Remediation Agent maps every finding to the CIS Benchmark Level 1 controls for Windows Server 2022/2025 and to NIST SP 800-53 control identifiers. This means the output is directly suitable for inclusion in audit evidence packages and risk register updates, in addition to its operational use as a remediation guide.</w:t>
      </w:r>
    </w:p>
    <w:p>
      <w:pPr>
        <w:pStyle w:val="Heading1"/>
      </w:pPr>
      <w:r>
        <w:t xml:space="preserve">Engagement Objectives</w:t>
      </w:r>
    </w:p>
    <w:p>
      <w:pPr>
        <w:pStyle w:val="ListBullet"/>
      </w:pPr>
      <w:r>
        <w:t xml:space="preserve">Assess MetLife's Active Directory security posture against the CIS Benchmark Level 1 standard for Windows Server 2022/2025</w:t>
      </w:r>
    </w:p>
    <w:p>
      <w:pPr>
        <w:pStyle w:val="ListBullet"/>
      </w:pPr>
      <w:r>
        <w:t xml:space="preserve">Identify and remediate security risks across 12 Active Directory domains, from DC health to privileged access</w:t>
      </w:r>
    </w:p>
    <w:p>
      <w:pPr>
        <w:pStyle w:val="ListBullet"/>
      </w:pPr>
      <w:r>
        <w:t xml:space="preserve">Support the planned Domain Controller upgrade from Windows Server 2019 to Windows Server 2025, including upgrade readiness assessment and post-upgrade hardening</w:t>
      </w:r>
    </w:p>
    <w:p>
      <w:pPr>
        <w:pStyle w:val="ListBullet"/>
      </w:pPr>
      <w:r>
        <w:t xml:space="preserve">Establish a repeatable, audit-ready AD security review process that MetLife can run on an ongoing basis</w:t>
      </w:r>
    </w:p>
    <w:p>
      <w:pPr>
        <w:pStyle w:val="ListBullet"/>
      </w:pPr>
      <w:r>
        <w:t xml:space="preserve">Generate compliance evidence aligned to NIST SP 800-53 for governance and audit reporting</w:t>
      </w:r>
    </w:p>
    <w:p>
      <w:pPr>
        <w:pStyle w:val="ListBullet"/>
      </w:pPr>
      <w:r>
        <w:t xml:space="preserve">Account for MetLife's Hybrid Azure AD Join environment and Windows Hello for Business Kerberos hybrid trust configuration</w:t>
      </w:r>
    </w:p>
    <w:p>
      <w:pPr>
        <w:pStyle w:val="Heading1"/>
      </w:pPr>
      <w:r>
        <w:t xml:space="preserve">Solution Overview</w:t>
      </w:r>
    </w:p>
    <w:p>
      <w:r>
        <w:t xml:space="preserve">The AD Remediation Agent is a PowerShell-based tool that runs from any domain-joined Windows machine or Privileged Access Workstation. It requires no additional software installation beyond standard Windows Remote Server Administration Tools (RSAT) and is compatible with PowerShell 5.1, which ships in-box on both Windows Server 2019 and 2025.</w:t>
      </w:r>
    </w:p>
    <w:p>
      <w:r>
        <w:t xml:space="preserve">The agent operates in four modes, providing flexibility to run as an audit-only tool, a one-time remediation assistant, or a recurring monitoring solution:</w:t>
      </w:r>
    </w:p>
    <w:p/>
    <w:tbl>
      <w:tblPr>
        <w:tblStyle w:val="TableGrid"/>
        <w:tblW w:w="9360" w:type="dxa"/>
      </w:tblPr>
      <w:tblGrid>
        <w:gridCol w:w="3120"/>
        <w:gridCol w:w="3120"/>
        <w:gridCol w:w="3120"/>
      </w:tblGrid>
      <w:tr>
        <w:tc>
          <w:tcPr>
            <w:tcW w:w="3120" w:type="dxa"/>
            <w:shd w:val="clear" w:color="auto" w:fill="2E74B5"/>
          </w:tcPr>
          <w:p>
            <w:pPr>
              <w:spacing w:after="80"/>
            </w:pPr>
            <w:r>
              <w:rPr>
                <w:b/>
                <w:color w:val="FFFFFF"/>
              </w:rPr>
              <w:t xml:space="preserve">Mode</w:t>
            </w:r>
          </w:p>
        </w:tc>
        <w:tc>
          <w:tcPr>
            <w:tcW w:w="3120" w:type="dxa"/>
            <w:shd w:val="clear" w:color="auto" w:fill="2E74B5"/>
          </w:tcPr>
          <w:p>
            <w:pPr>
              <w:spacing w:after="80"/>
            </w:pPr>
            <w:r>
              <w:rPr>
                <w:b/>
                <w:color w:val="FFFFFF"/>
              </w:rPr>
              <w:t xml:space="preserve">Purpose</w:t>
            </w:r>
          </w:p>
        </w:tc>
        <w:tc>
          <w:tcPr>
            <w:tcW w:w="3120" w:type="dxa"/>
            <w:shd w:val="clear" w:color="auto" w:fill="2E74B5"/>
          </w:tcPr>
          <w:p>
            <w:pPr>
              <w:spacing w:after="80"/>
            </w:pPr>
            <w:r>
              <w:rPr>
                <w:b/>
                <w:color w:val="FFFFFF"/>
              </w:rPr>
              <w:t xml:space="preserve">Changes Made</w:t>
            </w:r>
          </w:p>
        </w:tc>
      </w:tr>
      <w:tr>
        <w:tc>
          <w:tcPr>
            <w:tcW w:w="3120" w:type="dxa"/>
            <w:shd w:val="clear" w:color="auto" w:fill="EBF3FB"/>
          </w:tcPr>
          <w:p>
            <w:pPr>
              <w:spacing w:after="80"/>
            </w:pPr>
            <w:r>
              <w:t xml:space="preserve">Discover</w:t>
            </w:r>
          </w:p>
        </w:tc>
        <w:tc>
          <w:tcPr>
            <w:tcW w:w="3120" w:type="dxa"/>
            <w:shd w:val="clear" w:color="auto" w:fill="EBF3FB"/>
          </w:tcPr>
          <w:p>
            <w:pPr>
              <w:spacing w:after="80"/>
            </w:pPr>
            <w:r>
              <w:t xml:space="preserve">Runs all checks and produces a findings report with CIS and NIST annotations. Recommended for initial assessment and ongoing monitoring.</w:t>
            </w:r>
          </w:p>
        </w:tc>
        <w:tc>
          <w:tcPr>
            <w:tcW w:w="3120" w:type="dxa"/>
            <w:shd w:val="clear" w:color="auto" w:fill="EBF3FB"/>
          </w:tcPr>
          <w:p>
            <w:pPr>
              <w:spacing w:after="80"/>
            </w:pPr>
            <w:r>
              <w:t xml:space="preserve">None</w:t>
            </w:r>
          </w:p>
        </w:tc>
      </w:tr>
      <w:tr>
        <w:tc>
          <w:tcPr>
            <w:tcW w:w="3120" w:type="dxa"/>
            <w:shd w:val="clear" w:color="auto" w:fill="FFFFFF"/>
          </w:tcPr>
          <w:p>
            <w:pPr>
              <w:spacing w:after="80"/>
            </w:pPr>
            <w:r>
              <w:t xml:space="preserve">Baseline</w:t>
            </w:r>
          </w:p>
        </w:tc>
        <w:tc>
          <w:tcPr>
            <w:tcW w:w="3120" w:type="dxa"/>
            <w:shd w:val="clear" w:color="auto" w:fill="FFFFFF"/>
          </w:tcPr>
          <w:p>
            <w:pPr>
              <w:spacing w:after="80"/>
            </w:pPr>
            <w:r>
              <w:t xml:space="preserve">Snapshots the current state of Active Directory as the approved reference point. Future runs compare against this baseline.</w:t>
            </w:r>
          </w:p>
        </w:tc>
        <w:tc>
          <w:tcPr>
            <w:tcW w:w="3120" w:type="dxa"/>
            <w:shd w:val="clear" w:color="auto" w:fill="FFFFFF"/>
          </w:tcPr>
          <w:p>
            <w:pPr>
              <w:spacing w:after="80"/>
            </w:pPr>
            <w:r>
              <w:t xml:space="preserve">None</w:t>
            </w:r>
          </w:p>
        </w:tc>
      </w:tr>
      <w:tr>
        <w:tc>
          <w:tcPr>
            <w:tcW w:w="3120" w:type="dxa"/>
            <w:shd w:val="clear" w:color="auto" w:fill="EBF3FB"/>
          </w:tcPr>
          <w:p>
            <w:pPr>
              <w:spacing w:after="80"/>
            </w:pPr>
            <w:r>
              <w:t xml:space="preserve">Remediate</w:t>
            </w:r>
          </w:p>
        </w:tc>
        <w:tc>
          <w:tcPr>
            <w:tcW w:w="3120" w:type="dxa"/>
            <w:shd w:val="clear" w:color="auto" w:fill="EBF3FB"/>
          </w:tcPr>
          <w:p>
            <w:pPr>
              <w:spacing w:after="80"/>
            </w:pPr>
            <w:r>
              <w:t xml:space="preserve">Runs all checks, then presents each remediable finding to the operator with full impact detail and requires explicit approval before acting.</w:t>
            </w:r>
          </w:p>
        </w:tc>
        <w:tc>
          <w:tcPr>
            <w:tcW w:w="3120" w:type="dxa"/>
            <w:shd w:val="clear" w:color="auto" w:fill="EBF3FB"/>
          </w:tcPr>
          <w:p>
            <w:pPr>
              <w:spacing w:after="80"/>
            </w:pPr>
            <w:r>
              <w:t xml:space="preserve">Yes -- with approval only</w:t>
            </w:r>
          </w:p>
        </w:tc>
      </w:tr>
      <w:tr>
        <w:tc>
          <w:tcPr>
            <w:tcW w:w="3120" w:type="dxa"/>
            <w:shd w:val="clear" w:color="auto" w:fill="FFFFFF"/>
          </w:tcPr>
          <w:p>
            <w:pPr>
              <w:spacing w:after="80"/>
            </w:pPr>
            <w:r>
              <w:t xml:space="preserve">Report</w:t>
            </w:r>
          </w:p>
        </w:tc>
        <w:tc>
          <w:tcPr>
            <w:tcW w:w="3120" w:type="dxa"/>
            <w:shd w:val="clear" w:color="auto" w:fill="FFFFFF"/>
          </w:tcPr>
          <w:p>
            <w:pPr>
              <w:spacing w:after="80"/>
            </w:pPr>
            <w:r>
              <w:t xml:space="preserve">Generates a drift report comparing the current baseline against historical run data. Requires no Active Directory access.</w:t>
            </w:r>
          </w:p>
        </w:tc>
        <w:tc>
          <w:tcPr>
            <w:tcW w:w="3120" w:type="dxa"/>
            <w:shd w:val="clear" w:color="auto" w:fill="FFFFFF"/>
          </w:tcPr>
          <w:p>
            <w:pPr>
              <w:spacing w:after="80"/>
            </w:pPr>
            <w:r>
              <w:t xml:space="preserve">None</w:t>
            </w:r>
          </w:p>
        </w:tc>
      </w:tr>
    </w:tbl>
    <w:p/>
    <w:p>
      <w:r>
        <w:t xml:space="preserve">Each run produces an HTML report containing the full findings list with CIS and NIST control references, a delta comparison against the stored baseline (showing which issues are new, persisting, or resolved), and a complete action log of all changes made during the session.</w:t>
      </w:r>
    </w:p>
    <w:p>
      <w:pPr>
        <w:pStyle w:val="Heading1"/>
      </w:pPr>
      <w:r>
        <w:t xml:space="preserve">Milestone Coverage</w:t>
      </w:r>
    </w:p>
    <w:p>
      <w:r>
        <w:t xml:space="preserve">The tool covers 12 Active Directory security and hygiene milestones. Milestone 2 (DC Upgrade to Windows Server 2025) is a manual, change-controlled process supported by the readiness reporting from Milestone 1. All remaining milestones are fully automated for both discovery and, where appropriate, remediation.</w:t>
      </w:r>
    </w:p>
    <w:p/>
    <w:tbl>
      <w:tblPr>
        <w:tblStyle w:val="TableGrid"/>
        <w:tblW w:w="9360" w:type="dxa"/>
      </w:tblPr>
      <w:tblGrid>
        <w:gridCol w:w="2340"/>
        <w:gridCol w:w="2340"/>
        <w:gridCol w:w="2340"/>
        <w:gridCol w:w="2340"/>
      </w:tblGrid>
      <w:tr>
        <w:tc>
          <w:tcPr>
            <w:tcW w:w="2340" w:type="dxa"/>
            <w:shd w:val="clear" w:color="auto" w:fill="2E74B5"/>
          </w:tcPr>
          <w:p>
            <w:pPr>
              <w:spacing w:after="80"/>
            </w:pPr>
            <w:r>
              <w:rPr>
                <w:b/>
                <w:color w:val="FFFFFF"/>
              </w:rPr>
              <w:t xml:space="preserve">Milestone</w:t>
            </w:r>
          </w:p>
        </w:tc>
        <w:tc>
          <w:tcPr>
            <w:tcW w:w="2340" w:type="dxa"/>
            <w:shd w:val="clear" w:color="auto" w:fill="2E74B5"/>
          </w:tcPr>
          <w:p>
            <w:pPr>
              <w:spacing w:after="80"/>
            </w:pPr>
            <w:r>
              <w:rPr>
                <w:b/>
                <w:color w:val="FFFFFF"/>
              </w:rPr>
              <w:t xml:space="preserve">Area</w:t>
            </w:r>
          </w:p>
        </w:tc>
        <w:tc>
          <w:tcPr>
            <w:tcW w:w="2340" w:type="dxa"/>
            <w:shd w:val="clear" w:color="auto" w:fill="2E74B5"/>
          </w:tcPr>
          <w:p>
            <w:pPr>
              <w:spacing w:after="80"/>
            </w:pPr>
            <w:r>
              <w:rPr>
                <w:b/>
                <w:color w:val="FFFFFF"/>
              </w:rPr>
              <w:t xml:space="preserve">What It Assesses</w:t>
            </w:r>
          </w:p>
        </w:tc>
        <w:tc>
          <w:tcPr>
            <w:tcW w:w="2340" w:type="dxa"/>
            <w:shd w:val="clear" w:color="auto" w:fill="2E74B5"/>
          </w:tcPr>
          <w:p>
            <w:pPr>
              <w:spacing w:after="80"/>
            </w:pPr>
            <w:r>
              <w:rPr>
                <w:b/>
                <w:color w:val="FFFFFF"/>
              </w:rPr>
              <w:t xml:space="preserve">Automated Remediation</w:t>
            </w:r>
          </w:p>
        </w:tc>
      </w:tr>
      <w:tr>
        <w:tc>
          <w:tcPr>
            <w:tcW w:w="2340" w:type="dxa"/>
            <w:shd w:val="clear" w:color="auto" w:fill="EBF3FB"/>
          </w:tcPr>
          <w:p>
            <w:pPr>
              <w:spacing w:after="80"/>
            </w:pPr>
            <w:r>
              <w:t xml:space="preserve">M1</w:t>
            </w:r>
          </w:p>
        </w:tc>
        <w:tc>
          <w:tcPr>
            <w:tcW w:w="2340" w:type="dxa"/>
            <w:shd w:val="clear" w:color="auto" w:fill="EBF3FB"/>
          </w:tcPr>
          <w:p>
            <w:pPr>
              <w:spacing w:after="80"/>
            </w:pPr>
            <w:r>
              <w:t xml:space="preserve">Domain Controller Health</w:t>
            </w:r>
          </w:p>
        </w:tc>
        <w:tc>
          <w:tcPr>
            <w:tcW w:w="2340" w:type="dxa"/>
            <w:shd w:val="clear" w:color="auto" w:fill="EBF3FB"/>
          </w:tcPr>
          <w:p>
            <w:pPr>
              <w:spacing w:after="80"/>
            </w:pPr>
            <w:r>
              <w:t xml:space="preserve">Replication status, FSMO roles, DNS health, SYSVOL mode, time sync, OS versions, krbtgt age, AS-REP roastable accounts</w:t>
            </w:r>
          </w:p>
        </w:tc>
        <w:tc>
          <w:tcPr>
            <w:tcW w:w="2340" w:type="dxa"/>
            <w:shd w:val="clear" w:color="auto" w:fill="EBF3FB"/>
          </w:tcPr>
          <w:p>
            <w:pPr>
              <w:spacing w:after="80"/>
            </w:pPr>
            <w:r>
              <w:t xml:space="preserve">Audit report only</w:t>
            </w:r>
          </w:p>
        </w:tc>
      </w:tr>
      <w:tr>
        <w:tc>
          <w:tcPr>
            <w:tcW w:w="2340" w:type="dxa"/>
            <w:shd w:val="clear" w:color="auto" w:fill="FFFFFF"/>
          </w:tcPr>
          <w:p>
            <w:pPr>
              <w:spacing w:after="80"/>
            </w:pPr>
            <w:r>
              <w:t xml:space="preserve">M2</w:t>
            </w:r>
          </w:p>
        </w:tc>
        <w:tc>
          <w:tcPr>
            <w:tcW w:w="2340" w:type="dxa"/>
            <w:shd w:val="clear" w:color="auto" w:fill="FFFFFF"/>
          </w:tcPr>
          <w:p>
            <w:pPr>
              <w:spacing w:after="80"/>
            </w:pPr>
            <w:r>
              <w:t xml:space="preserve">DC Upgrade to Server 2025</w:t>
            </w:r>
          </w:p>
        </w:tc>
        <w:tc>
          <w:tcPr>
            <w:tcW w:w="2340" w:type="dxa"/>
            <w:shd w:val="clear" w:color="auto" w:fill="FFFFFF"/>
          </w:tcPr>
          <w:p>
            <w:pPr>
              <w:spacing w:after="80"/>
            </w:pPr>
            <w:r>
              <w:t xml:space="preserve">In-place upgrade readiness, DFSR migration status, IP-bound application risk assessment</w:t>
            </w:r>
          </w:p>
        </w:tc>
        <w:tc>
          <w:tcPr>
            <w:tcW w:w="2340" w:type="dxa"/>
            <w:shd w:val="clear" w:color="auto" w:fill="FFFFFF"/>
          </w:tcPr>
          <w:p>
            <w:pPr>
              <w:spacing w:after="80"/>
            </w:pPr>
            <w:r>
              <w:t xml:space="preserve">Manual -- change-controlled</w:t>
            </w:r>
          </w:p>
        </w:tc>
      </w:tr>
      <w:tr>
        <w:tc>
          <w:tcPr>
            <w:tcW w:w="2340" w:type="dxa"/>
            <w:shd w:val="clear" w:color="auto" w:fill="EBF3FB"/>
          </w:tcPr>
          <w:p>
            <w:pPr>
              <w:spacing w:after="80"/>
            </w:pPr>
            <w:r>
              <w:t xml:space="preserve">M3</w:t>
            </w:r>
          </w:p>
        </w:tc>
        <w:tc>
          <w:tcPr>
            <w:tcW w:w="2340" w:type="dxa"/>
            <w:shd w:val="clear" w:color="auto" w:fill="EBF3FB"/>
          </w:tcPr>
          <w:p>
            <w:pPr>
              <w:spacing w:after="80"/>
            </w:pPr>
            <w:r>
              <w:t xml:space="preserve">OU Structure</w:t>
            </w:r>
          </w:p>
        </w:tc>
        <w:tc>
          <w:tcPr>
            <w:tcW w:w="2340" w:type="dxa"/>
            <w:shd w:val="clear" w:color="auto" w:fill="EBF3FB"/>
          </w:tcPr>
          <w:p>
            <w:pPr>
              <w:spacing w:after="80"/>
            </w:pPr>
            <w:r>
              <w:t xml:space="preserve">Default container usage, empty OUs, block inheritance gaps, deep nesting, non-standard OU permissions</w:t>
            </w:r>
          </w:p>
        </w:tc>
        <w:tc>
          <w:tcPr>
            <w:tcW w:w="2340" w:type="dxa"/>
            <w:shd w:val="clear" w:color="auto" w:fill="EBF3FB"/>
          </w:tcPr>
          <w:p>
            <w:pPr>
              <w:spacing w:after="80"/>
            </w:pPr>
            <w:r>
              <w:t xml:space="preserve">Audit report only</w:t>
            </w:r>
          </w:p>
        </w:tc>
      </w:tr>
      <w:tr>
        <w:tc>
          <w:tcPr>
            <w:tcW w:w="2340" w:type="dxa"/>
            <w:shd w:val="clear" w:color="auto" w:fill="FFFFFF"/>
          </w:tcPr>
          <w:p>
            <w:pPr>
              <w:spacing w:after="80"/>
            </w:pPr>
            <w:r>
              <w:t xml:space="preserve">M4</w:t>
            </w:r>
          </w:p>
        </w:tc>
        <w:tc>
          <w:tcPr>
            <w:tcW w:w="2340" w:type="dxa"/>
            <w:shd w:val="clear" w:color="auto" w:fill="FFFFFF"/>
          </w:tcPr>
          <w:p>
            <w:pPr>
              <w:spacing w:after="80"/>
            </w:pPr>
            <w:r>
              <w:t xml:space="preserve">Unconstrained Delegation</w:t>
            </w:r>
          </w:p>
        </w:tc>
        <w:tc>
          <w:tcPr>
            <w:tcW w:w="2340" w:type="dxa"/>
            <w:shd w:val="clear" w:color="auto" w:fill="FFFFFF"/>
          </w:tcPr>
          <w:p>
            <w:pPr>
              <w:spacing w:after="80"/>
            </w:pPr>
            <w:r>
              <w:t xml:space="preserve">Computer and user accounts with unconstrained Kerberos delegation (excluding DCs) -- high-value attack path</w:t>
            </w:r>
          </w:p>
        </w:tc>
        <w:tc>
          <w:tcPr>
            <w:tcW w:w="2340" w:type="dxa"/>
            <w:shd w:val="clear" w:color="auto" w:fill="FFFFFF"/>
          </w:tcPr>
          <w:p>
            <w:pPr>
              <w:spacing w:after="80"/>
            </w:pPr>
            <w:r>
              <w:t xml:space="preserve">Removes delegation with approval</w:t>
            </w:r>
          </w:p>
        </w:tc>
      </w:tr>
      <w:tr>
        <w:tc>
          <w:tcPr>
            <w:tcW w:w="2340" w:type="dxa"/>
            <w:shd w:val="clear" w:color="auto" w:fill="EBF3FB"/>
          </w:tcPr>
          <w:p>
            <w:pPr>
              <w:spacing w:after="80"/>
            </w:pPr>
            <w:r>
              <w:t xml:space="preserve">M5</w:t>
            </w:r>
          </w:p>
        </w:tc>
        <w:tc>
          <w:tcPr>
            <w:tcW w:w="2340" w:type="dxa"/>
            <w:shd w:val="clear" w:color="auto" w:fill="EBF3FB"/>
          </w:tcPr>
          <w:p>
            <w:pPr>
              <w:spacing w:after="80"/>
            </w:pPr>
            <w:r>
              <w:t xml:space="preserve">Service Principal Name Audit</w:t>
            </w:r>
          </w:p>
        </w:tc>
        <w:tc>
          <w:tcPr>
            <w:tcW w:w="2340" w:type="dxa"/>
            <w:shd w:val="clear" w:color="auto" w:fill="EBF3FB"/>
          </w:tcPr>
          <w:p>
            <w:pPr>
              <w:spacing w:after="80"/>
            </w:pPr>
            <w:r>
              <w:t xml:space="preserve">Duplicate SPNs, Kerberoastable accounts, SPNs on disabled accounts, Tier 0 accounts with SPNs</w:t>
            </w:r>
          </w:p>
        </w:tc>
        <w:tc>
          <w:tcPr>
            <w:tcW w:w="2340" w:type="dxa"/>
            <w:shd w:val="clear" w:color="auto" w:fill="EBF3FB"/>
          </w:tcPr>
          <w:p>
            <w:pPr>
              <w:spacing w:after="80"/>
            </w:pPr>
            <w:r>
              <w:t xml:space="preserve">Sets AES encryption with approval</w:t>
            </w:r>
          </w:p>
        </w:tc>
      </w:tr>
      <w:tr>
        <w:tc>
          <w:tcPr>
            <w:tcW w:w="2340" w:type="dxa"/>
            <w:shd w:val="clear" w:color="auto" w:fill="FFFFFF"/>
          </w:tcPr>
          <w:p>
            <w:pPr>
              <w:spacing w:after="80"/>
            </w:pPr>
            <w:r>
              <w:t xml:space="preserve">M6</w:t>
            </w:r>
          </w:p>
        </w:tc>
        <w:tc>
          <w:tcPr>
            <w:tcW w:w="2340" w:type="dxa"/>
            <w:shd w:val="clear" w:color="auto" w:fill="FFFFFF"/>
          </w:tcPr>
          <w:p>
            <w:pPr>
              <w:spacing w:after="80"/>
            </w:pPr>
            <w:r>
              <w:t xml:space="preserve">Kerberos Configuration</w:t>
            </w:r>
          </w:p>
        </w:tc>
        <w:tc>
          <w:tcPr>
            <w:tcW w:w="2340" w:type="dxa"/>
            <w:shd w:val="clear" w:color="auto" w:fill="FFFFFF"/>
          </w:tcPr>
          <w:p>
            <w:pPr>
              <w:spacing w:after="80"/>
            </w:pPr>
            <w:r>
              <w:t xml:space="preserve">RC4-only accounts, Kerberos ticket policy, WHfB Kerberos hybrid trust, authentication policy coverage</w:t>
            </w:r>
          </w:p>
        </w:tc>
        <w:tc>
          <w:tcPr>
            <w:tcW w:w="2340" w:type="dxa"/>
            <w:shd w:val="clear" w:color="auto" w:fill="FFFFFF"/>
          </w:tcPr>
          <w:p>
            <w:pPr>
              <w:spacing w:after="80"/>
            </w:pPr>
            <w:r>
              <w:t xml:space="preserve">Sets AES encryption with approval</w:t>
            </w:r>
          </w:p>
        </w:tc>
      </w:tr>
      <w:tr>
        <w:tc>
          <w:tcPr>
            <w:tcW w:w="2340" w:type="dxa"/>
            <w:shd w:val="clear" w:color="auto" w:fill="EBF3FB"/>
          </w:tcPr>
          <w:p>
            <w:pPr>
              <w:spacing w:after="80"/>
            </w:pPr>
            <w:r>
              <w:t xml:space="preserve">M7</w:t>
            </w:r>
          </w:p>
        </w:tc>
        <w:tc>
          <w:tcPr>
            <w:tcW w:w="2340" w:type="dxa"/>
            <w:shd w:val="clear" w:color="auto" w:fill="EBF3FB"/>
          </w:tcPr>
          <w:p>
            <w:pPr>
              <w:spacing w:after="80"/>
            </w:pPr>
            <w:r>
              <w:t xml:space="preserve">DC Hardening (CIS Level 1)</w:t>
            </w:r>
          </w:p>
        </w:tc>
        <w:tc>
          <w:tcPr>
            <w:tcW w:w="2340" w:type="dxa"/>
            <w:shd w:val="clear" w:color="auto" w:fill="EBF3FB"/>
          </w:tcPr>
          <w:p>
            <w:pPr>
              <w:spacing w:after="80"/>
            </w:pPr>
            <w:r>
              <w:t xml:space="preserve">LDAP signing, LDAP channel binding, SMB signing, NLA for RDP, Print Spooler, LSASS protection, WDigest, Credential Guard, audit policy</w:t>
            </w:r>
          </w:p>
        </w:tc>
        <w:tc>
          <w:tcPr>
            <w:tcW w:w="2340" w:type="dxa"/>
            <w:shd w:val="clear" w:color="auto" w:fill="EBF3FB"/>
          </w:tcPr>
          <w:p>
            <w:pPr>
              <w:spacing w:after="80"/>
            </w:pPr>
            <w:r>
              <w:t xml:space="preserve">Registry/GPO changes with approval</w:t>
            </w:r>
          </w:p>
        </w:tc>
      </w:tr>
      <w:tr>
        <w:tc>
          <w:tcPr>
            <w:tcW w:w="2340" w:type="dxa"/>
            <w:shd w:val="clear" w:color="auto" w:fill="FFFFFF"/>
          </w:tcPr>
          <w:p>
            <w:pPr>
              <w:spacing w:after="80"/>
            </w:pPr>
            <w:r>
              <w:t xml:space="preserve">M8</w:t>
            </w:r>
          </w:p>
        </w:tc>
        <w:tc>
          <w:tcPr>
            <w:tcW w:w="2340" w:type="dxa"/>
            <w:shd w:val="clear" w:color="auto" w:fill="FFFFFF"/>
          </w:tcPr>
          <w:p>
            <w:pPr>
              <w:spacing w:after="80"/>
            </w:pPr>
            <w:r>
              <w:t xml:space="preserve">Group Policy Cleanup</w:t>
            </w:r>
          </w:p>
        </w:tc>
        <w:tc>
          <w:tcPr>
            <w:tcW w:w="2340" w:type="dxa"/>
            <w:shd w:val="clear" w:color="auto" w:fill="FFFFFF"/>
          </w:tcPr>
          <w:p>
            <w:pPr>
              <w:spacing w:after="80"/>
            </w:pPr>
            <w:r>
              <w:t xml:space="preserve">Unlinked GPOs, empty GPOs, disabled GPOs, Default Domain Policy modifications, SYSVOL orphans, non-standard GPO permissions</w:t>
            </w:r>
          </w:p>
        </w:tc>
        <w:tc>
          <w:tcPr>
            <w:tcW w:w="2340" w:type="dxa"/>
            <w:shd w:val="clear" w:color="auto" w:fill="FFFFFF"/>
          </w:tcPr>
          <w:p>
            <w:pPr>
              <w:spacing w:after="80"/>
            </w:pPr>
            <w:r>
              <w:t xml:space="preserve">Backup-first; disable or delete with approval</w:t>
            </w:r>
          </w:p>
        </w:tc>
      </w:tr>
      <w:tr>
        <w:tc>
          <w:tcPr>
            <w:tcW w:w="2340" w:type="dxa"/>
            <w:shd w:val="clear" w:color="auto" w:fill="EBF3FB"/>
          </w:tcPr>
          <w:p>
            <w:pPr>
              <w:spacing w:after="80"/>
            </w:pPr>
            <w:r>
              <w:t xml:space="preserve">M9</w:t>
            </w:r>
          </w:p>
        </w:tc>
        <w:tc>
          <w:tcPr>
            <w:tcW w:w="2340" w:type="dxa"/>
            <w:shd w:val="clear" w:color="auto" w:fill="EBF3FB"/>
          </w:tcPr>
          <w:p>
            <w:pPr>
              <w:spacing w:after="80"/>
            </w:pPr>
            <w:r>
              <w:t xml:space="preserve">Security Group Hygiene</w:t>
            </w:r>
          </w:p>
        </w:tc>
        <w:tc>
          <w:tcPr>
            <w:tcW w:w="2340" w:type="dxa"/>
            <w:shd w:val="clear" w:color="auto" w:fill="EBF3FB"/>
          </w:tcPr>
          <w:p>
            <w:pPr>
              <w:spacing w:after="80"/>
            </w:pPr>
            <w:r>
              <w:t xml:space="preserve">Empty groups, disabled accounts in groups, circular nesting, large universal groups, AdminSDHolder remnants, mail-enabled security groups</w:t>
            </w:r>
          </w:p>
        </w:tc>
        <w:tc>
          <w:tcPr>
            <w:tcW w:w="2340" w:type="dxa"/>
            <w:shd w:val="clear" w:color="auto" w:fill="EBF3FB"/>
          </w:tcPr>
          <w:p>
            <w:pPr>
              <w:spacing w:after="80"/>
            </w:pPr>
            <w:r>
              <w:t xml:space="preserve">Removes disabled accounts; clears AdminCount with approval</w:t>
            </w:r>
          </w:p>
        </w:tc>
      </w:tr>
      <w:tr>
        <w:tc>
          <w:tcPr>
            <w:tcW w:w="2340" w:type="dxa"/>
            <w:shd w:val="clear" w:color="auto" w:fill="FFFFFF"/>
          </w:tcPr>
          <w:p>
            <w:pPr>
              <w:spacing w:after="80"/>
            </w:pPr>
            <w:r>
              <w:t xml:space="preserve">M10</w:t>
            </w:r>
          </w:p>
        </w:tc>
        <w:tc>
          <w:tcPr>
            <w:tcW w:w="2340" w:type="dxa"/>
            <w:shd w:val="clear" w:color="auto" w:fill="FFFFFF"/>
          </w:tcPr>
          <w:p>
            <w:pPr>
              <w:spacing w:after="80"/>
            </w:pPr>
            <w:r>
              <w:t xml:space="preserve">Delegated Permissions</w:t>
            </w:r>
          </w:p>
        </w:tc>
        <w:tc>
          <w:tcPr>
            <w:tcW w:w="2340" w:type="dxa"/>
            <w:shd w:val="clear" w:color="auto" w:fill="FFFFFF"/>
          </w:tcPr>
          <w:p>
            <w:pPr>
              <w:spacing w:after="80"/>
            </w:pPr>
            <w:r>
              <w:t xml:space="preserve">DCSync rights, domain root high-risk ACEs, AdminSDHolder backdoor ACEs, DC OU delegation, DnsAdmins membership, DC object delegation</w:t>
            </w:r>
          </w:p>
        </w:tc>
        <w:tc>
          <w:tcPr>
            <w:tcW w:w="2340" w:type="dxa"/>
            <w:shd w:val="clear" w:color="auto" w:fill="FFFFFF"/>
          </w:tcPr>
          <w:p>
            <w:pPr>
              <w:spacing w:after="80"/>
            </w:pPr>
            <w:r>
              <w:t xml:space="preserve">DC OU ACE removal with approval; others audit-only</w:t>
            </w:r>
          </w:p>
        </w:tc>
      </w:tr>
      <w:tr>
        <w:tc>
          <w:tcPr>
            <w:tcW w:w="2340" w:type="dxa"/>
            <w:shd w:val="clear" w:color="auto" w:fill="EBF3FB"/>
          </w:tcPr>
          <w:p>
            <w:pPr>
              <w:spacing w:after="80"/>
            </w:pPr>
            <w:r>
              <w:t xml:space="preserve">M11</w:t>
            </w:r>
          </w:p>
        </w:tc>
        <w:tc>
          <w:tcPr>
            <w:tcW w:w="2340" w:type="dxa"/>
            <w:shd w:val="clear" w:color="auto" w:fill="EBF3FB"/>
          </w:tcPr>
          <w:p>
            <w:pPr>
              <w:spacing w:after="80"/>
            </w:pPr>
            <w:r>
              <w:t xml:space="preserve">Stale Account Quarantine</w:t>
            </w:r>
          </w:p>
        </w:tc>
        <w:tc>
          <w:tcPr>
            <w:tcW w:w="2340" w:type="dxa"/>
            <w:shd w:val="clear" w:color="auto" w:fill="EBF3FB"/>
          </w:tcPr>
          <w:p>
            <w:pPr>
              <w:spacing w:after="80"/>
            </w:pPr>
            <w:r>
              <w:t xml:space="preserve">User and computer accounts inactive beyond configurable threshold (default 90 days), with Hybrid Azure AD cross-reference guidance</w:t>
            </w:r>
          </w:p>
        </w:tc>
        <w:tc>
          <w:tcPr>
            <w:tcW w:w="2340" w:type="dxa"/>
            <w:shd w:val="clear" w:color="auto" w:fill="EBF3FB"/>
          </w:tcPr>
          <w:p>
            <w:pPr>
              <w:spacing w:after="80"/>
            </w:pPr>
            <w:r>
              <w:t xml:space="preserve">Bulk approval; disables and moves to Quarantine OU</w:t>
            </w:r>
          </w:p>
        </w:tc>
      </w:tr>
      <w:tr>
        <w:tc>
          <w:tcPr>
            <w:tcW w:w="2340" w:type="dxa"/>
            <w:shd w:val="clear" w:color="auto" w:fill="FFFFFF"/>
          </w:tcPr>
          <w:p>
            <w:pPr>
              <w:spacing w:after="80"/>
            </w:pPr>
            <w:r>
              <w:t xml:space="preserve">M12</w:t>
            </w:r>
          </w:p>
        </w:tc>
        <w:tc>
          <w:tcPr>
            <w:tcW w:w="2340" w:type="dxa"/>
            <w:shd w:val="clear" w:color="auto" w:fill="FFFFFF"/>
          </w:tcPr>
          <w:p>
            <w:pPr>
              <w:spacing w:after="80"/>
            </w:pPr>
            <w:r>
              <w:t xml:space="preserve">Privileged Group Review</w:t>
            </w:r>
          </w:p>
        </w:tc>
        <w:tc>
          <w:tcPr>
            <w:tcW w:w="2340" w:type="dxa"/>
            <w:shd w:val="clear" w:color="auto" w:fill="FFFFFF"/>
          </w:tcPr>
          <w:p>
            <w:pPr>
              <w:spacing w:after="80"/>
            </w:pPr>
            <w:r>
              <w:t xml:space="preserve">Domain Admins, Enterprise Admins, Schema Admins and six further privileged groups -- new members, stale accounts, service accounts, nested groups</w:t>
            </w:r>
          </w:p>
        </w:tc>
        <w:tc>
          <w:tcPr>
            <w:tcW w:w="2340" w:type="dxa"/>
            <w:shd w:val="clear" w:color="auto" w:fill="FFFFFF"/>
          </w:tcPr>
          <w:p>
            <w:pPr>
              <w:spacing w:after="80"/>
            </w:pPr>
            <w:r>
              <w:t xml:space="preserve">Removes members with approval (account not deleted)</w:t>
            </w:r>
          </w:p>
        </w:tc>
      </w:tr>
    </w:tbl>
    <w:p/>
    <w:p>
      <w:pPr>
        <w:pStyle w:val="Heading1"/>
      </w:pPr>
      <w:r>
        <w:t xml:space="preserve">Compliance Framework</w:t>
      </w:r>
    </w:p>
    <w:p>
      <w:pPr>
        <w:pStyle w:val="Heading2"/>
      </w:pPr>
      <w:r>
        <w:t xml:space="preserve">CIS Benchmark Level 1 -- Windows Server 2022 / 2025</w:t>
      </w:r>
    </w:p>
    <w:p>
      <w:r>
        <w:t xml:space="preserve">Every technical check in the tool is sourced from the CIS (Center for Internet Security) Benchmark Level 1 profile for Windows Server 2022 and 2025. CIS Level 1 represents the baseline security configuration recommended for all servers -- the controls are specific, directly auditable, and implementable without significant impact to business operations. Each finding in the output includes the CIS control reference number and level.</w:t>
      </w:r>
    </w:p>
    <w:p>
      <w:pPr>
        <w:pStyle w:val="Heading2"/>
      </w:pPr>
      <w:r>
        <w:t xml:space="preserve">NIST SP 800-53</w:t>
      </w:r>
    </w:p>
    <w:p>
      <w:r>
        <w:t xml:space="preserve">In addition to CIS controls, every finding is tagged with the corresponding NIST Special Publication 800-53 control identifier. NIST SP 800-53 is the US federal standard for information security controls and is widely used as the basis for enterprise risk registers and third-party audit frameworks. The HTML report includes a NIST control cross-reference table that groups findings by control family (AC, CM, IA, SC, AU, SI), making it straightforward to map remediation activity to governance obligations.</w:t>
      </w:r>
    </w:p>
    <w:p>
      <w:pPr>
        <w:pStyle w:val="Heading1"/>
      </w:pPr>
      <w:r>
        <w:t xml:space="preserve">Key Security Principles</w:t>
      </w:r>
    </w:p>
    <w:p>
      <w:pPr>
        <w:pStyle w:val="Heading2"/>
      </w:pPr>
      <w:r>
        <w:t xml:space="preserve">Human Approval Before Every Change</w:t>
      </w:r>
    </w:p>
    <w:p>
      <w:r>
        <w:t xml:space="preserve">The tool will never modify Active Directory without explicit operator approval. For each remediable finding, the operator is shown the exact action that will be taken, the full impact (what will break if the change is wrong), and step-by-step rollback instructions before being asked to approve or skip. For HIGH and CRITICAL risk changes -- such as removing delegation rights or modifying DC configurations -- the operator must type the target object name exactly before the approval prompt is displayed.</w:t>
      </w:r>
    </w:p>
    <w:p>
      <w:pPr>
        <w:pStyle w:val="Heading2"/>
      </w:pPr>
      <w:r>
        <w:t xml:space="preserve">No Objects Are Ever Deleted</w:t>
      </w:r>
    </w:p>
    <w:p>
      <w:r>
        <w:t xml:space="preserve">The agent follows a safe-by-default principle. Stale user and computer accounts are quarantined: disabled, moved to a dedicated Quarantine OU, and stamped with a description recording the date and reason. They are never deleted. Similarly, Group Policy Objects are disabled before deletion is offered, giving administrators a window to recover them if needed. Deletion of any object requires a second, distinct approval step.</w:t>
      </w:r>
    </w:p>
    <w:p>
      <w:pPr>
        <w:pStyle w:val="Heading2"/>
      </w:pPr>
      <w:r>
        <w:t xml:space="preserve">Complete Audit Trail</w:t>
      </w:r>
    </w:p>
    <w:p>
      <w:r>
        <w:t xml:space="preserve">Every agent run produces a structured CSV log and an HTML report. Each entry records the timestamp, milestone, finding type, target object, severity, CIS and NIST control references, the operator's decision (approved, skipped, or quit), and the outcome of any change. This log is suitable for submission as audit evidence and can be retained for as long as required using the configurable log retention setting.</w:t>
      </w:r>
    </w:p>
    <w:p>
      <w:pPr>
        <w:pStyle w:val="Heading2"/>
      </w:pPr>
      <w:r>
        <w:t xml:space="preserve">Baseline and Drift Tracking</w:t>
      </w:r>
    </w:p>
    <w:p>
      <w:r>
        <w:t xml:space="preserve">After establishing a known-good state -- typically after the DC upgrade is complete and an initial remediation wave has been run -- the agent can snapshot Active Directory into a baseline. All subsequent runs compare the current findings against this baseline, clearly identifying issues that are new (potential regression or new threat), persisting (known and accepted), or resolved (successfully remediated). This makes the tool suitable for use as an ongoing monitoring solution.</w:t>
      </w:r>
    </w:p>
    <w:p>
      <w:pPr>
        <w:pStyle w:val="Heading1"/>
      </w:pPr>
      <w:r>
        <w:t xml:space="preserve">Getting Started</w:t>
      </w:r>
    </w:p>
    <w:p>
      <w:r>
        <w:t xml:space="preserve">The agent is ready to run from the provided package. Launch PowerShell as a Domain Admin (or delegated read account for Discover mode) from a domain-joined machine and navigate to the ADRemediationAgent folder.</w:t>
      </w:r>
    </w:p>
    <w:p>
      <w:pPr>
        <w:pStyle w:val="Heading2"/>
      </w:pPr>
      <w:r>
        <w:t xml:space="preserve">Initial Discovery (no changes)</w:t>
      </w:r>
    </w:p>
    <w:p>
      <w:pPr>
        <w:pStyle w:val="CodeBlock"/>
      </w:pPr>
      <w:r>
        <w:t xml:space="preserve">.\Start-ADRemediationAgent.ps1 -Mode Discover</w:t>
      </w:r>
    </w:p>
    <w:p>
      <w:r>
        <w:t xml:space="preserve">Runs all milestone checks and produces an HTML report in .\ADAgent-Output\Reports\. Review this report before taking any remediation action.</w:t>
      </w:r>
    </w:p>
    <w:p>
      <w:pPr>
        <w:pStyle w:val="Heading2"/>
      </w:pPr>
      <w:r>
        <w:t xml:space="preserve">Run Specific Milestones</w:t>
      </w:r>
    </w:p>
    <w:p>
      <w:pPr>
        <w:pStyle w:val="CodeBlock"/>
      </w:pPr>
      <w:r>
        <w:t xml:space="preserve">.\Start-ADRemediationAgent.ps1 -Mode Remediate -Milestones M4,M12</w:t>
      </w:r>
    </w:p>
    <w:p>
      <w:r>
        <w:t xml:space="preserve">Targets specific milestones in Remediate mode. Findings are presented one by one with full impact detail; the operator approves or skips each item.</w:t>
      </w:r>
    </w:p>
    <w:p>
      <w:pPr>
        <w:pStyle w:val="Heading2"/>
      </w:pPr>
      <w:r>
        <w:t xml:space="preserve">Set a Baseline</w:t>
      </w:r>
    </w:p>
    <w:p>
      <w:pPr>
        <w:pStyle w:val="CodeBlock"/>
      </w:pPr>
      <w:r>
        <w:t xml:space="preserve">.\Start-ADRemediationAgent.ps1 -Mode Baseline</w:t>
      </w:r>
    </w:p>
    <w:p>
      <w:r>
        <w:t xml:space="preserve">Snapshots current AD findings as the approved reference. Run this after the DC upgrade is complete and the environment is in a known-good state.</w:t>
      </w:r>
    </w:p>
    <w:p>
      <w:pPr>
        <w:pStyle w:val="Heading1"/>
      </w:pPr>
      <w:r>
        <w:t xml:space="preserve">Recommended Next Steps</w:t>
      </w:r>
    </w:p>
    <w:p>
      <w:pPr>
        <w:pStyle w:val="ListNumber"/>
      </w:pPr>
      <w:r>
        <w:t xml:space="preserve">Run Mode Discover -- establish a current-state findings report across all milestones. Review the HTML output with your AD team and Fusion5 consultant to understand the risk landscape.</w:t>
      </w:r>
    </w:p>
    <w:p>
      <w:pPr>
        <w:pStyle w:val="ListNumber"/>
      </w:pPr>
      <w:r>
        <w:t xml:space="preserve">Review M1 (DC Health) findings -- confirm SYSVOL is using DFSR replication (required for Server 2025 upgrade), review the DC inventory, and identify any upgrade blockers.</w:t>
      </w:r>
    </w:p>
    <w:p>
      <w:pPr>
        <w:pStyle w:val="ListNumber"/>
      </w:pPr>
      <w:r>
        <w:t xml:space="preserve">Plan and execute the DC upgrade to Windows Server 2025 (Milestone 2) -- use the swing migration approach documented in the tool's README to preserve DC IP addresses.</w:t>
      </w:r>
    </w:p>
    <w:p>
      <w:pPr>
        <w:pStyle w:val="ListNumber"/>
      </w:pPr>
      <w:r>
        <w:t xml:space="preserve">Set a post-upgrade baseline -- once all DCs are on Server 2025, run Mode Baseline to record the approved reference state.</w:t>
      </w:r>
    </w:p>
    <w:p>
      <w:pPr>
        <w:pStyle w:val="ListNumber"/>
      </w:pPr>
      <w:r>
        <w:t xml:space="preserve">Remediate high-risk milestones first -- begin with M4 (Unconstrained Delegation), M10 (Delegated Permissions), M7 (DC Hardening), and M12 (Privileged Group Review).</w:t>
      </w:r>
    </w:p>
    <w:p>
      <w:pPr>
        <w:pStyle w:val="ListNumber"/>
      </w:pPr>
      <w:r>
        <w:t xml:space="preserve">Complete remaining milestones -- address M6 (Kerberos), M5 (SPN Audit), M11 (Stale Accounts), M8 (GPO Cleanup), M9 (Security Groups), and M3 (OU Structure).</w:t>
      </w:r>
    </w:p>
    <w:p>
      <w:pPr>
        <w:pStyle w:val="ListNumber"/>
      </w:pPr>
      <w:r>
        <w:t xml:space="preserve">Establish ongoing monitoring -- schedule weekly Mode Discover runs and review the drift report to detect new risks and track remediation progress over time.</w:t>
      </w:r>
    </w:p>
    <w:sectPr>
      <w:pgSz w:w="12240" w:h="15840"/>
      <w:pgMar w:top="1440" w:right="1800" w:bottom="1440" w:left="180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sz w:val="24"/>
      </w:rPr>
    </w:lvl>
    <w:lvl w:ilvl="1">
      <w:start w:val="1"/>
      <w:numFmt w:val="bullet"/>
      <w:lvlText w:val="◦"/>
      <w:lvlJc w:val="left"/>
      <w:pPr>
        <w:ind w:left="1440" w:hanging="360"/>
      </w:p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4"/>
        <w:szCs w:val="24"/>
      </w:rPr>
    </w:rPrDefault>
  </w:docDefaults>
  <w:style w:type="paragraph" w:styleId="Normal" w:default="1">
    <w:name w:val="Normal"/>
    <w:pPr>
      <w:spacing w:after="160" w:line="276" w:lineRule="auto"/>
    </w:pPr>
    <w:rPr>
      <w:rFonts w:ascii="Calibri" w:hAnsi="Calibri"/>
      <w:sz w:val="24"/>
      <w:szCs w:val="24"/>
    </w:rPr>
  </w:style>
  <w:style w:type="paragraph" w:styleId="Heading1">
    <w:name w:val="heading 1"/>
    <w:basedOn w:val="Normal"/>
    <w:next w:val="Normal"/>
    <w:pPr>
      <w:outlineLvl w:val="0"/>
      <w:spacing w:before="480" w:after="160"/>
      <w:keepNext/>
    </w:pPr>
    <w:rPr>
      <w:b/>
      <w:rFonts w:ascii="Calibri" w:hAnsi="Calibri"/>
      <w:sz w:val="36"/>
      <w:szCs w:val="36"/>
      <w:color w:val="1F3864"/>
    </w:rPr>
  </w:style>
  <w:style w:type="paragraph" w:styleId="Heading2">
    <w:name w:val="heading 2"/>
    <w:basedOn w:val="Normal"/>
    <w:next w:val="Normal"/>
    <w:pPr>
      <w:outlineLvl w:val="1"/>
      <w:spacing w:before="320" w:after="120"/>
      <w:keepNext/>
    </w:pPr>
    <w:rPr>
      <w:b/>
      <w:rFonts w:ascii="Calibri" w:hAnsi="Calibri"/>
      <w:sz w:val="28"/>
      <w:szCs w:val="28"/>
      <w:color w:val="2E74B5"/>
    </w:rPr>
  </w:style>
  <w:style w:type="paragraph" w:styleId="Title">
    <w:name w:val="Title"/>
    <w:basedOn w:val="Normal"/>
    <w:pPr>
      <w:jc w:val="center"/>
      <w:spacing w:before="0" w:after="240"/>
    </w:pPr>
    <w:rPr>
      <w:b/>
      <w:rFonts w:ascii="Calibri" w:hAnsi="Calibri"/>
      <w:sz w:val="56"/>
      <w:szCs w:val="56"/>
      <w:color w:val="1F3864"/>
    </w:rPr>
  </w:style>
  <w:style w:type="paragraph" w:styleId="Subtitle">
    <w:name w:val="Subtitle"/>
    <w:basedOn w:val="Normal"/>
    <w:pPr>
      <w:jc w:val="center"/>
      <w:spacing w:after="160"/>
    </w:pPr>
    <w:rPr>
      <w:i/>
      <w:rFonts w:ascii="Calibri" w:hAnsi="Calibri"/>
      <w:sz w:val="32"/>
      <w:szCs w:val="32"/>
      <w:color w:val="595959"/>
    </w:rPr>
  </w:style>
  <w:style w:type="paragraph" w:styleId="ListBullet">
    <w:name w:val="List Bullet"/>
    <w:basedOn w:val="Normal"/>
    <w:pPr>
      <w:spacing w:after="80"/>
      <w:numPr>
        <w:ilvl w:val="0"/>
        <w:numId w:val="1"/>
      </w:numPr>
    </w:pPr>
  </w:style>
  <w:style w:type="paragraph" w:styleId="ListNumber">
    <w:name w:val="List Number"/>
    <w:basedOn w:val="Normal"/>
    <w:pPr>
      <w:spacing w:after="80"/>
      <w:numPr>
        <w:ilvl w:val="0"/>
        <w:numId w:val="2"/>
      </w:numPr>
    </w:pPr>
  </w:style>
  <w:style w:type="paragraph" w:styleId="CodeBlock">
    <w:name w:val="Code Block"/>
    <w:basedOn w:val="Normal"/>
    <w:pPr>
      <w:spacing w:before="120" w:after="120"/>
      <w:shd w:val="clear" w:color="auto" w:fill="F2F2F2"/>
    </w:pPr>
    <w:rPr>
      <w:rFonts w:ascii="Courier New" w:hAnsi="Courier New"/>
      <w:sz w:val="20"/>
      <w:szCs w:val="20"/>
      <w:color w:val="333333"/>
    </w:r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