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79C48D" w14:textId="77777777" w:rsidR="006261A1" w:rsidRPr="00021EBC" w:rsidRDefault="006D49F7">
      <w:pPr>
        <w:pStyle w:val="Default"/>
        <w:rPr>
          <w:rFonts w:ascii="Times New Roman" w:hAnsi="Times New Roman" w:cs="Times New Roman"/>
          <w:b/>
          <w:sz w:val="28"/>
          <w:szCs w:val="28"/>
        </w:rPr>
      </w:pPr>
      <w:r w:rsidRPr="00021EBC">
        <w:rPr>
          <w:rFonts w:ascii="Times New Roman" w:hAnsi="Times New Roman" w:cs="Times New Roman"/>
          <w:b/>
          <w:sz w:val="28"/>
          <w:szCs w:val="28"/>
        </w:rPr>
        <w:t>MIDAS Bangladesh Application</w:t>
      </w:r>
    </w:p>
    <w:p w14:paraId="45B83D10" w14:textId="7908CE94" w:rsidR="00021EBC" w:rsidRPr="00021EBC" w:rsidRDefault="00021EBC" w:rsidP="00021EBC">
      <w:pPr>
        <w:rPr>
          <w:i/>
          <w:color w:val="000000"/>
          <w:sz w:val="22"/>
          <w:szCs w:val="22"/>
        </w:rPr>
      </w:pPr>
      <w:r w:rsidRPr="00021EBC">
        <w:rPr>
          <w:i/>
        </w:rPr>
        <w:t xml:space="preserve">SESYNC Pursuit </w:t>
      </w:r>
      <w:r>
        <w:rPr>
          <w:i/>
        </w:rPr>
        <w:t xml:space="preserve">- </w:t>
      </w:r>
      <w:r w:rsidRPr="00021EBC">
        <w:rPr>
          <w:i/>
          <w:color w:val="000000"/>
          <w:sz w:val="22"/>
          <w:szCs w:val="22"/>
        </w:rPr>
        <w:t>A forecast of the timing, locations, sequence and likeliest destinations of populations displaced by sea level rise and coastal extremes</w:t>
      </w:r>
    </w:p>
    <w:p w14:paraId="53763E6C" w14:textId="61E9F894" w:rsidR="006D49F7" w:rsidRPr="00021EBC" w:rsidRDefault="00021EBC">
      <w:pPr>
        <w:pStyle w:val="Default"/>
        <w:rPr>
          <w:rFonts w:ascii="Times New Roman" w:hAnsi="Times New Roman" w:cs="Times New Roman"/>
          <w:b/>
          <w:i/>
        </w:rPr>
      </w:pPr>
      <w:r w:rsidRPr="00021EBC">
        <w:rPr>
          <w:rFonts w:ascii="Times New Roman" w:hAnsi="Times New Roman" w:cs="Times New Roman"/>
          <w:b/>
          <w:i/>
        </w:rPr>
        <w:t>Fall 2018</w:t>
      </w:r>
    </w:p>
    <w:p w14:paraId="4B28B2BD" w14:textId="08E65F98" w:rsidR="00021EBC" w:rsidRPr="00F14FBB" w:rsidRDefault="00021EBC">
      <w:pPr>
        <w:pStyle w:val="Default"/>
        <w:rPr>
          <w:rFonts w:ascii="Times New Roman" w:hAnsi="Times New Roman" w:cs="Times New Roman"/>
          <w:i/>
        </w:rPr>
      </w:pPr>
      <w:r w:rsidRPr="00F14FBB">
        <w:rPr>
          <w:rFonts w:ascii="Times New Roman" w:hAnsi="Times New Roman" w:cs="Times New Roman"/>
          <w:i/>
        </w:rPr>
        <w:t>Coordinating Author Andrew Bell</w:t>
      </w:r>
    </w:p>
    <w:p w14:paraId="71F7DE4C" w14:textId="77777777" w:rsidR="00021EBC" w:rsidRDefault="00021EBC">
      <w:pPr>
        <w:pStyle w:val="Default"/>
        <w:rPr>
          <w:rFonts w:ascii="Times New Roman" w:hAnsi="Times New Roman" w:cs="Times New Roman"/>
        </w:rPr>
      </w:pPr>
    </w:p>
    <w:p w14:paraId="6140A25F" w14:textId="6BCE3C95" w:rsidR="004B4482" w:rsidRDefault="00A37E5D">
      <w:pPr>
        <w:pStyle w:val="Default"/>
        <w:rPr>
          <w:rFonts w:ascii="Times New Roman" w:hAnsi="Times New Roman" w:cs="Times New Roman"/>
        </w:rPr>
      </w:pPr>
      <w:r>
        <w:rPr>
          <w:rFonts w:ascii="Times New Roman" w:hAnsi="Times New Roman" w:cs="Times New Roman"/>
        </w:rPr>
        <w:t xml:space="preserve">This application simulates the period from 2005 to 2015 as 44 quarterly annual timesteps with an additional (randomized) number of timesteps added to the beginning of the simulation as spin-up time.  </w:t>
      </w:r>
      <w:r w:rsidR="004B4482">
        <w:rPr>
          <w:rFonts w:ascii="Times New Roman" w:hAnsi="Times New Roman" w:cs="Times New Roman"/>
        </w:rPr>
        <w:t xml:space="preserve">This document </w:t>
      </w:r>
      <w:r w:rsidR="00C55B54">
        <w:rPr>
          <w:rFonts w:ascii="Times New Roman" w:hAnsi="Times New Roman" w:cs="Times New Roman"/>
        </w:rPr>
        <w:t xml:space="preserve">supplements the main MIDAS ODD documentation, describing data and submodels specific to this application and not general to MIDAS.  Specifically, it </w:t>
      </w:r>
      <w:r w:rsidR="004B4482">
        <w:rPr>
          <w:rFonts w:ascii="Times New Roman" w:hAnsi="Times New Roman" w:cs="Times New Roman"/>
        </w:rPr>
        <w:t>summarizes our approach to estimating the following model inputs:</w:t>
      </w:r>
    </w:p>
    <w:p w14:paraId="6F6286C1" w14:textId="77777777" w:rsidR="004B4482" w:rsidRDefault="004B4482">
      <w:pPr>
        <w:pStyle w:val="Default"/>
        <w:rPr>
          <w:rFonts w:ascii="Times New Roman" w:hAnsi="Times New Roman" w:cs="Times New Roman"/>
        </w:rPr>
      </w:pPr>
    </w:p>
    <w:p w14:paraId="31D89286" w14:textId="4DAA5EB6" w:rsidR="004B4482" w:rsidRPr="004B4482" w:rsidRDefault="004B4482" w:rsidP="004B4482">
      <w:pPr>
        <w:pStyle w:val="Default"/>
        <w:numPr>
          <w:ilvl w:val="0"/>
          <w:numId w:val="9"/>
        </w:numPr>
        <w:rPr>
          <w:rFonts w:ascii="Times New Roman" w:hAnsi="Times New Roman" w:cs="Times New Roman"/>
          <w:b/>
        </w:rPr>
      </w:pPr>
      <w:r w:rsidRPr="004B4482">
        <w:rPr>
          <w:rFonts w:ascii="Times New Roman" w:hAnsi="Times New Roman" w:cs="Times New Roman"/>
          <w:b/>
        </w:rPr>
        <w:t>Initial demographic distribution</w:t>
      </w:r>
    </w:p>
    <w:p w14:paraId="5C79F49F" w14:textId="1C005BFD" w:rsidR="004B4482" w:rsidRPr="004B4482" w:rsidRDefault="004B4482" w:rsidP="004B4482">
      <w:pPr>
        <w:pStyle w:val="Default"/>
        <w:numPr>
          <w:ilvl w:val="0"/>
          <w:numId w:val="9"/>
        </w:numPr>
        <w:rPr>
          <w:rFonts w:ascii="Times New Roman" w:hAnsi="Times New Roman" w:cs="Times New Roman"/>
          <w:b/>
        </w:rPr>
      </w:pPr>
      <w:r w:rsidRPr="004B4482">
        <w:rPr>
          <w:rFonts w:ascii="Times New Roman" w:hAnsi="Times New Roman" w:cs="Times New Roman"/>
          <w:b/>
        </w:rPr>
        <w:t>Mortality and fertility</w:t>
      </w:r>
    </w:p>
    <w:p w14:paraId="54D5B3A7" w14:textId="07691D01" w:rsidR="004B4482" w:rsidRDefault="004B4482" w:rsidP="004B4482">
      <w:pPr>
        <w:pStyle w:val="Default"/>
        <w:numPr>
          <w:ilvl w:val="0"/>
          <w:numId w:val="9"/>
        </w:numPr>
        <w:rPr>
          <w:rFonts w:ascii="Times New Roman" w:hAnsi="Times New Roman" w:cs="Times New Roman"/>
          <w:b/>
        </w:rPr>
      </w:pPr>
      <w:r w:rsidRPr="004B4482">
        <w:rPr>
          <w:rFonts w:ascii="Times New Roman" w:hAnsi="Times New Roman" w:cs="Times New Roman"/>
          <w:b/>
        </w:rPr>
        <w:t>Additional modeled effects of demography</w:t>
      </w:r>
    </w:p>
    <w:p w14:paraId="2EC547AF" w14:textId="615BBF64" w:rsidR="004C4434" w:rsidRPr="004B4482" w:rsidRDefault="004C4434" w:rsidP="004B4482">
      <w:pPr>
        <w:pStyle w:val="Default"/>
        <w:numPr>
          <w:ilvl w:val="0"/>
          <w:numId w:val="9"/>
        </w:numPr>
        <w:rPr>
          <w:rFonts w:ascii="Times New Roman" w:hAnsi="Times New Roman" w:cs="Times New Roman"/>
          <w:b/>
        </w:rPr>
      </w:pPr>
      <w:r>
        <w:rPr>
          <w:rFonts w:ascii="Times New Roman" w:hAnsi="Times New Roman" w:cs="Times New Roman"/>
          <w:b/>
        </w:rPr>
        <w:t>Social network structure</w:t>
      </w:r>
    </w:p>
    <w:p w14:paraId="2559F718" w14:textId="63F37B50" w:rsidR="004B4482" w:rsidRPr="004B4482" w:rsidRDefault="004B4482" w:rsidP="004B4482">
      <w:pPr>
        <w:pStyle w:val="Default"/>
        <w:numPr>
          <w:ilvl w:val="0"/>
          <w:numId w:val="9"/>
        </w:numPr>
        <w:rPr>
          <w:rFonts w:ascii="Times New Roman" w:hAnsi="Times New Roman" w:cs="Times New Roman"/>
          <w:b/>
        </w:rPr>
      </w:pPr>
      <w:r w:rsidRPr="004B4482">
        <w:rPr>
          <w:rFonts w:ascii="Times New Roman" w:hAnsi="Times New Roman" w:cs="Times New Roman"/>
          <w:b/>
        </w:rPr>
        <w:t>Utility layers</w:t>
      </w:r>
    </w:p>
    <w:p w14:paraId="668A5533" w14:textId="270D1CE6" w:rsidR="004B4482" w:rsidRPr="004B4482" w:rsidRDefault="004B4482" w:rsidP="004B4482">
      <w:pPr>
        <w:pStyle w:val="Default"/>
        <w:numPr>
          <w:ilvl w:val="0"/>
          <w:numId w:val="9"/>
        </w:numPr>
        <w:rPr>
          <w:rFonts w:ascii="Times New Roman" w:hAnsi="Times New Roman" w:cs="Times New Roman"/>
          <w:b/>
        </w:rPr>
      </w:pPr>
      <w:r w:rsidRPr="004B4482">
        <w:rPr>
          <w:rFonts w:ascii="Times New Roman" w:hAnsi="Times New Roman" w:cs="Times New Roman"/>
          <w:b/>
        </w:rPr>
        <w:t>Moving costs</w:t>
      </w:r>
    </w:p>
    <w:p w14:paraId="0ECE9A96" w14:textId="387DC914" w:rsidR="004B4482" w:rsidRPr="004B4482" w:rsidRDefault="004B4482" w:rsidP="004B4482">
      <w:pPr>
        <w:pStyle w:val="Default"/>
        <w:numPr>
          <w:ilvl w:val="0"/>
          <w:numId w:val="9"/>
        </w:numPr>
        <w:rPr>
          <w:rFonts w:ascii="Times New Roman" w:hAnsi="Times New Roman" w:cs="Times New Roman"/>
          <w:b/>
        </w:rPr>
      </w:pPr>
      <w:r w:rsidRPr="004B4482">
        <w:rPr>
          <w:rFonts w:ascii="Times New Roman" w:hAnsi="Times New Roman" w:cs="Times New Roman"/>
          <w:b/>
        </w:rPr>
        <w:t>Remittance costs</w:t>
      </w:r>
    </w:p>
    <w:p w14:paraId="3D1A6412" w14:textId="77777777" w:rsidR="004B4482" w:rsidRDefault="004B4482">
      <w:pPr>
        <w:pStyle w:val="Default"/>
        <w:rPr>
          <w:rFonts w:ascii="Times New Roman" w:hAnsi="Times New Roman" w:cs="Times New Roman"/>
        </w:rPr>
      </w:pPr>
    </w:p>
    <w:p w14:paraId="776A81F1" w14:textId="07461697" w:rsidR="00AE4CF4" w:rsidRPr="0067205B" w:rsidRDefault="000A1E5A">
      <w:pPr>
        <w:pStyle w:val="Default"/>
        <w:rPr>
          <w:rFonts w:ascii="Times New Roman" w:hAnsi="Times New Roman" w:cs="Times New Roman"/>
          <w:b/>
          <w:i/>
        </w:rPr>
      </w:pPr>
      <w:r>
        <w:rPr>
          <w:rFonts w:ascii="Times New Roman" w:hAnsi="Times New Roman" w:cs="Times New Roman"/>
          <w:b/>
          <w:i/>
        </w:rPr>
        <w:t xml:space="preserve">1 </w:t>
      </w:r>
      <w:r w:rsidR="00AE4CF4" w:rsidRPr="0067205B">
        <w:rPr>
          <w:rFonts w:ascii="Times New Roman" w:hAnsi="Times New Roman" w:cs="Times New Roman"/>
          <w:b/>
          <w:i/>
        </w:rPr>
        <w:t>Initial demographic distribution</w:t>
      </w:r>
    </w:p>
    <w:p w14:paraId="4C080086" w14:textId="1F23A0B2" w:rsidR="00AE4CF4" w:rsidRDefault="00AE4CF4">
      <w:pPr>
        <w:pStyle w:val="Default"/>
        <w:rPr>
          <w:rFonts w:ascii="Times New Roman" w:hAnsi="Times New Roman" w:cs="Times New Roman"/>
        </w:rPr>
      </w:pPr>
      <w:r>
        <w:rPr>
          <w:rFonts w:ascii="Times New Roman" w:hAnsi="Times New Roman" w:cs="Times New Roman"/>
        </w:rPr>
        <w:t xml:space="preserve">We model demography (age, gender, and location) at simulation start based on age- and gender-disaggregated district-level population data from the 2011 Bangladesh Population Census, made available via IPUMS International </w:t>
      </w:r>
      <w:r>
        <w:rPr>
          <w:rFonts w:ascii="Times New Roman" w:hAnsi="Times New Roman" w:cs="Times New Roman"/>
        </w:rPr>
        <w:fldChar w:fldCharType="begin" w:fldLock="1"/>
      </w:r>
      <w:r w:rsidR="004D0A2B">
        <w:rPr>
          <w:rFonts w:ascii="Times New Roman" w:hAnsi="Times New Roman" w:cs="Times New Roman"/>
        </w:rPr>
        <w:instrText>ADDIN CSL_CITATION {"citationItems":[{"id":"ITEM-1","itemData":{"DOI":"10.18128/D020.V6.4","author":[{"dropping-particle":"","family":"Minnesota Population Center","given":"","non-dropping-particle":"","parse-names":false,"suffix":""}],"id":"ITEM-1","issued":{"date-parts":[["2015"]]},"publisher":"University of Minnesota","publisher-place":"Minneapolis, MN","title":"Integrated Public Use Microdata Series, International: Version 6.4 [dataset]","type":"article"},"uris":["http://www.mendeley.com/documents/?uuid=87a71d61-3585-4982-8531-4dc672db386d"]}],"mendeley":{"formattedCitation":"(Minnesota Population Center 2015)","plainTextFormattedCitation":"(Minnesota Population Center 2015)","previouslyFormattedCitation":"(Minnesota Population Center, 2015)"},"properties":{"noteIndex":0},"schema":"https://github.com/citation-style-language/schema/raw/master/csl-citation.json"}</w:instrText>
      </w:r>
      <w:r>
        <w:rPr>
          <w:rFonts w:ascii="Times New Roman" w:hAnsi="Times New Roman" w:cs="Times New Roman"/>
        </w:rPr>
        <w:fldChar w:fldCharType="separate"/>
      </w:r>
      <w:r w:rsidR="004D0A2B" w:rsidRPr="004D0A2B">
        <w:rPr>
          <w:rFonts w:ascii="Times New Roman" w:hAnsi="Times New Roman" w:cs="Times New Roman"/>
          <w:noProof/>
        </w:rPr>
        <w:t>(Minnesota Population Center 2015)</w:t>
      </w:r>
      <w:r>
        <w:rPr>
          <w:rFonts w:ascii="Times New Roman" w:hAnsi="Times New Roman" w:cs="Times New Roman"/>
        </w:rPr>
        <w:fldChar w:fldCharType="end"/>
      </w:r>
      <w:r>
        <w:rPr>
          <w:rFonts w:ascii="Times New Roman" w:hAnsi="Times New Roman" w:cs="Times New Roman"/>
        </w:rPr>
        <w:t xml:space="preserve">.  Specifically, for each agent initialized in a simulation, we </w:t>
      </w:r>
      <w:r w:rsidR="0067205B">
        <w:rPr>
          <w:rFonts w:ascii="Times New Roman" w:hAnsi="Times New Roman" w:cs="Times New Roman"/>
        </w:rPr>
        <w:t>assigned their location probabilistically based on census populations by district, then assigned gender probabilistically based on gender-disaggregated census populations within the assigned district, then finally assigned age probabilistically based on age-disaggregated census population within assigned gender and district.</w:t>
      </w:r>
      <w:r w:rsidR="0036552A">
        <w:rPr>
          <w:rFonts w:ascii="Times New Roman" w:hAnsi="Times New Roman" w:cs="Times New Roman"/>
        </w:rPr>
        <w:t xml:space="preserve">  Age classification included the groups of 0 years, 1-4 years, 5-9 years and all 5-year groups up to 84, and a final group of 85-100 years.</w:t>
      </w:r>
    </w:p>
    <w:p w14:paraId="2BAAD5F2" w14:textId="77777777" w:rsidR="00A37E5D" w:rsidRDefault="00A37E5D">
      <w:pPr>
        <w:pStyle w:val="Default"/>
        <w:rPr>
          <w:rFonts w:ascii="Times New Roman" w:hAnsi="Times New Roman" w:cs="Times New Roman"/>
        </w:rPr>
      </w:pPr>
    </w:p>
    <w:p w14:paraId="768389F3" w14:textId="26DD6211" w:rsidR="0036552A" w:rsidRPr="0036552A" w:rsidRDefault="000A1E5A">
      <w:pPr>
        <w:pStyle w:val="Default"/>
        <w:rPr>
          <w:rFonts w:ascii="Times New Roman" w:hAnsi="Times New Roman" w:cs="Times New Roman"/>
          <w:b/>
          <w:i/>
        </w:rPr>
      </w:pPr>
      <w:r>
        <w:rPr>
          <w:rFonts w:ascii="Times New Roman" w:hAnsi="Times New Roman" w:cs="Times New Roman"/>
          <w:b/>
          <w:i/>
        </w:rPr>
        <w:t xml:space="preserve">2 </w:t>
      </w:r>
      <w:r w:rsidR="0036552A" w:rsidRPr="0036552A">
        <w:rPr>
          <w:rFonts w:ascii="Times New Roman" w:hAnsi="Times New Roman" w:cs="Times New Roman"/>
          <w:b/>
          <w:i/>
        </w:rPr>
        <w:t>Mortality and Fertility</w:t>
      </w:r>
    </w:p>
    <w:p w14:paraId="2F502165" w14:textId="179B56B0" w:rsidR="0036552A" w:rsidRDefault="0036552A">
      <w:pPr>
        <w:pStyle w:val="Default"/>
        <w:rPr>
          <w:rFonts w:ascii="Times New Roman" w:hAnsi="Times New Roman" w:cs="Times New Roman"/>
        </w:rPr>
      </w:pPr>
      <w:r>
        <w:rPr>
          <w:rFonts w:ascii="Times New Roman" w:hAnsi="Times New Roman" w:cs="Times New Roman"/>
        </w:rPr>
        <w:t xml:space="preserve">Mortality data was taken from the Global Health Observatory data repository of the WHO </w:t>
      </w:r>
      <w:r>
        <w:rPr>
          <w:rFonts w:ascii="Times New Roman" w:hAnsi="Times New Roman" w:cs="Times New Roman"/>
        </w:rPr>
        <w:fldChar w:fldCharType="begin" w:fldLock="1"/>
      </w:r>
      <w:r w:rsidR="004D0A2B">
        <w:rPr>
          <w:rFonts w:ascii="Times New Roman" w:hAnsi="Times New Roman" w:cs="Times New Roman"/>
        </w:rPr>
        <w:instrText>ADDIN CSL_CITATION {"citationItems":[{"id":"ITEM-1","itemData":{"author":[{"dropping-particle":"","family":"WHO","given":"","non-dropping-particle":"","parse-names":false,"suffix":""}],"id":"ITEM-1","issued":{"date-parts":[["2015"]]},"title":"Global Health Observatory data repository","type":"webpage"},"uris":["http://www.mendeley.com/documents/?uuid=9bbcb99c-e9de-4074-9c6a-5fd89f5afdca"]}],"mendeley":{"formattedCitation":"(WHO 2015)","plainTextFormattedCitation":"(WHO 2015)","previouslyFormattedCitation":"(WHO, 2015)"},"properties":{"noteIndex":0},"schema":"https://github.com/citation-style-language/schema/raw/master/csl-citation.json"}</w:instrText>
      </w:r>
      <w:r>
        <w:rPr>
          <w:rFonts w:ascii="Times New Roman" w:hAnsi="Times New Roman" w:cs="Times New Roman"/>
        </w:rPr>
        <w:fldChar w:fldCharType="separate"/>
      </w:r>
      <w:r w:rsidR="004D0A2B" w:rsidRPr="004D0A2B">
        <w:rPr>
          <w:rFonts w:ascii="Times New Roman" w:hAnsi="Times New Roman" w:cs="Times New Roman"/>
          <w:noProof/>
        </w:rPr>
        <w:t>(WHO 2015)</w:t>
      </w:r>
      <w:r>
        <w:rPr>
          <w:rFonts w:ascii="Times New Roman" w:hAnsi="Times New Roman" w:cs="Times New Roman"/>
        </w:rPr>
        <w:fldChar w:fldCharType="end"/>
      </w:r>
      <w:r>
        <w:rPr>
          <w:rFonts w:ascii="Times New Roman" w:hAnsi="Times New Roman" w:cs="Times New Roman"/>
        </w:rPr>
        <w:t>, with age- and gender-disaggregated mortality rates for age classes matching those of the Population Census data used for demographic distribution.  Mortality rates are the same in all districts.</w:t>
      </w:r>
    </w:p>
    <w:p w14:paraId="6DCD45FC" w14:textId="77777777" w:rsidR="0036552A" w:rsidRDefault="0036552A">
      <w:pPr>
        <w:pStyle w:val="Default"/>
        <w:rPr>
          <w:rFonts w:ascii="Times New Roman" w:hAnsi="Times New Roman" w:cs="Times New Roman"/>
        </w:rPr>
      </w:pPr>
    </w:p>
    <w:p w14:paraId="3F4D2217" w14:textId="0CF4664D" w:rsidR="0036552A" w:rsidRDefault="0036552A">
      <w:pPr>
        <w:pStyle w:val="Default"/>
        <w:rPr>
          <w:rFonts w:ascii="Times New Roman" w:hAnsi="Times New Roman" w:cs="Times New Roman"/>
        </w:rPr>
      </w:pPr>
      <w:r>
        <w:rPr>
          <w:rFonts w:ascii="Times New Roman" w:hAnsi="Times New Roman" w:cs="Times New Roman"/>
        </w:rPr>
        <w:t>Fertility data was taken from the World Fertility Data 2012 dataset produced by the United Nations Department of Economic and Social Affairs</w:t>
      </w:r>
      <w:r w:rsidR="00936519">
        <w:rPr>
          <w:rFonts w:ascii="Times New Roman" w:hAnsi="Times New Roman" w:cs="Times New Roman"/>
        </w:rPr>
        <w:t xml:space="preserve"> </w:t>
      </w:r>
      <w:r w:rsidR="00936519">
        <w:rPr>
          <w:rFonts w:ascii="Times New Roman" w:hAnsi="Times New Roman" w:cs="Times New Roman"/>
        </w:rPr>
        <w:fldChar w:fldCharType="begin" w:fldLock="1"/>
      </w:r>
      <w:r w:rsidR="004D0A2B">
        <w:rPr>
          <w:rFonts w:ascii="Times New Roman" w:hAnsi="Times New Roman" w:cs="Times New Roman"/>
        </w:rPr>
        <w:instrText>ADDIN CSL_CITATION {"citationItems":[{"id":"ITEM-1","itemData":{"author":[{"dropping-particle":"","family":"UNDESA","given":"","non-dropping-particle":"","parse-names":false,"suffix":""}],"id":"ITEM-1","issued":{"date-parts":[["2013"]]},"title":"World Fertility Data 2012","type":"webpage"},"uris":["http://www.mendeley.com/documents/?uuid=6d4a8df5-7151-4134-9f06-34503d68dfd5"]}],"mendeley":{"formattedCitation":"(UNDESA 2013)","plainTextFormattedCitation":"(UNDESA 2013)","previouslyFormattedCitation":"(UNDESA, 2013)"},"properties":{"noteIndex":0},"schema":"https://github.com/citation-style-language/schema/raw/master/csl-citation.json"}</w:instrText>
      </w:r>
      <w:r w:rsidR="00936519">
        <w:rPr>
          <w:rFonts w:ascii="Times New Roman" w:hAnsi="Times New Roman" w:cs="Times New Roman"/>
        </w:rPr>
        <w:fldChar w:fldCharType="separate"/>
      </w:r>
      <w:r w:rsidR="004D0A2B" w:rsidRPr="004D0A2B">
        <w:rPr>
          <w:rFonts w:ascii="Times New Roman" w:hAnsi="Times New Roman" w:cs="Times New Roman"/>
          <w:noProof/>
        </w:rPr>
        <w:t>(UNDESA 2013)</w:t>
      </w:r>
      <w:r w:rsidR="00936519">
        <w:rPr>
          <w:rFonts w:ascii="Times New Roman" w:hAnsi="Times New Roman" w:cs="Times New Roman"/>
        </w:rPr>
        <w:fldChar w:fldCharType="end"/>
      </w:r>
      <w:r w:rsidR="00936519">
        <w:rPr>
          <w:rFonts w:ascii="Times New Roman" w:hAnsi="Times New Roman" w:cs="Times New Roman"/>
        </w:rPr>
        <w:t>.  Fertility rates are reported for females in age classes from 15-19 and all 5-year groups up to 49.</w:t>
      </w:r>
    </w:p>
    <w:p w14:paraId="5DF3B5F2" w14:textId="016D9214" w:rsidR="0036552A" w:rsidRDefault="00C8401A">
      <w:pPr>
        <w:pStyle w:val="Default"/>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54E956A0" wp14:editId="6389B938">
                <wp:simplePos x="0" y="0"/>
                <wp:positionH relativeFrom="column">
                  <wp:posOffset>1714500</wp:posOffset>
                </wp:positionH>
                <wp:positionV relativeFrom="paragraph">
                  <wp:posOffset>123825</wp:posOffset>
                </wp:positionV>
                <wp:extent cx="4572000" cy="2891790"/>
                <wp:effectExtent l="0" t="0" r="0" b="3810"/>
                <wp:wrapSquare wrapText="bothSides"/>
                <wp:docPr id="6" name="Group 6"/>
                <wp:cNvGraphicFramePr/>
                <a:graphic xmlns:a="http://schemas.openxmlformats.org/drawingml/2006/main">
                  <a:graphicData uri="http://schemas.microsoft.com/office/word/2010/wordprocessingGroup">
                    <wpg:wgp>
                      <wpg:cNvGrpSpPr/>
                      <wpg:grpSpPr>
                        <a:xfrm>
                          <a:off x="0" y="0"/>
                          <a:ext cx="4572000" cy="2891790"/>
                          <a:chOff x="0" y="0"/>
                          <a:chExt cx="4572000" cy="2891790"/>
                        </a:xfrm>
                      </wpg:grpSpPr>
                      <wpg:graphicFrame>
                        <wpg:cNvPr id="3" name="Chart 3"/>
                        <wpg:cNvFrPr/>
                        <wpg:xfrm>
                          <a:off x="0" y="0"/>
                          <a:ext cx="4572000" cy="2743200"/>
                        </wpg:xfrm>
                        <a:graphic>
                          <a:graphicData uri="http://schemas.openxmlformats.org/drawingml/2006/chart">
                            <c:chart xmlns:c="http://schemas.openxmlformats.org/drawingml/2006/chart" xmlns:r="http://schemas.openxmlformats.org/officeDocument/2006/relationships" r:id="rId8"/>
                          </a:graphicData>
                        </a:graphic>
                      </wpg:graphicFrame>
                      <wps:wsp>
                        <wps:cNvPr id="5" name="Text Box 5"/>
                        <wps:cNvSpPr txBox="1"/>
                        <wps:spPr>
                          <a:xfrm>
                            <a:off x="0" y="2608580"/>
                            <a:ext cx="4572000" cy="28321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7B44A8D3" w14:textId="67313749" w:rsidR="00021EBC" w:rsidRPr="00A87B85" w:rsidRDefault="00021EBC">
                              <w:pPr>
                                <w:rPr>
                                  <w:b/>
                                </w:rPr>
                              </w:pPr>
                              <w:r w:rsidRPr="00A87B85">
                                <w:rPr>
                                  <w:b/>
                                </w:rPr>
                                <w:t>Figure 1: Discount rate multiplier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 o:spid="_x0000_s1026" style="position:absolute;margin-left:135pt;margin-top:9.75pt;width:5in;height:227.7pt;z-index:251659264;mso-height-relative:margin" coordsize="4572000,2891790" o:gfxdata="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 o:spid="_x0000_s1027" type="#_x0000_t75" style="position:absolute;width:4572000;height:274320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">
                  <v:imagedata r:id="rId9" o:title=""/>
                  <o:lock v:ext="edit" aspectratio="f"/>
                </v:shape>
                <v:shapetype id="_x0000_t202" coordsize="21600,21600" o:spt="202" path="m0,0l0,21600,21600,21600,21600,0xe">
                  <v:stroke joinstyle="miter"/>
                  <v:path gradientshapeok="t" o:connecttype="rect"/>
                </v:shapetype>
                <v:shape id="Text Box 5" o:spid="_x0000_s1028" type="#_x0000_t202" style="position:absolute;top:2608580;width:4572000;height:283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hH4QxQAA&#10;ANoAAAAPAAAAZHJzL2Rvd25yZXYueG1sRI9Ba8JAFITvgv9heUIvRTcVtDa6SisUpQfbJj14fGaf&#10;SWz2bciuMf33rlDwOMzMN8xi1ZlKtNS40rKCp1EEgjizuuRcwU/6PpyBcB5ZY2WZFPyRg9Wy31tg&#10;rO2Fv6lNfC4ChF2MCgrv61hKlxVk0I1sTRy8o20M+iCbXOoGLwFuKjmOoqk0WHJYKLCmdUHZb3I2&#10;CtrTOfnilyh9O+xPH5vn9vGz7HZKPQy61zkIT52/h//bW61gArcr4QbI5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SEfhDFAAAA2gAAAA8AAAAAAAAAAAAAAAAAlwIAAGRycy9k&#10;b3ducmV2LnhtbFBLBQYAAAAABAAEAPUAAACJAwAAAAA=&#10;" filled="f" stroked="f" strokeweight=".5pt">
                  <v:textbox style="mso-fit-shape-to-text:t" inset="4pt,4pt,4pt,4pt">
                    <w:txbxContent>
                      <w:p w14:paraId="7B44A8D3" w14:textId="67313749" w:rsidR="00021EBC" w:rsidRPr="00A87B85" w:rsidRDefault="00021EBC">
                        <w:pPr>
                          <w:rPr>
                            <w:b/>
                          </w:rPr>
                        </w:pPr>
                        <w:r w:rsidRPr="00A87B85">
                          <w:rPr>
                            <w:b/>
                          </w:rPr>
                          <w:t>Figure 1: Discount rate multiplier</w:t>
                        </w:r>
                      </w:p>
                    </w:txbxContent>
                  </v:textbox>
                </v:shape>
                <w10:wrap type="square"/>
              </v:group>
            </w:pict>
          </mc:Fallback>
        </mc:AlternateContent>
      </w:r>
    </w:p>
    <w:p w14:paraId="6CE6372C" w14:textId="1607FD65" w:rsidR="00C55B54" w:rsidRPr="00C55B54" w:rsidRDefault="000A1E5A">
      <w:pPr>
        <w:pStyle w:val="Default"/>
        <w:rPr>
          <w:rFonts w:ascii="Times New Roman" w:hAnsi="Times New Roman" w:cs="Times New Roman"/>
          <w:b/>
          <w:i/>
        </w:rPr>
      </w:pPr>
      <w:r>
        <w:rPr>
          <w:rFonts w:ascii="Times New Roman" w:hAnsi="Times New Roman" w:cs="Times New Roman"/>
          <w:b/>
          <w:i/>
        </w:rPr>
        <w:t xml:space="preserve">3 </w:t>
      </w:r>
      <w:r w:rsidR="00C55B54" w:rsidRPr="00C55B54">
        <w:rPr>
          <w:rFonts w:ascii="Times New Roman" w:hAnsi="Times New Roman" w:cs="Times New Roman"/>
          <w:b/>
          <w:i/>
        </w:rPr>
        <w:t>Additional modeled effects of demography</w:t>
      </w:r>
    </w:p>
    <w:p w14:paraId="56DF8B8B" w14:textId="0A5E7B03" w:rsidR="00C55B54" w:rsidRDefault="00F23397">
      <w:pPr>
        <w:pStyle w:val="Default"/>
        <w:rPr>
          <w:rFonts w:ascii="Times New Roman" w:hAnsi="Times New Roman" w:cs="Times New Roman"/>
        </w:rPr>
      </w:pPr>
      <w:r>
        <w:rPr>
          <w:rFonts w:ascii="Times New Roman" w:hAnsi="Times New Roman" w:cs="Times New Roman"/>
        </w:rPr>
        <w:t>There is considerable flexibility in MIDAS to implement demography-specific effects on decision, structure, etc.  In the current simulation, only one age-specific effect is implemented – a gradual increase in discount rate over time, such that older agents will discount the future more highly (and thus value possible returns from a change in portfolio less highly against the upfront costs).  Agents’ individual discount rates are randomly distributed with dist</w:t>
      </w:r>
      <w:r w:rsidR="00944EF4">
        <w:rPr>
          <w:rFonts w:ascii="Times New Roman" w:hAnsi="Times New Roman" w:cs="Times New Roman"/>
        </w:rPr>
        <w:t>ribution parameters included as calibration parameters; however, the factor by which their individual discount rates change over time is not.  It is presently a fixed data input</w:t>
      </w:r>
      <w:r w:rsidR="00A87B85">
        <w:rPr>
          <w:rFonts w:ascii="Times New Roman" w:hAnsi="Times New Roman" w:cs="Times New Roman"/>
        </w:rPr>
        <w:t xml:space="preserve"> (Figure 1)</w:t>
      </w:r>
      <w:r w:rsidR="00944EF4">
        <w:rPr>
          <w:rFonts w:ascii="Times New Roman" w:hAnsi="Times New Roman" w:cs="Times New Roman"/>
        </w:rPr>
        <w:t xml:space="preserve">, but there is room to explore this and other demographic effects on decisions and behavior in model extensions.  </w:t>
      </w:r>
    </w:p>
    <w:p w14:paraId="35528790" w14:textId="77777777" w:rsidR="00E743F1" w:rsidRDefault="00E743F1" w:rsidP="00E743F1">
      <w:pPr>
        <w:pStyle w:val="Default"/>
        <w:rPr>
          <w:rFonts w:ascii="Times New Roman" w:hAnsi="Times New Roman" w:cs="Times New Roman"/>
        </w:rPr>
      </w:pPr>
    </w:p>
    <w:p w14:paraId="3A276320" w14:textId="4B90CFA7" w:rsidR="00E743F1" w:rsidRPr="00E743F1" w:rsidRDefault="000A1E5A" w:rsidP="00E743F1">
      <w:pPr>
        <w:pStyle w:val="Default"/>
        <w:rPr>
          <w:rFonts w:ascii="Times New Roman" w:hAnsi="Times New Roman" w:cs="Times New Roman"/>
          <w:b/>
          <w:i/>
        </w:rPr>
      </w:pPr>
      <w:r>
        <w:rPr>
          <w:rFonts w:ascii="Times New Roman" w:hAnsi="Times New Roman" w:cs="Times New Roman"/>
          <w:b/>
          <w:i/>
        </w:rPr>
        <w:t xml:space="preserve">4 </w:t>
      </w:r>
      <w:r w:rsidR="00E743F1" w:rsidRPr="00E743F1">
        <w:rPr>
          <w:rFonts w:ascii="Times New Roman" w:hAnsi="Times New Roman" w:cs="Times New Roman"/>
          <w:b/>
          <w:i/>
        </w:rPr>
        <w:t>Social Network Structure</w:t>
      </w:r>
    </w:p>
    <w:p w14:paraId="003F7341" w14:textId="598C0375" w:rsidR="00B8023B" w:rsidRDefault="00B8023B">
      <w:pPr>
        <w:pStyle w:val="Default"/>
        <w:rPr>
          <w:rFonts w:ascii="Times New Roman" w:hAnsi="Times New Roman" w:cs="Times New Roman"/>
        </w:rPr>
      </w:pPr>
      <w:r>
        <w:rPr>
          <w:rFonts w:ascii="Times New Roman" w:hAnsi="Times New Roman" w:cs="Times New Roman"/>
        </w:rPr>
        <w:t xml:space="preserve">Social network connections in MIDAS are non-directed links between two agents </w:t>
      </w:r>
      <w:r>
        <w:rPr>
          <w:rFonts w:ascii="Times New Roman" w:hAnsi="Times New Roman" w:cs="Times New Roman"/>
          <w:i/>
        </w:rPr>
        <w:t xml:space="preserve">i </w:t>
      </w:r>
      <w:r>
        <w:rPr>
          <w:rFonts w:ascii="Times New Roman" w:hAnsi="Times New Roman" w:cs="Times New Roman"/>
        </w:rPr>
        <w:t xml:space="preserve">and </w:t>
      </w:r>
      <w:r>
        <w:rPr>
          <w:rFonts w:ascii="Times New Roman" w:hAnsi="Times New Roman" w:cs="Times New Roman"/>
          <w:i/>
        </w:rPr>
        <w:t xml:space="preserve">j, </w:t>
      </w:r>
      <w:r>
        <w:rPr>
          <w:rFonts w:ascii="Times New Roman" w:hAnsi="Times New Roman" w:cs="Times New Roman"/>
        </w:rPr>
        <w:t>described by a strength between 0 and 1 that influences the degree and likelihood of information and resource sharing in a simulation (see main ODD for more detail).  Social network connections decay over time and are strengthened through interaction, via parameters set during calibration.</w:t>
      </w:r>
    </w:p>
    <w:p w14:paraId="1F7EA778" w14:textId="77777777" w:rsidR="00B8023B" w:rsidRDefault="00B8023B">
      <w:pPr>
        <w:pStyle w:val="Default"/>
        <w:rPr>
          <w:rFonts w:ascii="Times New Roman" w:hAnsi="Times New Roman" w:cs="Times New Roman"/>
        </w:rPr>
      </w:pPr>
    </w:p>
    <w:p w14:paraId="5EFD60D3" w14:textId="0044B36D" w:rsidR="00370C3F" w:rsidRPr="000F518D" w:rsidRDefault="00370C3F">
      <w:pPr>
        <w:pStyle w:val="Default"/>
        <w:rPr>
          <w:rFonts w:ascii="Times New Roman" w:hAnsi="Times New Roman" w:cs="Times New Roman"/>
        </w:rPr>
      </w:pPr>
      <w:r>
        <w:rPr>
          <w:rFonts w:ascii="Times New Roman" w:hAnsi="Times New Roman" w:cs="Times New Roman"/>
        </w:rPr>
        <w:t xml:space="preserve">The network of connections among agents is constructed following a simple model.  The number of network connections </w:t>
      </w:r>
      <w:r>
        <w:rPr>
          <w:rFonts w:ascii="Times New Roman" w:hAnsi="Times New Roman" w:cs="Times New Roman"/>
          <w:i/>
        </w:rPr>
        <w:t>n</w:t>
      </w:r>
      <w:r>
        <w:rPr>
          <w:rFonts w:ascii="Times New Roman" w:hAnsi="Times New Roman" w:cs="Times New Roman"/>
        </w:rPr>
        <w:t xml:space="preserve"> that an agent </w:t>
      </w:r>
      <w:r>
        <w:rPr>
          <w:rFonts w:ascii="Times New Roman" w:hAnsi="Times New Roman" w:cs="Times New Roman"/>
          <w:i/>
        </w:rPr>
        <w:t>i</w:t>
      </w:r>
      <w:r>
        <w:rPr>
          <w:rFonts w:ascii="Times New Roman" w:hAnsi="Times New Roman" w:cs="Times New Roman"/>
        </w:rPr>
        <w:t xml:space="preserve"> ‘initiates’ </w:t>
      </w:r>
      <w:r w:rsidRPr="00370C3F">
        <w:rPr>
          <w:rFonts w:ascii="Times New Roman" w:hAnsi="Times New Roman" w:cs="Times New Roman"/>
        </w:rPr>
        <w:t>is</w:t>
      </w:r>
      <w:r>
        <w:rPr>
          <w:rFonts w:ascii="Times New Roman" w:hAnsi="Times New Roman" w:cs="Times New Roman"/>
        </w:rPr>
        <w:t xml:space="preserve"> drawn from the normal distribution N(μ</w:t>
      </w:r>
      <w:r>
        <w:rPr>
          <w:rFonts w:ascii="Times New Roman" w:hAnsi="Times New Roman" w:cs="Times New Roman"/>
          <w:vertAlign w:val="subscript"/>
        </w:rPr>
        <w:t>n</w:t>
      </w:r>
      <w:r>
        <w:rPr>
          <w:rFonts w:ascii="Times New Roman" w:hAnsi="Times New Roman" w:cs="Times New Roman"/>
        </w:rPr>
        <w:t>, σ</w:t>
      </w:r>
      <w:r>
        <w:rPr>
          <w:rFonts w:ascii="Times New Roman" w:hAnsi="Times New Roman" w:cs="Times New Roman"/>
          <w:vertAlign w:val="subscript"/>
        </w:rPr>
        <w:t>n</w:t>
      </w:r>
      <w:r>
        <w:rPr>
          <w:rFonts w:ascii="Times New Roman" w:hAnsi="Times New Roman" w:cs="Times New Roman"/>
        </w:rPr>
        <w:t>), where both μ</w:t>
      </w:r>
      <w:r>
        <w:rPr>
          <w:rFonts w:ascii="Times New Roman" w:hAnsi="Times New Roman" w:cs="Times New Roman"/>
          <w:vertAlign w:val="subscript"/>
        </w:rPr>
        <w:t>n</w:t>
      </w:r>
      <w:r>
        <w:rPr>
          <w:rFonts w:ascii="Times New Roman" w:hAnsi="Times New Roman" w:cs="Times New Roman"/>
        </w:rPr>
        <w:t xml:space="preserve"> and σ</w:t>
      </w:r>
      <w:r>
        <w:rPr>
          <w:rFonts w:ascii="Times New Roman" w:hAnsi="Times New Roman" w:cs="Times New Roman"/>
          <w:vertAlign w:val="subscript"/>
        </w:rPr>
        <w:t>n</w:t>
      </w:r>
      <w:r w:rsidR="00A22E38">
        <w:rPr>
          <w:rFonts w:ascii="Times New Roman" w:hAnsi="Times New Roman" w:cs="Times New Roman"/>
        </w:rPr>
        <w:t xml:space="preserve"> are calibration parameters.  This is repeated for all </w:t>
      </w:r>
      <w:r w:rsidR="00A22E38">
        <w:rPr>
          <w:rFonts w:ascii="Times New Roman" w:hAnsi="Times New Roman" w:cs="Times New Roman"/>
          <w:i/>
        </w:rPr>
        <w:t>i</w:t>
      </w:r>
      <w:r w:rsidR="00A22E38">
        <w:rPr>
          <w:rFonts w:ascii="Times New Roman" w:hAnsi="Times New Roman" w:cs="Times New Roman"/>
        </w:rPr>
        <w:t xml:space="preserve">, generating a list of network connections for which one end of the link is defined.  The ordering of this list is randomized, and then for each link, an agent </w:t>
      </w:r>
      <w:r w:rsidR="00A22E38">
        <w:rPr>
          <w:rFonts w:ascii="Times New Roman" w:hAnsi="Times New Roman" w:cs="Times New Roman"/>
          <w:i/>
        </w:rPr>
        <w:t xml:space="preserve">j </w:t>
      </w:r>
      <w:r w:rsidR="00A22E38">
        <w:rPr>
          <w:rFonts w:ascii="Times New Roman" w:hAnsi="Times New Roman" w:cs="Times New Roman"/>
        </w:rPr>
        <w:t>is selected probabilistically to be the other end of the link (note – links are not directed in MIDAS).  The model used for identifying the likelihood of selection of an agent used in this application develops a weighted score of three factors: shared network connections, physical distance, and shared layers.</w:t>
      </w:r>
      <w:r w:rsidR="00B8023B">
        <w:rPr>
          <w:rFonts w:ascii="Times New Roman" w:hAnsi="Times New Roman" w:cs="Times New Roman"/>
        </w:rPr>
        <w:t xml:space="preserve">  </w:t>
      </w:r>
      <w:r w:rsidR="000F518D">
        <w:rPr>
          <w:rFonts w:ascii="Times New Roman" w:hAnsi="Times New Roman" w:cs="Times New Roman"/>
        </w:rPr>
        <w:t xml:space="preserve">The shared network connection score is the sum of the strengths of all links agent </w:t>
      </w:r>
      <w:r w:rsidR="000F518D">
        <w:rPr>
          <w:rFonts w:ascii="Times New Roman" w:hAnsi="Times New Roman" w:cs="Times New Roman"/>
          <w:i/>
        </w:rPr>
        <w:t>i</w:t>
      </w:r>
      <w:r w:rsidR="000F518D">
        <w:rPr>
          <w:rFonts w:ascii="Times New Roman" w:hAnsi="Times New Roman" w:cs="Times New Roman"/>
        </w:rPr>
        <w:t xml:space="preserve"> has with other agents also connected to agent </w:t>
      </w:r>
      <w:r w:rsidR="000F518D">
        <w:rPr>
          <w:rFonts w:ascii="Times New Roman" w:hAnsi="Times New Roman" w:cs="Times New Roman"/>
          <w:i/>
        </w:rPr>
        <w:t>j</w:t>
      </w:r>
      <w:r w:rsidR="000F518D">
        <w:rPr>
          <w:rFonts w:ascii="Times New Roman" w:hAnsi="Times New Roman" w:cs="Times New Roman"/>
        </w:rPr>
        <w:t xml:space="preserve">, normalized by the highest raw connection score across all agents </w:t>
      </w:r>
      <w:r w:rsidR="000F518D">
        <w:rPr>
          <w:rFonts w:ascii="Times New Roman" w:hAnsi="Times New Roman" w:cs="Times New Roman"/>
          <w:i/>
        </w:rPr>
        <w:t>j</w:t>
      </w:r>
      <w:r w:rsidR="000F518D">
        <w:rPr>
          <w:rFonts w:ascii="Times New Roman" w:hAnsi="Times New Roman" w:cs="Times New Roman"/>
        </w:rPr>
        <w:t xml:space="preserve">.  The distance score is calculated from the distance between agent </w:t>
      </w:r>
      <w:r w:rsidR="000F518D">
        <w:rPr>
          <w:rFonts w:ascii="Times New Roman" w:hAnsi="Times New Roman" w:cs="Times New Roman"/>
          <w:i/>
        </w:rPr>
        <w:t>i</w:t>
      </w:r>
      <w:r w:rsidR="000F518D">
        <w:rPr>
          <w:rFonts w:ascii="Times New Roman" w:hAnsi="Times New Roman" w:cs="Times New Roman"/>
        </w:rPr>
        <w:t xml:space="preserve"> and agent </w:t>
      </w:r>
      <w:r w:rsidR="000F518D">
        <w:rPr>
          <w:rFonts w:ascii="Times New Roman" w:hAnsi="Times New Roman" w:cs="Times New Roman"/>
          <w:i/>
        </w:rPr>
        <w:t>j</w:t>
      </w:r>
      <w:r w:rsidR="000F518D">
        <w:rPr>
          <w:rFonts w:ascii="Times New Roman" w:hAnsi="Times New Roman" w:cs="Times New Roman"/>
        </w:rPr>
        <w:t xml:space="preserve">, raised to a polynomial (chosen by calibration) and normalized by all distances to agents </w:t>
      </w:r>
      <w:r w:rsidR="000F518D">
        <w:rPr>
          <w:rFonts w:ascii="Times New Roman" w:hAnsi="Times New Roman" w:cs="Times New Roman"/>
          <w:i/>
        </w:rPr>
        <w:t>j</w:t>
      </w:r>
      <w:r w:rsidR="000F518D">
        <w:rPr>
          <w:rFonts w:ascii="Times New Roman" w:hAnsi="Times New Roman" w:cs="Times New Roman"/>
        </w:rPr>
        <w:t xml:space="preserve">, such that shorter distances have nonlinearly higher scores.  The shared layer score is estimated by the number of layers in the same place that agent </w:t>
      </w:r>
      <w:r w:rsidR="000F518D">
        <w:rPr>
          <w:rFonts w:ascii="Times New Roman" w:hAnsi="Times New Roman" w:cs="Times New Roman"/>
          <w:i/>
        </w:rPr>
        <w:t xml:space="preserve">i </w:t>
      </w:r>
      <w:r w:rsidR="000F518D">
        <w:rPr>
          <w:rFonts w:ascii="Times New Roman" w:hAnsi="Times New Roman" w:cs="Times New Roman"/>
        </w:rPr>
        <w:t xml:space="preserve">and agent </w:t>
      </w:r>
      <w:r w:rsidR="000F518D">
        <w:rPr>
          <w:rFonts w:ascii="Times New Roman" w:hAnsi="Times New Roman" w:cs="Times New Roman"/>
          <w:i/>
        </w:rPr>
        <w:t>j</w:t>
      </w:r>
      <w:r w:rsidR="000F518D">
        <w:rPr>
          <w:rFonts w:ascii="Times New Roman" w:hAnsi="Times New Roman" w:cs="Times New Roman"/>
        </w:rPr>
        <w:t xml:space="preserve"> both occupy, again normalized by the highest number of shared layers between agent </w:t>
      </w:r>
      <w:r w:rsidR="000F518D">
        <w:rPr>
          <w:rFonts w:ascii="Times New Roman" w:hAnsi="Times New Roman" w:cs="Times New Roman"/>
          <w:i/>
        </w:rPr>
        <w:t xml:space="preserve">i </w:t>
      </w:r>
      <w:r w:rsidR="000F518D">
        <w:rPr>
          <w:rFonts w:ascii="Times New Roman" w:hAnsi="Times New Roman" w:cs="Times New Roman"/>
        </w:rPr>
        <w:t xml:space="preserve">and any agent </w:t>
      </w:r>
      <w:r w:rsidR="000F518D">
        <w:rPr>
          <w:rFonts w:ascii="Times New Roman" w:hAnsi="Times New Roman" w:cs="Times New Roman"/>
          <w:i/>
        </w:rPr>
        <w:t>j.</w:t>
      </w:r>
      <w:r w:rsidR="000F518D">
        <w:rPr>
          <w:rFonts w:ascii="Times New Roman" w:hAnsi="Times New Roman" w:cs="Times New Roman"/>
        </w:rPr>
        <w:t xml:space="preserve">  The weights allocated to each of these three scores are also found by calibration.</w:t>
      </w:r>
    </w:p>
    <w:p w14:paraId="7637C4C4" w14:textId="77777777" w:rsidR="00370C3F" w:rsidRPr="006D49F7" w:rsidRDefault="00370C3F">
      <w:pPr>
        <w:pStyle w:val="Default"/>
        <w:rPr>
          <w:rFonts w:ascii="Times New Roman" w:hAnsi="Times New Roman" w:cs="Times New Roman"/>
        </w:rPr>
      </w:pPr>
    </w:p>
    <w:p w14:paraId="7A458FF8" w14:textId="0D7B09D8" w:rsidR="006D49F7" w:rsidRPr="007B5522" w:rsidRDefault="000A1E5A">
      <w:pPr>
        <w:pStyle w:val="Default"/>
        <w:rPr>
          <w:rFonts w:ascii="Times New Roman" w:hAnsi="Times New Roman" w:cs="Times New Roman"/>
          <w:b/>
          <w:i/>
        </w:rPr>
      </w:pPr>
      <w:r>
        <w:rPr>
          <w:rFonts w:ascii="Times New Roman" w:hAnsi="Times New Roman" w:cs="Times New Roman"/>
          <w:b/>
          <w:i/>
        </w:rPr>
        <w:t xml:space="preserve">5 </w:t>
      </w:r>
      <w:r w:rsidR="006D49F7" w:rsidRPr="007B5522">
        <w:rPr>
          <w:rFonts w:ascii="Times New Roman" w:hAnsi="Times New Roman" w:cs="Times New Roman"/>
          <w:b/>
          <w:i/>
        </w:rPr>
        <w:t>Utility Layers</w:t>
      </w:r>
    </w:p>
    <w:p w14:paraId="192B266D" w14:textId="4F607C0C" w:rsidR="004B4482" w:rsidRDefault="000A1E5A" w:rsidP="004B4482">
      <w:pPr>
        <w:pStyle w:val="Default"/>
        <w:rPr>
          <w:rFonts w:ascii="Times New Roman" w:hAnsi="Times New Roman" w:cs="Times New Roman"/>
        </w:rPr>
      </w:pPr>
      <w:r>
        <w:rPr>
          <w:rFonts w:ascii="Times New Roman" w:hAnsi="Times New Roman" w:cs="Times New Roman"/>
        </w:rPr>
        <w:t>W</w:t>
      </w:r>
      <w:r w:rsidR="006D49F7">
        <w:rPr>
          <w:rFonts w:ascii="Times New Roman" w:hAnsi="Times New Roman" w:cs="Times New Roman"/>
        </w:rPr>
        <w:t xml:space="preserve">e derived </w:t>
      </w:r>
      <w:r w:rsidR="00DA5648">
        <w:rPr>
          <w:rFonts w:ascii="Times New Roman" w:hAnsi="Times New Roman" w:cs="Times New Roman"/>
        </w:rPr>
        <w:t>all utility layers for this simulation from three waves (2005, 2010, 2015) of the Bangladesh Household Incom</w:t>
      </w:r>
      <w:r w:rsidR="004B4482">
        <w:rPr>
          <w:rFonts w:ascii="Times New Roman" w:hAnsi="Times New Roman" w:cs="Times New Roman"/>
        </w:rPr>
        <w:t>e and Expenditure Survey (HIES).  Utility in timesteps representing the years 2005 to 2015 are developed as described below; spin-up time periods are a repeating cycle of the year 2005.</w:t>
      </w:r>
    </w:p>
    <w:p w14:paraId="09926126" w14:textId="77777777" w:rsidR="00DA5648" w:rsidRDefault="00DA5648">
      <w:pPr>
        <w:pStyle w:val="Default"/>
        <w:rPr>
          <w:rFonts w:ascii="Times New Roman" w:hAnsi="Times New Roman" w:cs="Times New Roman"/>
        </w:rPr>
      </w:pPr>
    </w:p>
    <w:p w14:paraId="4FA5AE91" w14:textId="6DE1B68B" w:rsidR="00412BEE" w:rsidRPr="006D49F7" w:rsidRDefault="00412BEE" w:rsidP="00412BEE">
      <w:pPr>
        <w:pStyle w:val="Default"/>
        <w:rPr>
          <w:rFonts w:ascii="Times New Roman" w:hAnsi="Times New Roman" w:cs="Times New Roman"/>
        </w:rPr>
      </w:pPr>
      <w:r>
        <w:rPr>
          <w:rFonts w:ascii="Times New Roman" w:hAnsi="Times New Roman" w:cs="Times New Roman"/>
        </w:rPr>
        <w:t xml:space="preserve">A complete specification for a utility layer includes i) the utility stream over time, ii) the time commitment of the layer as a fraction of total available time, </w:t>
      </w:r>
      <w:r w:rsidR="00BA7790">
        <w:rPr>
          <w:rFonts w:ascii="Times New Roman" w:hAnsi="Times New Roman" w:cs="Times New Roman"/>
        </w:rPr>
        <w:t xml:space="preserve">iii) a classification of the number of openings in the layer as ‘fixed’ (meaning only a certain number of agents may access the layer – e.g., a limited number of teaching jobs in a district) or ‘open’ (meaning no restriction on access, though the value of the layer may decline with excess occupation – e.g., too many taxi drivers competing for fares drives down individual earnings) </w:t>
      </w:r>
      <w:r>
        <w:rPr>
          <w:rFonts w:ascii="Times New Roman" w:hAnsi="Times New Roman" w:cs="Times New Roman"/>
        </w:rPr>
        <w:t xml:space="preserve">and </w:t>
      </w:r>
      <w:r w:rsidR="00BA7790">
        <w:rPr>
          <w:rFonts w:ascii="Times New Roman" w:hAnsi="Times New Roman" w:cs="Times New Roman"/>
        </w:rPr>
        <w:t>iv</w:t>
      </w:r>
      <w:r>
        <w:rPr>
          <w:rFonts w:ascii="Times New Roman" w:hAnsi="Times New Roman" w:cs="Times New Roman"/>
        </w:rPr>
        <w:t>) a cost for initially accessing the layer, which may allow an agent to access the same layer in other places (e.g., passing a certification valid anywhere in a state or country) or only in one place (e.g., buying an immovable asset like a house).  We describe below our identification of the set of included income sources as utility layers, and the estimation of these three properties of the included utility layers.</w:t>
      </w:r>
    </w:p>
    <w:p w14:paraId="2226E09F" w14:textId="77777777" w:rsidR="00412BEE" w:rsidRDefault="00412BEE">
      <w:pPr>
        <w:pStyle w:val="Default"/>
        <w:rPr>
          <w:rFonts w:ascii="Times New Roman" w:hAnsi="Times New Roman" w:cs="Times New Roman"/>
        </w:rPr>
      </w:pPr>
    </w:p>
    <w:p w14:paraId="4883F579" w14:textId="4383C2FC" w:rsidR="00412BEE" w:rsidRPr="00412BEE" w:rsidRDefault="000A1E5A">
      <w:pPr>
        <w:pStyle w:val="Default"/>
        <w:rPr>
          <w:rFonts w:ascii="Times New Roman" w:hAnsi="Times New Roman" w:cs="Times New Roman"/>
          <w:i/>
        </w:rPr>
      </w:pPr>
      <w:r>
        <w:rPr>
          <w:rFonts w:ascii="Times New Roman" w:hAnsi="Times New Roman" w:cs="Times New Roman"/>
          <w:i/>
        </w:rPr>
        <w:t xml:space="preserve">5.1 </w:t>
      </w:r>
      <w:r w:rsidR="00412BEE" w:rsidRPr="00412BEE">
        <w:rPr>
          <w:rFonts w:ascii="Times New Roman" w:hAnsi="Times New Roman" w:cs="Times New Roman"/>
          <w:i/>
        </w:rPr>
        <w:t>Included layers</w:t>
      </w:r>
    </w:p>
    <w:p w14:paraId="096D0844" w14:textId="77777777" w:rsidR="00B22A1B" w:rsidRDefault="00DA5648">
      <w:pPr>
        <w:pStyle w:val="Default"/>
        <w:rPr>
          <w:rFonts w:ascii="Times New Roman" w:hAnsi="Times New Roman" w:cs="Times New Roman"/>
        </w:rPr>
      </w:pPr>
      <w:r>
        <w:rPr>
          <w:rFonts w:ascii="Times New Roman" w:hAnsi="Times New Roman" w:cs="Times New Roman"/>
        </w:rPr>
        <w:t>We identified all income layers recorded in the surv</w:t>
      </w:r>
      <w:r w:rsidR="00B22A1B">
        <w:rPr>
          <w:rFonts w:ascii="Times New Roman" w:hAnsi="Times New Roman" w:cs="Times New Roman"/>
        </w:rPr>
        <w:t>ey as:</w:t>
      </w:r>
    </w:p>
    <w:p w14:paraId="36E2BBFF" w14:textId="77777777" w:rsidR="00B22A1B" w:rsidRDefault="00B22A1B">
      <w:pPr>
        <w:pStyle w:val="Default"/>
        <w:rPr>
          <w:rFonts w:ascii="Times New Roman" w:hAnsi="Times New Roman" w:cs="Times New Roman"/>
        </w:rPr>
      </w:pPr>
    </w:p>
    <w:p w14:paraId="3352EE51" w14:textId="77777777" w:rsidR="00B22A1B" w:rsidRDefault="00B22A1B" w:rsidP="00B22A1B">
      <w:pPr>
        <w:pStyle w:val="Default"/>
        <w:numPr>
          <w:ilvl w:val="0"/>
          <w:numId w:val="3"/>
        </w:numPr>
        <w:rPr>
          <w:rFonts w:ascii="Times New Roman" w:hAnsi="Times New Roman" w:cs="Times New Roman"/>
        </w:rPr>
        <w:sectPr w:rsidR="00B22A1B">
          <w:footerReference w:type="even" r:id="rId10"/>
          <w:footerReference w:type="default" r:id="rId11"/>
          <w:pgSz w:w="11906" w:h="16838"/>
          <w:pgMar w:top="1134" w:right="1134" w:bottom="1134" w:left="1134" w:header="709" w:footer="850" w:gutter="0"/>
          <w:cols w:space="720"/>
        </w:sectPr>
      </w:pPr>
    </w:p>
    <w:p w14:paraId="0F8D7A9C"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Remittance income</w:t>
      </w:r>
    </w:p>
    <w:p w14:paraId="41A57CB4"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Transfer income</w:t>
      </w:r>
    </w:p>
    <w:p w14:paraId="04ADCA8E"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Rest of other income</w:t>
      </w:r>
      <w:r w:rsidR="00EA7106">
        <w:rPr>
          <w:rFonts w:ascii="Times New Roman" w:hAnsi="Times New Roman" w:cs="Times New Roman"/>
        </w:rPr>
        <w:t xml:space="preserve"> (including rental income)</w:t>
      </w:r>
    </w:p>
    <w:p w14:paraId="1A404FCD"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Annual wage income</w:t>
      </w:r>
    </w:p>
    <w:p w14:paraId="30423760"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Annual in-kind income</w:t>
      </w:r>
    </w:p>
    <w:p w14:paraId="775337C9"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Annual salary income</w:t>
      </w:r>
    </w:p>
    <w:p w14:paraId="4E901906"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Sugarcane income</w:t>
      </w:r>
    </w:p>
    <w:p w14:paraId="091CD087"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Jute income</w:t>
      </w:r>
    </w:p>
    <w:p w14:paraId="31787A40"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Wheat income</w:t>
      </w:r>
    </w:p>
    <w:p w14:paraId="75F6AD5B"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Boro rice income</w:t>
      </w:r>
    </w:p>
    <w:p w14:paraId="13658089"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Aman rice income</w:t>
      </w:r>
    </w:p>
    <w:p w14:paraId="3800C0A4"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Aus rice income</w:t>
      </w:r>
    </w:p>
    <w:p w14:paraId="0FEB2840"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Oilseed income</w:t>
      </w:r>
    </w:p>
    <w:p w14:paraId="4B73DC77"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Pulse income</w:t>
      </w:r>
    </w:p>
    <w:p w14:paraId="36DDAA6E"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Maize income</w:t>
      </w:r>
    </w:p>
    <w:p w14:paraId="70E018B2"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Income from other crops</w:t>
      </w:r>
    </w:p>
    <w:p w14:paraId="60206397"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Total livestock sales</w:t>
      </w:r>
    </w:p>
    <w:p w14:paraId="55998CAB"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Total fish sales</w:t>
      </w:r>
    </w:p>
    <w:p w14:paraId="7EB65CC6" w14:textId="77777777" w:rsidR="00B22A1B" w:rsidRDefault="00B22A1B" w:rsidP="00B22A1B">
      <w:pPr>
        <w:pStyle w:val="Default"/>
        <w:numPr>
          <w:ilvl w:val="0"/>
          <w:numId w:val="3"/>
        </w:numPr>
        <w:rPr>
          <w:rFonts w:ascii="Times New Roman" w:hAnsi="Times New Roman" w:cs="Times New Roman"/>
        </w:rPr>
      </w:pPr>
      <w:r>
        <w:rPr>
          <w:rFonts w:ascii="Times New Roman" w:hAnsi="Times New Roman" w:cs="Times New Roman"/>
        </w:rPr>
        <w:t>Total tree sales</w:t>
      </w:r>
    </w:p>
    <w:p w14:paraId="35122445" w14:textId="77777777" w:rsidR="00B22A1B" w:rsidRDefault="00B22A1B">
      <w:pPr>
        <w:pStyle w:val="Default"/>
        <w:rPr>
          <w:rFonts w:ascii="Times New Roman" w:hAnsi="Times New Roman" w:cs="Times New Roman"/>
        </w:rPr>
        <w:sectPr w:rsidR="00B22A1B" w:rsidSect="00B22A1B">
          <w:type w:val="continuous"/>
          <w:pgSz w:w="11906" w:h="16838"/>
          <w:pgMar w:top="1134" w:right="1134" w:bottom="1134" w:left="1134" w:header="709" w:footer="850" w:gutter="0"/>
          <w:cols w:num="2" w:space="720"/>
        </w:sectPr>
      </w:pPr>
    </w:p>
    <w:p w14:paraId="14064D27" w14:textId="77777777" w:rsidR="00B22A1B" w:rsidRDefault="00B22A1B">
      <w:pPr>
        <w:pStyle w:val="Default"/>
        <w:rPr>
          <w:rFonts w:ascii="Times New Roman" w:hAnsi="Times New Roman" w:cs="Times New Roman"/>
        </w:rPr>
      </w:pPr>
    </w:p>
    <w:p w14:paraId="50CA7BBA" w14:textId="28471726" w:rsidR="00B22A1B" w:rsidRDefault="00B22A1B">
      <w:pPr>
        <w:pStyle w:val="Default"/>
        <w:rPr>
          <w:rFonts w:ascii="Times New Roman" w:hAnsi="Times New Roman" w:cs="Times New Roman"/>
        </w:rPr>
      </w:pPr>
      <w:r>
        <w:rPr>
          <w:rFonts w:ascii="Times New Roman" w:hAnsi="Times New Roman" w:cs="Times New Roman"/>
        </w:rPr>
        <w:t>We summed all income sources at the household level, and classified household</w:t>
      </w:r>
      <w:r w:rsidR="000B6903">
        <w:rPr>
          <w:rFonts w:ascii="Times New Roman" w:hAnsi="Times New Roman" w:cs="Times New Roman"/>
        </w:rPr>
        <w:t>s into four income quartiles (Q4 highest, Q1</w:t>
      </w:r>
      <w:r>
        <w:rPr>
          <w:rFonts w:ascii="Times New Roman" w:hAnsi="Times New Roman" w:cs="Times New Roman"/>
        </w:rPr>
        <w:t xml:space="preserve"> lowest).</w:t>
      </w:r>
    </w:p>
    <w:p w14:paraId="02F96F02" w14:textId="77777777" w:rsidR="00B22A1B" w:rsidRDefault="00B22A1B">
      <w:pPr>
        <w:pStyle w:val="Default"/>
        <w:rPr>
          <w:rFonts w:ascii="Times New Roman" w:hAnsi="Times New Roman" w:cs="Times New Roman"/>
        </w:rPr>
      </w:pPr>
    </w:p>
    <w:p w14:paraId="36244A70" w14:textId="77777777" w:rsidR="00B22A1B" w:rsidRDefault="00B22A1B">
      <w:pPr>
        <w:pStyle w:val="Default"/>
        <w:rPr>
          <w:rFonts w:ascii="Times New Roman" w:hAnsi="Times New Roman" w:cs="Times New Roman"/>
        </w:rPr>
      </w:pPr>
      <w:r>
        <w:rPr>
          <w:rFonts w:ascii="Times New Roman" w:hAnsi="Times New Roman" w:cs="Times New Roman"/>
        </w:rPr>
        <w:t>Next, we selected income layers for inclusion in our model – we chose to exclude income sources 1, 2, and 5 (remittance, transfer, and in-kind) as those sources would be treated through social network interactions in MIDAS, making these layers more appropriate as possible calibration data; additionally, we excluded income sources 17 through 19 (livestock, fish, and tree sales) as at least one of these streams (livestock) appeared to have a larger order of magnitude than other sources, suggesting that they may not be directly interpretable as income (and rather, as revenue).</w:t>
      </w:r>
    </w:p>
    <w:p w14:paraId="294872B3" w14:textId="77777777" w:rsidR="00B22A1B" w:rsidRDefault="00B22A1B">
      <w:pPr>
        <w:pStyle w:val="Default"/>
        <w:rPr>
          <w:rFonts w:ascii="Times New Roman" w:hAnsi="Times New Roman" w:cs="Times New Roman"/>
        </w:rPr>
      </w:pPr>
    </w:p>
    <w:p w14:paraId="5B64F67F" w14:textId="30DC033B" w:rsidR="00412BEE" w:rsidRPr="00412BEE" w:rsidRDefault="000A1E5A">
      <w:pPr>
        <w:pStyle w:val="Default"/>
        <w:rPr>
          <w:rFonts w:ascii="Times New Roman" w:hAnsi="Times New Roman" w:cs="Times New Roman"/>
          <w:i/>
        </w:rPr>
      </w:pPr>
      <w:r>
        <w:rPr>
          <w:rFonts w:ascii="Times New Roman" w:hAnsi="Times New Roman" w:cs="Times New Roman"/>
          <w:i/>
        </w:rPr>
        <w:t xml:space="preserve">5.2 </w:t>
      </w:r>
      <w:r w:rsidR="00412BEE" w:rsidRPr="00412BEE">
        <w:rPr>
          <w:rFonts w:ascii="Times New Roman" w:hAnsi="Times New Roman" w:cs="Times New Roman"/>
          <w:i/>
        </w:rPr>
        <w:t>Utility Stream</w:t>
      </w:r>
    </w:p>
    <w:p w14:paraId="7E8B0ED3" w14:textId="76A1D9CB" w:rsidR="00BE323D" w:rsidRDefault="00BE323D">
      <w:pPr>
        <w:pStyle w:val="Default"/>
        <w:rPr>
          <w:rFonts w:ascii="Times New Roman" w:hAnsi="Times New Roman" w:cs="Times New Roman"/>
        </w:rPr>
      </w:pPr>
      <w:r>
        <w:rPr>
          <w:rFonts w:ascii="Times New Roman" w:hAnsi="Times New Roman" w:cs="Times New Roman"/>
        </w:rPr>
        <w:t>We use the following</w:t>
      </w:r>
      <w:r w:rsidR="006F4DA8">
        <w:rPr>
          <w:rFonts w:ascii="Times New Roman" w:hAnsi="Times New Roman" w:cs="Times New Roman"/>
        </w:rPr>
        <w:t xml:space="preserve"> formula for </w:t>
      </w:r>
      <w:r w:rsidR="00B143EF">
        <w:rPr>
          <w:rFonts w:ascii="Times New Roman" w:hAnsi="Times New Roman" w:cs="Times New Roman"/>
        </w:rPr>
        <w:t xml:space="preserve">utility </w:t>
      </w:r>
      <w:r>
        <w:rPr>
          <w:rFonts w:ascii="Times New Roman" w:hAnsi="Times New Roman" w:cs="Times New Roman"/>
        </w:rPr>
        <w:t xml:space="preserve">or ‘value’ </w:t>
      </w:r>
      <w:r w:rsidR="00BA7790">
        <w:rPr>
          <w:rFonts w:ascii="Times New Roman" w:hAnsi="Times New Roman" w:cs="Times New Roman"/>
        </w:rPr>
        <w:t xml:space="preserve">for layer </w:t>
      </w:r>
      <w:r w:rsidR="006F4DA8">
        <w:rPr>
          <w:rFonts w:ascii="Times New Roman" w:hAnsi="Times New Roman" w:cs="Times New Roman"/>
          <w:i/>
        </w:rPr>
        <w:t>i</w:t>
      </w:r>
      <w:r w:rsidR="00BA7790">
        <w:rPr>
          <w:rFonts w:ascii="Times New Roman" w:hAnsi="Times New Roman" w:cs="Times New Roman"/>
        </w:rPr>
        <w:t xml:space="preserve"> </w:t>
      </w:r>
      <w:r>
        <w:rPr>
          <w:rFonts w:ascii="Times New Roman" w:hAnsi="Times New Roman" w:cs="Times New Roman"/>
        </w:rPr>
        <w:t xml:space="preserve">in a particular place </w:t>
      </w:r>
      <w:r w:rsidRPr="00BE323D">
        <w:rPr>
          <w:rFonts w:ascii="Times New Roman" w:hAnsi="Times New Roman" w:cs="Times New Roman"/>
          <w:i/>
        </w:rPr>
        <w:t>j</w:t>
      </w:r>
      <w:r>
        <w:rPr>
          <w:rFonts w:ascii="Times New Roman" w:hAnsi="Times New Roman" w:cs="Times New Roman"/>
        </w:rPr>
        <w:t xml:space="preserve"> at time </w:t>
      </w:r>
      <w:r>
        <w:rPr>
          <w:rFonts w:ascii="Times New Roman" w:hAnsi="Times New Roman" w:cs="Times New Roman"/>
          <w:i/>
        </w:rPr>
        <w:t>t</w:t>
      </w:r>
      <w:r>
        <w:rPr>
          <w:rFonts w:ascii="Times New Roman" w:hAnsi="Times New Roman" w:cs="Times New Roman"/>
        </w:rPr>
        <w:t>:</w:t>
      </w:r>
    </w:p>
    <w:p w14:paraId="62662B87" w14:textId="77777777" w:rsidR="00E626E6" w:rsidRDefault="00E626E6">
      <w:pPr>
        <w:pStyle w:val="Default"/>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148"/>
        <w:gridCol w:w="1296"/>
      </w:tblGrid>
      <w:tr w:rsidR="00E626E6" w14:paraId="5DC05534" w14:textId="77777777" w:rsidTr="00E626E6">
        <w:trPr>
          <w:jc w:val="center"/>
        </w:trPr>
        <w:tc>
          <w:tcPr>
            <w:tcW w:w="468" w:type="dxa"/>
            <w:vAlign w:val="center"/>
          </w:tcPr>
          <w:p w14:paraId="226BA152" w14:textId="77777777" w:rsidR="00E626E6" w:rsidRDefault="00E626E6" w:rsidP="00E626E6">
            <w:pPr>
              <w:pStyle w:val="Default"/>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rPr>
            </w:pPr>
          </w:p>
        </w:tc>
        <w:tc>
          <w:tcPr>
            <w:tcW w:w="8910" w:type="dxa"/>
            <w:vAlign w:val="center"/>
          </w:tcPr>
          <w:p w14:paraId="16187C5E" w14:textId="63273D36" w:rsidR="00E626E6" w:rsidRDefault="00E626E6" w:rsidP="00E626E6">
            <w:pPr>
              <w:pStyle w:val="Default"/>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base,ijt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expected, ij</m:t>
                        </m:r>
                      </m:sub>
                    </m:sSub>
                  </m:num>
                  <m:den>
                    <m:d>
                      <m:dPr>
                        <m:ctrlPr>
                          <w:rPr>
                            <w:rFonts w:ascii="Cambria Math" w:hAnsi="Cambria Math" w:cs="Times New Roman"/>
                            <w:i/>
                          </w:rPr>
                        </m:ctrlPr>
                      </m:dPr>
                      <m:e>
                        <m:r>
                          <w:rPr>
                            <w:rFonts w:ascii="Cambria Math" w:hAnsi="Cambria Math" w:cs="Times New Roman"/>
                          </w:rPr>
                          <m:t>max</m:t>
                        </m:r>
                        <m:d>
                          <m:dPr>
                            <m:ctrlPr>
                              <w:rPr>
                                <w:rFonts w:ascii="Cambria Math" w:hAnsi="Cambria Math" w:cs="Times New Roman"/>
                                <w:i/>
                              </w:rPr>
                            </m:ctrlPr>
                          </m:dPr>
                          <m:e>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actual, ij</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expected,ij</m:t>
                                </m:r>
                              </m:sub>
                            </m:sSub>
                          </m:e>
                        </m:d>
                        <m:r>
                          <w:rPr>
                            <w:rFonts w:ascii="Cambria Math" w:hAnsi="Cambria Math" w:cs="Times New Roman"/>
                          </w:rPr>
                          <m:t>∙k+m∙</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expected, ij</m:t>
                            </m:r>
                          </m:sub>
                        </m:sSub>
                      </m:e>
                    </m:d>
                  </m:den>
                </m:f>
              </m:oMath>
            </m:oMathPara>
          </w:p>
        </w:tc>
        <w:tc>
          <w:tcPr>
            <w:tcW w:w="476" w:type="dxa"/>
            <w:vAlign w:val="center"/>
          </w:tcPr>
          <w:p w14:paraId="4467D0C1" w14:textId="3D013BD4" w:rsidR="00E626E6" w:rsidRDefault="00637D4D" w:rsidP="00637D4D">
            <w:pPr>
              <w:pStyle w:val="Default"/>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rPr>
            </w:pPr>
            <w:r>
              <w:rPr>
                <w:rFonts w:ascii="Times New Roman" w:hAnsi="Times New Roman" w:cs="Times New Roman"/>
              </w:rPr>
              <w:t xml:space="preserve"> </w:t>
            </w:r>
          </w:p>
        </w:tc>
      </w:tr>
    </w:tbl>
    <w:p w14:paraId="0724F46D" w14:textId="77777777" w:rsidR="00BA7790" w:rsidRDefault="00BA7790">
      <w:pPr>
        <w:pStyle w:val="Default"/>
        <w:rPr>
          <w:rFonts w:ascii="Times New Roman" w:hAnsi="Times New Roman" w:cs="Times New Roman"/>
        </w:rPr>
      </w:pPr>
    </w:p>
    <w:p w14:paraId="2FC1ABE0" w14:textId="7E1CECAF" w:rsidR="00BA7790" w:rsidRPr="006F4DA8" w:rsidRDefault="00BA7790">
      <w:pPr>
        <w:pStyle w:val="Default"/>
        <w:rPr>
          <w:rFonts w:ascii="Times New Roman" w:hAnsi="Times New Roman" w:cs="Times New Roman"/>
        </w:rPr>
      </w:pPr>
      <w:r>
        <w:rPr>
          <w:rFonts w:ascii="Times New Roman" w:hAnsi="Times New Roman" w:cs="Times New Roman"/>
        </w:rPr>
        <w:t xml:space="preserve">where </w:t>
      </w:r>
      <w:r w:rsidR="006F4DA8">
        <w:rPr>
          <w:rFonts w:ascii="Times New Roman" w:hAnsi="Times New Roman" w:cs="Times New Roman"/>
          <w:i/>
        </w:rPr>
        <w:t>V</w:t>
      </w:r>
      <w:r w:rsidR="001B3333">
        <w:rPr>
          <w:rFonts w:ascii="Times New Roman" w:hAnsi="Times New Roman" w:cs="Times New Roman"/>
          <w:i/>
          <w:vertAlign w:val="subscript"/>
        </w:rPr>
        <w:t>base,i</w:t>
      </w:r>
      <w:r>
        <w:rPr>
          <w:rFonts w:ascii="Times New Roman" w:hAnsi="Times New Roman" w:cs="Times New Roman"/>
          <w:i/>
          <w:vertAlign w:val="subscript"/>
        </w:rPr>
        <w:t>jt</w:t>
      </w:r>
      <w:r>
        <w:rPr>
          <w:rFonts w:ascii="Times New Roman" w:hAnsi="Times New Roman" w:cs="Times New Roman"/>
        </w:rPr>
        <w:t xml:space="preserve"> is a base rate for the utility value estimated from reported income, as described below; </w:t>
      </w:r>
      <w:r>
        <w:rPr>
          <w:rFonts w:ascii="Times New Roman" w:hAnsi="Times New Roman" w:cs="Times New Roman"/>
          <w:i/>
        </w:rPr>
        <w:t>n</w:t>
      </w:r>
      <w:r w:rsidR="001B3333">
        <w:rPr>
          <w:rFonts w:ascii="Times New Roman" w:hAnsi="Times New Roman" w:cs="Times New Roman"/>
          <w:i/>
          <w:vertAlign w:val="subscript"/>
        </w:rPr>
        <w:t>expected,i</w:t>
      </w:r>
      <w:r>
        <w:rPr>
          <w:rFonts w:ascii="Times New Roman" w:hAnsi="Times New Roman" w:cs="Times New Roman"/>
          <w:i/>
          <w:vertAlign w:val="subscript"/>
        </w:rPr>
        <w:t>j</w:t>
      </w:r>
      <w:r>
        <w:rPr>
          <w:rFonts w:ascii="Times New Roman" w:hAnsi="Times New Roman" w:cs="Times New Roman"/>
        </w:rPr>
        <w:t xml:space="preserve"> is the expected number of agents occupying the layer, o</w:t>
      </w:r>
      <w:r w:rsidR="001B3333">
        <w:rPr>
          <w:rFonts w:ascii="Times New Roman" w:hAnsi="Times New Roman" w:cs="Times New Roman"/>
        </w:rPr>
        <w:t xml:space="preserve">btained by scaling the number of observed occupants of a layer in the HIES by </w:t>
      </w:r>
      <w:r w:rsidR="001B3333">
        <w:rPr>
          <w:rFonts w:ascii="Times New Roman" w:hAnsi="Times New Roman" w:cs="Times New Roman"/>
          <w:i/>
        </w:rPr>
        <w:t>n</w:t>
      </w:r>
      <w:r w:rsidR="001B3333">
        <w:rPr>
          <w:rFonts w:ascii="Times New Roman" w:hAnsi="Times New Roman" w:cs="Times New Roman"/>
          <w:i/>
          <w:vertAlign w:val="subscript"/>
        </w:rPr>
        <w:t>agents</w:t>
      </w:r>
      <w:r w:rsidR="001B3333">
        <w:rPr>
          <w:rFonts w:ascii="Times New Roman" w:hAnsi="Times New Roman" w:cs="Times New Roman"/>
          <w:i/>
        </w:rPr>
        <w:t xml:space="preserve"> / n</w:t>
      </w:r>
      <w:r w:rsidR="001B3333">
        <w:rPr>
          <w:rFonts w:ascii="Times New Roman" w:hAnsi="Times New Roman" w:cs="Times New Roman"/>
          <w:i/>
          <w:vertAlign w:val="subscript"/>
        </w:rPr>
        <w:t>HIES</w:t>
      </w:r>
      <w:r w:rsidR="001B3333">
        <w:rPr>
          <w:rFonts w:ascii="Times New Roman" w:hAnsi="Times New Roman" w:cs="Times New Roman"/>
        </w:rPr>
        <w:t xml:space="preserve">, the ratio of the number of agents in the simulation to number of people in the HIES sample; </w:t>
      </w:r>
      <w:r w:rsidR="001B3333">
        <w:rPr>
          <w:rFonts w:ascii="Times New Roman" w:hAnsi="Times New Roman" w:cs="Times New Roman"/>
          <w:i/>
        </w:rPr>
        <w:t>n</w:t>
      </w:r>
      <w:r w:rsidR="001B3333">
        <w:rPr>
          <w:rFonts w:ascii="Times New Roman" w:hAnsi="Times New Roman" w:cs="Times New Roman"/>
          <w:i/>
          <w:vertAlign w:val="subscript"/>
        </w:rPr>
        <w:t>actual,ij</w:t>
      </w:r>
      <w:r w:rsidR="001B3333">
        <w:rPr>
          <w:rFonts w:ascii="Times New Roman" w:hAnsi="Times New Roman" w:cs="Times New Roman"/>
        </w:rPr>
        <w:t xml:space="preserve"> is the number of agents actually occupying the layer; and </w:t>
      </w:r>
      <w:r w:rsidR="001B3333">
        <w:rPr>
          <w:rFonts w:ascii="Times New Roman" w:hAnsi="Times New Roman" w:cs="Times New Roman"/>
          <w:i/>
        </w:rPr>
        <w:t>m</w:t>
      </w:r>
      <w:r w:rsidR="001B3333">
        <w:rPr>
          <w:rFonts w:ascii="Times New Roman" w:hAnsi="Times New Roman" w:cs="Times New Roman"/>
        </w:rPr>
        <w:t xml:space="preserve"> and </w:t>
      </w:r>
      <w:r w:rsidR="001B3333">
        <w:rPr>
          <w:rFonts w:ascii="Times New Roman" w:hAnsi="Times New Roman" w:cs="Times New Roman"/>
          <w:i/>
        </w:rPr>
        <w:t>k</w:t>
      </w:r>
      <w:r w:rsidR="001B3333">
        <w:rPr>
          <w:rFonts w:ascii="Times New Roman" w:hAnsi="Times New Roman" w:cs="Times New Roman"/>
        </w:rPr>
        <w:t xml:space="preserve"> are parameters that shape how utility declines as the number of actual occupants exceeds the number of expected occupants.</w:t>
      </w:r>
      <w:r w:rsidR="006F4DA8">
        <w:rPr>
          <w:rFonts w:ascii="Times New Roman" w:hAnsi="Times New Roman" w:cs="Times New Roman"/>
        </w:rPr>
        <w:t xml:space="preserve">  All agents occupying layer </w:t>
      </w:r>
      <w:r w:rsidR="006F4DA8">
        <w:rPr>
          <w:rFonts w:ascii="Times New Roman" w:hAnsi="Times New Roman" w:cs="Times New Roman"/>
          <w:i/>
        </w:rPr>
        <w:t>i</w:t>
      </w:r>
      <w:r w:rsidR="006F4DA8">
        <w:rPr>
          <w:rFonts w:ascii="Times New Roman" w:hAnsi="Times New Roman" w:cs="Times New Roman"/>
        </w:rPr>
        <w:t xml:space="preserve"> in a particular place </w:t>
      </w:r>
      <w:r w:rsidR="006F4DA8" w:rsidRPr="00BE323D">
        <w:rPr>
          <w:rFonts w:ascii="Times New Roman" w:hAnsi="Times New Roman" w:cs="Times New Roman"/>
          <w:i/>
        </w:rPr>
        <w:t>j</w:t>
      </w:r>
      <w:r w:rsidR="006F4DA8">
        <w:rPr>
          <w:rFonts w:ascii="Times New Roman" w:hAnsi="Times New Roman" w:cs="Times New Roman"/>
        </w:rPr>
        <w:t xml:space="preserve"> at time </w:t>
      </w:r>
      <w:r w:rsidR="006F4DA8">
        <w:rPr>
          <w:rFonts w:ascii="Times New Roman" w:hAnsi="Times New Roman" w:cs="Times New Roman"/>
          <w:i/>
        </w:rPr>
        <w:t>t</w:t>
      </w:r>
      <w:r w:rsidR="006F4DA8">
        <w:rPr>
          <w:rFonts w:ascii="Times New Roman" w:hAnsi="Times New Roman" w:cs="Times New Roman"/>
        </w:rPr>
        <w:t xml:space="preserve"> derive the same value from the stream, but have agent-specific coefficients specifying their utility on a unit of value from a particular source.</w:t>
      </w:r>
    </w:p>
    <w:p w14:paraId="505046E3" w14:textId="77777777" w:rsidR="00BA7790" w:rsidRDefault="00BA7790">
      <w:pPr>
        <w:pStyle w:val="Default"/>
        <w:rPr>
          <w:rFonts w:ascii="Times New Roman" w:hAnsi="Times New Roman" w:cs="Times New Roman"/>
        </w:rPr>
      </w:pPr>
    </w:p>
    <w:p w14:paraId="4B514C30" w14:textId="1F89E780" w:rsidR="00B22A1B" w:rsidRDefault="006F4DA8">
      <w:pPr>
        <w:pStyle w:val="Default"/>
        <w:rPr>
          <w:rFonts w:ascii="Times New Roman" w:hAnsi="Times New Roman" w:cs="Times New Roman"/>
        </w:rPr>
      </w:pPr>
      <w:r>
        <w:rPr>
          <w:rFonts w:ascii="Times New Roman" w:hAnsi="Times New Roman" w:cs="Times New Roman"/>
        </w:rPr>
        <w:t xml:space="preserve">To develop the values </w:t>
      </w:r>
      <w:r>
        <w:rPr>
          <w:rFonts w:ascii="Times New Roman" w:hAnsi="Times New Roman" w:cs="Times New Roman"/>
          <w:i/>
        </w:rPr>
        <w:t>V</w:t>
      </w:r>
      <w:r>
        <w:rPr>
          <w:rFonts w:ascii="Times New Roman" w:hAnsi="Times New Roman" w:cs="Times New Roman"/>
          <w:i/>
          <w:vertAlign w:val="subscript"/>
        </w:rPr>
        <w:t>base,ijt</w:t>
      </w:r>
      <w:r>
        <w:rPr>
          <w:rFonts w:ascii="Times New Roman" w:hAnsi="Times New Roman" w:cs="Times New Roman"/>
        </w:rPr>
        <w:t xml:space="preserve"> f</w:t>
      </w:r>
      <w:r w:rsidR="00B22A1B" w:rsidRPr="00BE323D">
        <w:rPr>
          <w:rFonts w:ascii="Times New Roman" w:hAnsi="Times New Roman" w:cs="Times New Roman"/>
        </w:rPr>
        <w:t>or</w:t>
      </w:r>
      <w:r w:rsidR="00B22A1B">
        <w:rPr>
          <w:rFonts w:ascii="Times New Roman" w:hAnsi="Times New Roman" w:cs="Times New Roman"/>
        </w:rPr>
        <w:t xml:space="preserve"> the included layers, we used our initial classification of households into income quartiles to identify average earnings per layer by members of a particular quartile in a particular district (e.g., what do </w:t>
      </w:r>
      <w:r w:rsidR="007B5522">
        <w:rPr>
          <w:rFonts w:ascii="Times New Roman" w:hAnsi="Times New Roman" w:cs="Times New Roman"/>
        </w:rPr>
        <w:t>Q1 households earn on average in sugarcane income in Bogra?).</w:t>
      </w:r>
      <w:r w:rsidR="00103312">
        <w:rPr>
          <w:rFonts w:ascii="Times New Roman" w:hAnsi="Times New Roman" w:cs="Times New Roman"/>
        </w:rPr>
        <w:t xml:space="preserve">  Our dataset included values for each of the years 2005, 2010, and 2015 for each of 13 included income sources, each broken into four quartile layers, for each of 64 districts.  We used Matlab’s </w:t>
      </w:r>
      <w:r w:rsidR="00103312" w:rsidRPr="00103312">
        <w:rPr>
          <w:rFonts w:ascii="Times New Roman" w:hAnsi="Times New Roman" w:cs="Times New Roman"/>
          <w:i/>
        </w:rPr>
        <w:t>interp</w:t>
      </w:r>
      <w:r w:rsidR="00103312">
        <w:rPr>
          <w:rFonts w:ascii="Times New Roman" w:hAnsi="Times New Roman" w:cs="Times New Roman"/>
        </w:rPr>
        <w:t xml:space="preserve"> function to estimate the interior annual averages 2006-2009, 2011-2014.</w:t>
      </w:r>
    </w:p>
    <w:p w14:paraId="08E4B66A" w14:textId="77777777" w:rsidR="007B5522" w:rsidRDefault="007B5522">
      <w:pPr>
        <w:pStyle w:val="Default"/>
        <w:rPr>
          <w:rFonts w:ascii="Times New Roman" w:hAnsi="Times New Roman" w:cs="Times New Roman"/>
        </w:rPr>
      </w:pPr>
    </w:p>
    <w:p w14:paraId="4936C657" w14:textId="3146275A" w:rsidR="00412BEE" w:rsidRDefault="00103312">
      <w:pPr>
        <w:pStyle w:val="Default"/>
        <w:rPr>
          <w:rFonts w:ascii="Times New Roman" w:hAnsi="Times New Roman" w:cs="Times New Roman"/>
        </w:rPr>
      </w:pPr>
      <w:r>
        <w:rPr>
          <w:rFonts w:ascii="Times New Roman" w:hAnsi="Times New Roman" w:cs="Times New Roman"/>
        </w:rPr>
        <w:t>At this point we have an array of 52 layers x 64 districts x 11 years.  However, t</w:t>
      </w:r>
      <w:r w:rsidR="00EA7106">
        <w:rPr>
          <w:rFonts w:ascii="Times New Roman" w:hAnsi="Times New Roman" w:cs="Times New Roman"/>
        </w:rPr>
        <w:t xml:space="preserve">his application of MIDAS uses a quarterly annual time </w:t>
      </w:r>
      <w:r w:rsidR="004F75D9">
        <w:rPr>
          <w:rFonts w:ascii="Times New Roman" w:hAnsi="Times New Roman" w:cs="Times New Roman"/>
        </w:rPr>
        <w:t>periods</w:t>
      </w:r>
      <w:r w:rsidR="00EA7106">
        <w:rPr>
          <w:rFonts w:ascii="Times New Roman" w:hAnsi="Times New Roman" w:cs="Times New Roman"/>
        </w:rPr>
        <w:t xml:space="preserve"> (i.e., four time </w:t>
      </w:r>
      <w:r w:rsidR="004F75D9">
        <w:rPr>
          <w:rFonts w:ascii="Times New Roman" w:hAnsi="Times New Roman" w:cs="Times New Roman"/>
        </w:rPr>
        <w:t>periods</w:t>
      </w:r>
      <w:r w:rsidR="00EA7106">
        <w:rPr>
          <w:rFonts w:ascii="Times New Roman" w:hAnsi="Times New Roman" w:cs="Times New Roman"/>
        </w:rPr>
        <w:t xml:space="preserve"> per annual cycle</w:t>
      </w:r>
      <w:r>
        <w:rPr>
          <w:rFonts w:ascii="Times New Roman" w:hAnsi="Times New Roman" w:cs="Times New Roman"/>
        </w:rPr>
        <w:t xml:space="preserve">, and 44 </w:t>
      </w:r>
      <w:r w:rsidR="004F75D9">
        <w:rPr>
          <w:rFonts w:ascii="Times New Roman" w:hAnsi="Times New Roman" w:cs="Times New Roman"/>
        </w:rPr>
        <w:t>time periods</w:t>
      </w:r>
      <w:r>
        <w:rPr>
          <w:rFonts w:ascii="Times New Roman" w:hAnsi="Times New Roman" w:cs="Times New Roman"/>
        </w:rPr>
        <w:t xml:space="preserve"> in 11 years</w:t>
      </w:r>
      <w:r w:rsidR="00EA7106">
        <w:rPr>
          <w:rFonts w:ascii="Times New Roman" w:hAnsi="Times New Roman" w:cs="Times New Roman"/>
        </w:rPr>
        <w:t xml:space="preserve">), so that annual income must be attributed to one or more of these steps.  </w:t>
      </w:r>
      <w:r w:rsidR="00412BEE">
        <w:rPr>
          <w:rFonts w:ascii="Times New Roman" w:hAnsi="Times New Roman" w:cs="Times New Roman"/>
        </w:rPr>
        <w:t xml:space="preserve">We </w:t>
      </w:r>
      <w:r w:rsidR="00EA7106">
        <w:rPr>
          <w:rFonts w:ascii="Times New Roman" w:hAnsi="Times New Roman" w:cs="Times New Roman"/>
        </w:rPr>
        <w:t xml:space="preserve">assumed income sources 3, 4, 6, and 16 to be spread equally across all 4 </w:t>
      </w:r>
      <w:r w:rsidR="004F75D9">
        <w:rPr>
          <w:rFonts w:ascii="Times New Roman" w:hAnsi="Times New Roman" w:cs="Times New Roman"/>
        </w:rPr>
        <w:t>quarterly periods (P)</w:t>
      </w:r>
      <w:r w:rsidR="00EA7106">
        <w:rPr>
          <w:rFonts w:ascii="Times New Roman" w:hAnsi="Times New Roman" w:cs="Times New Roman"/>
        </w:rPr>
        <w:t>, and consulted an agricu</w:t>
      </w:r>
      <w:r w:rsidR="00DA22C3">
        <w:rPr>
          <w:rFonts w:ascii="Times New Roman" w:hAnsi="Times New Roman" w:cs="Times New Roman"/>
        </w:rPr>
        <w:t xml:space="preserve">ltural calendar for Bangladesh </w:t>
      </w:r>
      <w:r w:rsidR="00DA22C3">
        <w:rPr>
          <w:rFonts w:ascii="Times New Roman" w:hAnsi="Times New Roman" w:cs="Times New Roman"/>
        </w:rPr>
        <w:fldChar w:fldCharType="begin" w:fldLock="1"/>
      </w:r>
      <w:r w:rsidR="004D0A2B">
        <w:rPr>
          <w:rFonts w:ascii="Times New Roman" w:hAnsi="Times New Roman" w:cs="Times New Roman"/>
        </w:rPr>
        <w:instrText>ADDIN CSL_CITATION {"citationItems":[{"id":"ITEM-1","itemData":{"ISBN":"0172036070","author":[{"dropping-particle":"","family":"BBS","given":"","non-dropping-particle":"","parse-names":false,"suffix":""}],"id":"ITEM-1","issue":"May","issued":{"date-parts":[["2017"]]},"number-of-pages":"573","publisher-place":"Dhaka, Bangladesh","title":"Yearbook of Agricultural Statistics-2016","type":"report"},"uris":["http://www.mendeley.com/documents/?uuid=c0403aa9-ce6e-40e5-be4e-814d86250c48"]}],"mendeley":{"formattedCitation":"(BBS 2017)","plainTextFormattedCitation":"(BBS 2017)","previouslyFormattedCitation":"(BBS, 2017)"},"properties":{"noteIndex":0},"schema":"https://github.com/citation-style-language/schema/raw/master/csl-citation.json"}</w:instrText>
      </w:r>
      <w:r w:rsidR="00DA22C3">
        <w:rPr>
          <w:rFonts w:ascii="Times New Roman" w:hAnsi="Times New Roman" w:cs="Times New Roman"/>
        </w:rPr>
        <w:fldChar w:fldCharType="separate"/>
      </w:r>
      <w:r w:rsidR="004D0A2B" w:rsidRPr="004D0A2B">
        <w:rPr>
          <w:rFonts w:ascii="Times New Roman" w:hAnsi="Times New Roman" w:cs="Times New Roman"/>
          <w:noProof/>
        </w:rPr>
        <w:t>(BBS 2017)</w:t>
      </w:r>
      <w:r w:rsidR="00DA22C3">
        <w:rPr>
          <w:rFonts w:ascii="Times New Roman" w:hAnsi="Times New Roman" w:cs="Times New Roman"/>
        </w:rPr>
        <w:fldChar w:fldCharType="end"/>
      </w:r>
      <w:r w:rsidR="00EA7106">
        <w:rPr>
          <w:rFonts w:ascii="Times New Roman" w:hAnsi="Times New Roman" w:cs="Times New Roman"/>
        </w:rPr>
        <w:t xml:space="preserve"> for approximate harvest periods for crop income, such that the fraction of annual income earned in each quarter, for each layer, is as follows:</w:t>
      </w:r>
    </w:p>
    <w:p w14:paraId="5563DC88" w14:textId="77777777" w:rsidR="00EA7106" w:rsidRDefault="00EA7106">
      <w:pPr>
        <w:pStyle w:val="Default"/>
        <w:rPr>
          <w:rFonts w:ascii="Times New Roman" w:hAnsi="Times New Roman" w:cs="Times New Roman"/>
        </w:rPr>
      </w:pPr>
    </w:p>
    <w:p w14:paraId="75437546" w14:textId="162985EB" w:rsidR="00B26140" w:rsidRPr="00B26140" w:rsidRDefault="00B26140">
      <w:pPr>
        <w:pStyle w:val="Default"/>
        <w:rPr>
          <w:rFonts w:ascii="Times New Roman" w:hAnsi="Times New Roman" w:cs="Times New Roman"/>
          <w:b/>
        </w:rPr>
      </w:pPr>
      <w:r w:rsidRPr="00B26140">
        <w:rPr>
          <w:rFonts w:ascii="Times New Roman" w:hAnsi="Times New Roman" w:cs="Times New Roman"/>
          <w:b/>
        </w:rPr>
        <w:t>Table 1: Annual income spread across quarterly periods, by income source</w:t>
      </w:r>
    </w:p>
    <w:tbl>
      <w:tblPr>
        <w:tblStyle w:val="TableGrid"/>
        <w:tblW w:w="7953" w:type="dxa"/>
        <w:tblLook w:val="04A0" w:firstRow="1" w:lastRow="0" w:firstColumn="1" w:lastColumn="0" w:noHBand="0" w:noVBand="1"/>
      </w:tblPr>
      <w:tblGrid>
        <w:gridCol w:w="518"/>
        <w:gridCol w:w="676"/>
        <w:gridCol w:w="601"/>
        <w:gridCol w:w="601"/>
        <w:gridCol w:w="633"/>
        <w:gridCol w:w="475"/>
        <w:gridCol w:w="475"/>
        <w:gridCol w:w="634"/>
        <w:gridCol w:w="634"/>
        <w:gridCol w:w="475"/>
        <w:gridCol w:w="601"/>
        <w:gridCol w:w="475"/>
        <w:gridCol w:w="475"/>
        <w:gridCol w:w="680"/>
      </w:tblGrid>
      <w:tr w:rsidR="00EA7106" w14:paraId="5CFFFDB7" w14:textId="77777777" w:rsidTr="00EA7106">
        <w:trPr>
          <w:cantSplit/>
          <w:trHeight w:val="1727"/>
        </w:trPr>
        <w:tc>
          <w:tcPr>
            <w:tcW w:w="555" w:type="dxa"/>
            <w:textDirection w:val="btLr"/>
          </w:tcPr>
          <w:p w14:paraId="731040F1"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p>
        </w:tc>
        <w:tc>
          <w:tcPr>
            <w:tcW w:w="717" w:type="dxa"/>
            <w:textDirection w:val="btLr"/>
          </w:tcPr>
          <w:p w14:paraId="51986133"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Rest of other income</w:t>
            </w:r>
          </w:p>
        </w:tc>
        <w:tc>
          <w:tcPr>
            <w:tcW w:w="475" w:type="dxa"/>
            <w:textDirection w:val="btLr"/>
          </w:tcPr>
          <w:p w14:paraId="5DD5C0E9"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Wage income</w:t>
            </w:r>
          </w:p>
        </w:tc>
        <w:tc>
          <w:tcPr>
            <w:tcW w:w="475" w:type="dxa"/>
            <w:textDirection w:val="btLr"/>
          </w:tcPr>
          <w:p w14:paraId="6C568D3F"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Salary income</w:t>
            </w:r>
          </w:p>
        </w:tc>
        <w:tc>
          <w:tcPr>
            <w:tcW w:w="719" w:type="dxa"/>
            <w:textDirection w:val="btLr"/>
          </w:tcPr>
          <w:p w14:paraId="4F75AB96"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Sugarcane income</w:t>
            </w:r>
          </w:p>
        </w:tc>
        <w:tc>
          <w:tcPr>
            <w:tcW w:w="475" w:type="dxa"/>
            <w:textDirection w:val="btLr"/>
          </w:tcPr>
          <w:p w14:paraId="70448383"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Jute income</w:t>
            </w:r>
          </w:p>
        </w:tc>
        <w:tc>
          <w:tcPr>
            <w:tcW w:w="475" w:type="dxa"/>
            <w:textDirection w:val="btLr"/>
          </w:tcPr>
          <w:p w14:paraId="0F76399F"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Wheat income</w:t>
            </w:r>
          </w:p>
        </w:tc>
        <w:tc>
          <w:tcPr>
            <w:tcW w:w="720" w:type="dxa"/>
            <w:textDirection w:val="btLr"/>
          </w:tcPr>
          <w:p w14:paraId="458D3425"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Boro rice income</w:t>
            </w:r>
          </w:p>
        </w:tc>
        <w:tc>
          <w:tcPr>
            <w:tcW w:w="720" w:type="dxa"/>
            <w:textDirection w:val="btLr"/>
          </w:tcPr>
          <w:p w14:paraId="55164FCC"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Aman rice income</w:t>
            </w:r>
          </w:p>
        </w:tc>
        <w:tc>
          <w:tcPr>
            <w:tcW w:w="475" w:type="dxa"/>
            <w:textDirection w:val="btLr"/>
          </w:tcPr>
          <w:p w14:paraId="54003593"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Aus rice income</w:t>
            </w:r>
          </w:p>
        </w:tc>
        <w:tc>
          <w:tcPr>
            <w:tcW w:w="475" w:type="dxa"/>
            <w:textDirection w:val="btLr"/>
          </w:tcPr>
          <w:p w14:paraId="27143AE5"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Oilseed income</w:t>
            </w:r>
          </w:p>
        </w:tc>
        <w:tc>
          <w:tcPr>
            <w:tcW w:w="475" w:type="dxa"/>
            <w:textDirection w:val="btLr"/>
          </w:tcPr>
          <w:p w14:paraId="4E242BA6"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Pulse income</w:t>
            </w:r>
          </w:p>
        </w:tc>
        <w:tc>
          <w:tcPr>
            <w:tcW w:w="475" w:type="dxa"/>
            <w:textDirection w:val="btLr"/>
          </w:tcPr>
          <w:p w14:paraId="5CAB4B95"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Maize income</w:t>
            </w:r>
          </w:p>
        </w:tc>
        <w:tc>
          <w:tcPr>
            <w:tcW w:w="722" w:type="dxa"/>
            <w:textDirection w:val="btLr"/>
          </w:tcPr>
          <w:p w14:paraId="327F6986"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Income from other crops</w:t>
            </w:r>
          </w:p>
        </w:tc>
      </w:tr>
      <w:tr w:rsidR="00EA7106" w14:paraId="631BA1BA" w14:textId="77777777" w:rsidTr="00EA7106">
        <w:tc>
          <w:tcPr>
            <w:tcW w:w="555" w:type="dxa"/>
          </w:tcPr>
          <w:p w14:paraId="63B52C9F" w14:textId="04B3CC83" w:rsidR="00EA7106" w:rsidRDefault="004F75D9"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P</w:t>
            </w:r>
            <w:r w:rsidR="00EA7106">
              <w:rPr>
                <w:rFonts w:ascii="Times New Roman" w:hAnsi="Times New Roman" w:cs="Times New Roman"/>
              </w:rPr>
              <w:t>1</w:t>
            </w:r>
          </w:p>
        </w:tc>
        <w:tc>
          <w:tcPr>
            <w:tcW w:w="717" w:type="dxa"/>
          </w:tcPr>
          <w:p w14:paraId="387DB31E"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494D5A31"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3789F0E7"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719" w:type="dxa"/>
          </w:tcPr>
          <w:p w14:paraId="41EBA55C"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0833934A"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3DA641B2"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20" w:type="dxa"/>
          </w:tcPr>
          <w:p w14:paraId="2E330BE7"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0" w:type="dxa"/>
          </w:tcPr>
          <w:p w14:paraId="775C6645"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2ECC5E9A"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71560565"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0C19F087"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5A2D0FD5"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2" w:type="dxa"/>
          </w:tcPr>
          <w:p w14:paraId="0DC53F57"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r>
      <w:tr w:rsidR="00EA7106" w14:paraId="4DD15F17" w14:textId="77777777" w:rsidTr="00EA7106">
        <w:tc>
          <w:tcPr>
            <w:tcW w:w="555" w:type="dxa"/>
          </w:tcPr>
          <w:p w14:paraId="36185475" w14:textId="677AF098" w:rsidR="00EA7106" w:rsidRDefault="004F75D9"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P</w:t>
            </w:r>
            <w:r w:rsidR="00EA7106">
              <w:rPr>
                <w:rFonts w:ascii="Times New Roman" w:hAnsi="Times New Roman" w:cs="Times New Roman"/>
              </w:rPr>
              <w:t>2</w:t>
            </w:r>
          </w:p>
        </w:tc>
        <w:tc>
          <w:tcPr>
            <w:tcW w:w="717" w:type="dxa"/>
          </w:tcPr>
          <w:p w14:paraId="5E6CD7F5"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10A5A879"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3E3CF4F6"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719" w:type="dxa"/>
          </w:tcPr>
          <w:p w14:paraId="438E5463"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46483DB2"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5C73A66F"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0" w:type="dxa"/>
          </w:tcPr>
          <w:p w14:paraId="5BC4E92F"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20" w:type="dxa"/>
          </w:tcPr>
          <w:p w14:paraId="2C328964"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29CD8896"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4CFDB25E"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3BB08BC0"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7EEE2927"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22" w:type="dxa"/>
          </w:tcPr>
          <w:p w14:paraId="11ADA64C"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r>
      <w:tr w:rsidR="00EA7106" w14:paraId="48FEE2AB" w14:textId="77777777" w:rsidTr="00EA7106">
        <w:tc>
          <w:tcPr>
            <w:tcW w:w="555" w:type="dxa"/>
          </w:tcPr>
          <w:p w14:paraId="7439D902" w14:textId="54A85D8F" w:rsidR="00EA7106" w:rsidRDefault="004F75D9"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P</w:t>
            </w:r>
            <w:r w:rsidR="00EA7106">
              <w:rPr>
                <w:rFonts w:ascii="Times New Roman" w:hAnsi="Times New Roman" w:cs="Times New Roman"/>
              </w:rPr>
              <w:t>3</w:t>
            </w:r>
          </w:p>
        </w:tc>
        <w:tc>
          <w:tcPr>
            <w:tcW w:w="717" w:type="dxa"/>
          </w:tcPr>
          <w:p w14:paraId="6A4711E4"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438654E2"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13734203"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719" w:type="dxa"/>
          </w:tcPr>
          <w:p w14:paraId="47B833BF"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00A60B3F"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7D0A0FBA"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0" w:type="dxa"/>
          </w:tcPr>
          <w:p w14:paraId="060A5A58"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0" w:type="dxa"/>
          </w:tcPr>
          <w:p w14:paraId="5638A614"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56482B60"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29B4E11C"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1B2CC3D8"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1F61F2B0"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2" w:type="dxa"/>
          </w:tcPr>
          <w:p w14:paraId="0BA80CC7"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r>
      <w:tr w:rsidR="00EA7106" w14:paraId="44657F9B" w14:textId="77777777" w:rsidTr="00EA7106">
        <w:tc>
          <w:tcPr>
            <w:tcW w:w="555" w:type="dxa"/>
          </w:tcPr>
          <w:p w14:paraId="754A92AF" w14:textId="33CC7506" w:rsidR="00EA7106" w:rsidRDefault="004F75D9"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P</w:t>
            </w:r>
            <w:r w:rsidR="00EA7106">
              <w:rPr>
                <w:rFonts w:ascii="Times New Roman" w:hAnsi="Times New Roman" w:cs="Times New Roman"/>
              </w:rPr>
              <w:t>4</w:t>
            </w:r>
          </w:p>
        </w:tc>
        <w:tc>
          <w:tcPr>
            <w:tcW w:w="717" w:type="dxa"/>
          </w:tcPr>
          <w:p w14:paraId="48EA383D"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5C7C4EF4" w14:textId="77777777" w:rsidR="00EA7106" w:rsidRDefault="00EA7106" w:rsidP="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27EDDBD5"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719" w:type="dxa"/>
          </w:tcPr>
          <w:p w14:paraId="6B173126"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73C5768A"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79617029"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0" w:type="dxa"/>
          </w:tcPr>
          <w:p w14:paraId="2A18C19E"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0" w:type="dxa"/>
          </w:tcPr>
          <w:p w14:paraId="12C89375"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33CDA6CD"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7384E242"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c>
          <w:tcPr>
            <w:tcW w:w="475" w:type="dxa"/>
          </w:tcPr>
          <w:p w14:paraId="4BE8EB5F"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419A7CD8" w14:textId="77777777" w:rsidR="00EA7106" w:rsidRDefault="0092480E">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2" w:type="dxa"/>
          </w:tcPr>
          <w:p w14:paraId="5EB4426F" w14:textId="77777777" w:rsidR="00EA7106" w:rsidRDefault="00EA710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0.25</w:t>
            </w:r>
          </w:p>
        </w:tc>
      </w:tr>
    </w:tbl>
    <w:p w14:paraId="04DD2AA3" w14:textId="77777777" w:rsidR="00EA7106" w:rsidRDefault="00EA7106">
      <w:pPr>
        <w:pStyle w:val="Default"/>
        <w:rPr>
          <w:rFonts w:ascii="Times New Roman" w:hAnsi="Times New Roman" w:cs="Times New Roman"/>
        </w:rPr>
      </w:pPr>
    </w:p>
    <w:p w14:paraId="33B97413" w14:textId="65B2125E" w:rsidR="0092480E" w:rsidRDefault="000703C5">
      <w:pPr>
        <w:pStyle w:val="Default"/>
        <w:rPr>
          <w:rFonts w:ascii="Times New Roman" w:hAnsi="Times New Roman" w:cs="Times New Roman"/>
        </w:rPr>
      </w:pPr>
      <w:r>
        <w:rPr>
          <w:rFonts w:ascii="Times New Roman" w:hAnsi="Times New Roman" w:cs="Times New Roman"/>
        </w:rPr>
        <w:t xml:space="preserve">We spread each annual average across four periods according to the table above, giving us the complete array </w:t>
      </w:r>
      <w:r>
        <w:rPr>
          <w:rFonts w:ascii="Times New Roman" w:hAnsi="Times New Roman" w:cs="Times New Roman"/>
          <w:i/>
        </w:rPr>
        <w:t>V</w:t>
      </w:r>
      <w:r>
        <w:rPr>
          <w:rFonts w:ascii="Times New Roman" w:hAnsi="Times New Roman" w:cs="Times New Roman"/>
          <w:i/>
          <w:vertAlign w:val="subscript"/>
        </w:rPr>
        <w:t>base</w:t>
      </w:r>
      <w:r>
        <w:rPr>
          <w:rFonts w:ascii="Times New Roman" w:hAnsi="Times New Roman" w:cs="Times New Roman"/>
          <w:i/>
        </w:rPr>
        <w:t xml:space="preserve"> </w:t>
      </w:r>
      <w:r>
        <w:rPr>
          <w:rFonts w:ascii="Times New Roman" w:hAnsi="Times New Roman" w:cs="Times New Roman"/>
        </w:rPr>
        <w:t>of size 52x64x44.</w:t>
      </w:r>
    </w:p>
    <w:p w14:paraId="1605559D" w14:textId="77777777" w:rsidR="000703C5" w:rsidRDefault="000703C5">
      <w:pPr>
        <w:pStyle w:val="Default"/>
        <w:rPr>
          <w:rFonts w:ascii="Times New Roman" w:hAnsi="Times New Roman" w:cs="Times New Roman"/>
        </w:rPr>
      </w:pPr>
    </w:p>
    <w:p w14:paraId="7B779209" w14:textId="210AB681" w:rsidR="000703C5" w:rsidRDefault="000703C5">
      <w:pPr>
        <w:pStyle w:val="Default"/>
        <w:rPr>
          <w:rFonts w:ascii="Times New Roman" w:hAnsi="Times New Roman" w:cs="Times New Roman"/>
        </w:rPr>
      </w:pPr>
      <w:r>
        <w:rPr>
          <w:rFonts w:ascii="Times New Roman" w:hAnsi="Times New Roman" w:cs="Times New Roman"/>
        </w:rPr>
        <w:t>Each simulation includes a spinup time of random length (8 to 20 periods in this application); these are treated as repeated cycles of the year 2005.</w:t>
      </w:r>
    </w:p>
    <w:p w14:paraId="3A2D2EBE" w14:textId="77777777" w:rsidR="00B143EF" w:rsidRDefault="00B143EF">
      <w:pPr>
        <w:pStyle w:val="Default"/>
        <w:rPr>
          <w:rFonts w:ascii="Times New Roman" w:hAnsi="Times New Roman" w:cs="Times New Roman"/>
        </w:rPr>
      </w:pPr>
    </w:p>
    <w:p w14:paraId="7266FB5F" w14:textId="0374C56E" w:rsidR="00B143EF" w:rsidRDefault="000A1E5A">
      <w:pPr>
        <w:pStyle w:val="Default"/>
        <w:rPr>
          <w:rFonts w:ascii="Times New Roman" w:hAnsi="Times New Roman" w:cs="Times New Roman"/>
          <w:i/>
        </w:rPr>
      </w:pPr>
      <w:r>
        <w:rPr>
          <w:rFonts w:ascii="Times New Roman" w:hAnsi="Times New Roman" w:cs="Times New Roman"/>
          <w:i/>
        </w:rPr>
        <w:t xml:space="preserve">5.3 </w:t>
      </w:r>
      <w:r w:rsidR="00B143EF" w:rsidRPr="00B143EF">
        <w:rPr>
          <w:rFonts w:ascii="Times New Roman" w:hAnsi="Times New Roman" w:cs="Times New Roman"/>
          <w:i/>
        </w:rPr>
        <w:t>Time constraints</w:t>
      </w:r>
    </w:p>
    <w:p w14:paraId="1EA6373A" w14:textId="4DC2215C" w:rsidR="00B143EF" w:rsidRDefault="000A33AB">
      <w:pPr>
        <w:pStyle w:val="Default"/>
        <w:rPr>
          <w:rFonts w:ascii="Times New Roman" w:hAnsi="Times New Roman" w:cs="Times New Roman"/>
        </w:rPr>
      </w:pPr>
      <w:r>
        <w:rPr>
          <w:rFonts w:ascii="Times New Roman" w:hAnsi="Times New Roman" w:cs="Times New Roman"/>
        </w:rPr>
        <w:t xml:space="preserve">We estimated </w:t>
      </w:r>
      <w:r w:rsidR="000B6903">
        <w:rPr>
          <w:rFonts w:ascii="Times New Roman" w:hAnsi="Times New Roman" w:cs="Times New Roman"/>
        </w:rPr>
        <w:t>time constraints specific to layers from each income quartile</w:t>
      </w:r>
      <w:r>
        <w:rPr>
          <w:rFonts w:ascii="Times New Roman" w:hAnsi="Times New Roman" w:cs="Times New Roman"/>
        </w:rPr>
        <w:t>, for each place, in a two step procedure.</w:t>
      </w:r>
    </w:p>
    <w:p w14:paraId="568224B0" w14:textId="77777777" w:rsidR="000A33AB" w:rsidRDefault="000A33AB">
      <w:pPr>
        <w:pStyle w:val="Default"/>
        <w:rPr>
          <w:rFonts w:ascii="Times New Roman" w:hAnsi="Times New Roman" w:cs="Times New Roman"/>
        </w:rPr>
      </w:pPr>
    </w:p>
    <w:p w14:paraId="6CC42017" w14:textId="15FDFF13" w:rsidR="000A33AB" w:rsidRDefault="000A33AB" w:rsidP="000A33AB">
      <w:pPr>
        <w:pStyle w:val="Default"/>
        <w:rPr>
          <w:rFonts w:ascii="Times New Roman" w:hAnsi="Times New Roman" w:cs="Times New Roman"/>
        </w:rPr>
      </w:pPr>
      <w:r>
        <w:rPr>
          <w:rFonts w:ascii="Times New Roman" w:hAnsi="Times New Roman" w:cs="Times New Roman"/>
        </w:rPr>
        <w:t>First, we identified quarters in which income sources would demand an agent’s time as follows: we assumed income sources 3, 4, 6, and 16 to ta</w:t>
      </w:r>
      <w:r w:rsidR="004F75D9">
        <w:rPr>
          <w:rFonts w:ascii="Times New Roman" w:hAnsi="Times New Roman" w:cs="Times New Roman"/>
        </w:rPr>
        <w:t>ke time across all four quarterly periods</w:t>
      </w:r>
      <w:r>
        <w:rPr>
          <w:rFonts w:ascii="Times New Roman" w:hAnsi="Times New Roman" w:cs="Times New Roman"/>
        </w:rPr>
        <w:t>, and consulted an agricu</w:t>
      </w:r>
      <w:r w:rsidR="00DA22C3">
        <w:rPr>
          <w:rFonts w:ascii="Times New Roman" w:hAnsi="Times New Roman" w:cs="Times New Roman"/>
        </w:rPr>
        <w:t xml:space="preserve">ltural calendar for Bangladesh </w:t>
      </w:r>
      <w:r w:rsidR="00DA22C3">
        <w:rPr>
          <w:rFonts w:ascii="Times New Roman" w:hAnsi="Times New Roman" w:cs="Times New Roman"/>
        </w:rPr>
        <w:fldChar w:fldCharType="begin" w:fldLock="1"/>
      </w:r>
      <w:r w:rsidR="004D0A2B">
        <w:rPr>
          <w:rFonts w:ascii="Times New Roman" w:hAnsi="Times New Roman" w:cs="Times New Roman"/>
        </w:rPr>
        <w:instrText>ADDIN CSL_CITATION {"citationItems":[{"id":"ITEM-1","itemData":{"ISBN":"0172036070","author":[{"dropping-particle":"","family":"BBS","given":"","non-dropping-particle":"","parse-names":false,"suffix":""}],"id":"ITEM-1","issue":"May","issued":{"date-parts":[["2017"]]},"number-of-pages":"573","publisher-place":"Dhaka, Bangladesh","title":"Yearbook of Agricultural Statistics-2016","type":"report"},"uris":["http://www.mendeley.com/documents/?uuid=c0403aa9-ce6e-40e5-be4e-814d86250c48"]}],"mendeley":{"formattedCitation":"(BBS 2017)","plainTextFormattedCitation":"(BBS 2017)","previouslyFormattedCitation":"(BBS, 2017)"},"properties":{"noteIndex":0},"schema":"https://github.com/citation-style-language/schema/raw/master/csl-citation.json"}</w:instrText>
      </w:r>
      <w:r w:rsidR="00DA22C3">
        <w:rPr>
          <w:rFonts w:ascii="Times New Roman" w:hAnsi="Times New Roman" w:cs="Times New Roman"/>
        </w:rPr>
        <w:fldChar w:fldCharType="separate"/>
      </w:r>
      <w:r w:rsidR="004D0A2B" w:rsidRPr="004D0A2B">
        <w:rPr>
          <w:rFonts w:ascii="Times New Roman" w:hAnsi="Times New Roman" w:cs="Times New Roman"/>
          <w:noProof/>
        </w:rPr>
        <w:t>(BBS 2017)</w:t>
      </w:r>
      <w:r w:rsidR="00DA22C3">
        <w:rPr>
          <w:rFonts w:ascii="Times New Roman" w:hAnsi="Times New Roman" w:cs="Times New Roman"/>
        </w:rPr>
        <w:fldChar w:fldCharType="end"/>
      </w:r>
      <w:r>
        <w:rPr>
          <w:rFonts w:ascii="Times New Roman" w:hAnsi="Times New Roman" w:cs="Times New Roman"/>
        </w:rPr>
        <w:t xml:space="preserve"> for approximate sowing and harvest periods, such that quarters in which a layer demands time from an agent, for each layer, is as follows:</w:t>
      </w:r>
    </w:p>
    <w:p w14:paraId="3B100FDC" w14:textId="77777777" w:rsidR="000A33AB" w:rsidRDefault="000A33AB" w:rsidP="000A33AB">
      <w:pPr>
        <w:pStyle w:val="Default"/>
        <w:rPr>
          <w:rFonts w:ascii="Times New Roman" w:hAnsi="Times New Roman" w:cs="Times New Roman"/>
        </w:rPr>
      </w:pPr>
    </w:p>
    <w:p w14:paraId="5203352D" w14:textId="1B1E9D05" w:rsidR="00B26140" w:rsidRPr="00B26140" w:rsidRDefault="00B26140" w:rsidP="000A33AB">
      <w:pPr>
        <w:pStyle w:val="Default"/>
        <w:rPr>
          <w:rFonts w:ascii="Times New Roman" w:hAnsi="Times New Roman" w:cs="Times New Roman"/>
          <w:b/>
        </w:rPr>
      </w:pPr>
      <w:r>
        <w:rPr>
          <w:rFonts w:ascii="Times New Roman" w:hAnsi="Times New Roman" w:cs="Times New Roman"/>
          <w:b/>
        </w:rPr>
        <w:t>Table 2</w:t>
      </w:r>
      <w:r w:rsidRPr="00B26140">
        <w:rPr>
          <w:rFonts w:ascii="Times New Roman" w:hAnsi="Times New Roman" w:cs="Times New Roman"/>
          <w:b/>
        </w:rPr>
        <w:t xml:space="preserve">: </w:t>
      </w:r>
      <w:r>
        <w:rPr>
          <w:rFonts w:ascii="Times New Roman" w:hAnsi="Times New Roman" w:cs="Times New Roman"/>
          <w:b/>
        </w:rPr>
        <w:t>Quarterly periods requiring effort</w:t>
      </w:r>
      <w:r w:rsidRPr="00B26140">
        <w:rPr>
          <w:rFonts w:ascii="Times New Roman" w:hAnsi="Times New Roman" w:cs="Times New Roman"/>
          <w:b/>
        </w:rPr>
        <w:t>, by income source</w:t>
      </w:r>
    </w:p>
    <w:tbl>
      <w:tblPr>
        <w:tblStyle w:val="TableGrid"/>
        <w:tblW w:w="7953" w:type="dxa"/>
        <w:tblLook w:val="04A0" w:firstRow="1" w:lastRow="0" w:firstColumn="1" w:lastColumn="0" w:noHBand="0" w:noVBand="1"/>
      </w:tblPr>
      <w:tblGrid>
        <w:gridCol w:w="555"/>
        <w:gridCol w:w="717"/>
        <w:gridCol w:w="475"/>
        <w:gridCol w:w="475"/>
        <w:gridCol w:w="719"/>
        <w:gridCol w:w="475"/>
        <w:gridCol w:w="475"/>
        <w:gridCol w:w="720"/>
        <w:gridCol w:w="720"/>
        <w:gridCol w:w="475"/>
        <w:gridCol w:w="475"/>
        <w:gridCol w:w="475"/>
        <w:gridCol w:w="475"/>
        <w:gridCol w:w="722"/>
      </w:tblGrid>
      <w:tr w:rsidR="000A33AB" w14:paraId="31294BC0" w14:textId="77777777" w:rsidTr="000A33AB">
        <w:trPr>
          <w:cantSplit/>
          <w:trHeight w:val="1727"/>
        </w:trPr>
        <w:tc>
          <w:tcPr>
            <w:tcW w:w="555" w:type="dxa"/>
            <w:textDirection w:val="btLr"/>
          </w:tcPr>
          <w:p w14:paraId="723D4E59"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p>
        </w:tc>
        <w:tc>
          <w:tcPr>
            <w:tcW w:w="717" w:type="dxa"/>
            <w:textDirection w:val="btLr"/>
          </w:tcPr>
          <w:p w14:paraId="34F3ADF6"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Rest of other income</w:t>
            </w:r>
          </w:p>
        </w:tc>
        <w:tc>
          <w:tcPr>
            <w:tcW w:w="475" w:type="dxa"/>
            <w:textDirection w:val="btLr"/>
          </w:tcPr>
          <w:p w14:paraId="03657323"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Wage income</w:t>
            </w:r>
          </w:p>
        </w:tc>
        <w:tc>
          <w:tcPr>
            <w:tcW w:w="475" w:type="dxa"/>
            <w:textDirection w:val="btLr"/>
          </w:tcPr>
          <w:p w14:paraId="65FEC51A"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Salary income</w:t>
            </w:r>
          </w:p>
        </w:tc>
        <w:tc>
          <w:tcPr>
            <w:tcW w:w="719" w:type="dxa"/>
            <w:textDirection w:val="btLr"/>
          </w:tcPr>
          <w:p w14:paraId="79DC69E8"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Sugarcane income</w:t>
            </w:r>
          </w:p>
        </w:tc>
        <w:tc>
          <w:tcPr>
            <w:tcW w:w="475" w:type="dxa"/>
            <w:textDirection w:val="btLr"/>
          </w:tcPr>
          <w:p w14:paraId="17D7E5F7"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Jute income</w:t>
            </w:r>
          </w:p>
        </w:tc>
        <w:tc>
          <w:tcPr>
            <w:tcW w:w="475" w:type="dxa"/>
            <w:textDirection w:val="btLr"/>
          </w:tcPr>
          <w:p w14:paraId="509DF1CC"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Wheat income</w:t>
            </w:r>
          </w:p>
        </w:tc>
        <w:tc>
          <w:tcPr>
            <w:tcW w:w="720" w:type="dxa"/>
            <w:textDirection w:val="btLr"/>
          </w:tcPr>
          <w:p w14:paraId="5651FA5F"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Boro rice income</w:t>
            </w:r>
          </w:p>
        </w:tc>
        <w:tc>
          <w:tcPr>
            <w:tcW w:w="720" w:type="dxa"/>
            <w:textDirection w:val="btLr"/>
          </w:tcPr>
          <w:p w14:paraId="21FEF17F"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Aman rice income</w:t>
            </w:r>
          </w:p>
        </w:tc>
        <w:tc>
          <w:tcPr>
            <w:tcW w:w="475" w:type="dxa"/>
            <w:textDirection w:val="btLr"/>
          </w:tcPr>
          <w:p w14:paraId="4C834697"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Aus rice income</w:t>
            </w:r>
          </w:p>
        </w:tc>
        <w:tc>
          <w:tcPr>
            <w:tcW w:w="475" w:type="dxa"/>
            <w:textDirection w:val="btLr"/>
          </w:tcPr>
          <w:p w14:paraId="6337E432"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Oilseed income</w:t>
            </w:r>
          </w:p>
        </w:tc>
        <w:tc>
          <w:tcPr>
            <w:tcW w:w="475" w:type="dxa"/>
            <w:textDirection w:val="btLr"/>
          </w:tcPr>
          <w:p w14:paraId="723A4E18"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Pulse income</w:t>
            </w:r>
          </w:p>
        </w:tc>
        <w:tc>
          <w:tcPr>
            <w:tcW w:w="475" w:type="dxa"/>
            <w:textDirection w:val="btLr"/>
          </w:tcPr>
          <w:p w14:paraId="41D2D931"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Maize income</w:t>
            </w:r>
          </w:p>
        </w:tc>
        <w:tc>
          <w:tcPr>
            <w:tcW w:w="722" w:type="dxa"/>
            <w:textDirection w:val="btLr"/>
          </w:tcPr>
          <w:p w14:paraId="50E30AFC"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Income from other crops</w:t>
            </w:r>
          </w:p>
        </w:tc>
      </w:tr>
      <w:tr w:rsidR="000A33AB" w14:paraId="4332A71A" w14:textId="77777777" w:rsidTr="000A33AB">
        <w:tc>
          <w:tcPr>
            <w:tcW w:w="555" w:type="dxa"/>
          </w:tcPr>
          <w:p w14:paraId="184BD54D" w14:textId="601989A5" w:rsidR="000A33AB" w:rsidRDefault="004F75D9"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P</w:t>
            </w:r>
            <w:r w:rsidR="000A33AB">
              <w:rPr>
                <w:rFonts w:ascii="Times New Roman" w:hAnsi="Times New Roman" w:cs="Times New Roman"/>
              </w:rPr>
              <w:t>1</w:t>
            </w:r>
          </w:p>
        </w:tc>
        <w:tc>
          <w:tcPr>
            <w:tcW w:w="717" w:type="dxa"/>
          </w:tcPr>
          <w:p w14:paraId="3042A891" w14:textId="336F64DD"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084981FE" w14:textId="08E9B8C9"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070CB369" w14:textId="26A9F90A"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19" w:type="dxa"/>
          </w:tcPr>
          <w:p w14:paraId="0D4B7739"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23298267" w14:textId="2F6A1ED9"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0A7C61D8" w14:textId="47F42AC9"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0" w:type="dxa"/>
          </w:tcPr>
          <w:p w14:paraId="60C24653" w14:textId="0922E8DF"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20" w:type="dxa"/>
          </w:tcPr>
          <w:p w14:paraId="1810DA76"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5999A174"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75D3CF01" w14:textId="2B9BFA42"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59B960D5"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37C4B4CE" w14:textId="3ED0A888" w:rsidR="000A33AB" w:rsidRDefault="000B6903"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22" w:type="dxa"/>
          </w:tcPr>
          <w:p w14:paraId="10590C1E" w14:textId="39F3FFB9"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r>
      <w:tr w:rsidR="000A33AB" w14:paraId="12AC49A1" w14:textId="77777777" w:rsidTr="000A33AB">
        <w:tc>
          <w:tcPr>
            <w:tcW w:w="555" w:type="dxa"/>
          </w:tcPr>
          <w:p w14:paraId="09415FDF" w14:textId="13F99E1F" w:rsidR="000A33AB" w:rsidRDefault="004F75D9"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P</w:t>
            </w:r>
            <w:r w:rsidR="000A33AB">
              <w:rPr>
                <w:rFonts w:ascii="Times New Roman" w:hAnsi="Times New Roman" w:cs="Times New Roman"/>
              </w:rPr>
              <w:t>2</w:t>
            </w:r>
          </w:p>
        </w:tc>
        <w:tc>
          <w:tcPr>
            <w:tcW w:w="717" w:type="dxa"/>
          </w:tcPr>
          <w:p w14:paraId="2C07B62B" w14:textId="644EB233"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3EE46663" w14:textId="2A31793F"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5B38CAD7" w14:textId="2D70AB01"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19" w:type="dxa"/>
          </w:tcPr>
          <w:p w14:paraId="2CCA8302" w14:textId="496E5F50"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7010A297" w14:textId="266D0171"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493A63E8"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0" w:type="dxa"/>
          </w:tcPr>
          <w:p w14:paraId="6017883B"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20" w:type="dxa"/>
          </w:tcPr>
          <w:p w14:paraId="01D22E2F"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77426004" w14:textId="5DF6B435"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486A7A55" w14:textId="4CE7A68C"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37E3E99E"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3D862AF7"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22" w:type="dxa"/>
          </w:tcPr>
          <w:p w14:paraId="5F2B1407" w14:textId="3C228CAB"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r>
      <w:tr w:rsidR="000A33AB" w14:paraId="6B8DE9C5" w14:textId="77777777" w:rsidTr="000A33AB">
        <w:tc>
          <w:tcPr>
            <w:tcW w:w="555" w:type="dxa"/>
          </w:tcPr>
          <w:p w14:paraId="76916D57" w14:textId="5DA4F048" w:rsidR="000A33AB" w:rsidRDefault="004F75D9"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P</w:t>
            </w:r>
            <w:r w:rsidR="000A33AB">
              <w:rPr>
                <w:rFonts w:ascii="Times New Roman" w:hAnsi="Times New Roman" w:cs="Times New Roman"/>
              </w:rPr>
              <w:t>3</w:t>
            </w:r>
          </w:p>
        </w:tc>
        <w:tc>
          <w:tcPr>
            <w:tcW w:w="717" w:type="dxa"/>
          </w:tcPr>
          <w:p w14:paraId="441CAA3A" w14:textId="5847AAF0"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1ABB4438" w14:textId="4B7EEF3B"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1D34E752" w14:textId="76C8D534"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19" w:type="dxa"/>
          </w:tcPr>
          <w:p w14:paraId="119AF980" w14:textId="2A87E4C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01626CA2" w14:textId="40ADDF6C"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37EE411E"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0" w:type="dxa"/>
          </w:tcPr>
          <w:p w14:paraId="4A44F391"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0" w:type="dxa"/>
          </w:tcPr>
          <w:p w14:paraId="5240D48C" w14:textId="5B414F63"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1C26D4A8"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18B8E3AF" w14:textId="7BD8A4A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08038253"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09AB6427"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2" w:type="dxa"/>
          </w:tcPr>
          <w:p w14:paraId="0F2DCFE9" w14:textId="2523A4CD"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r>
      <w:tr w:rsidR="000A33AB" w14:paraId="53E0F2B9" w14:textId="77777777" w:rsidTr="000A33AB">
        <w:tc>
          <w:tcPr>
            <w:tcW w:w="555" w:type="dxa"/>
          </w:tcPr>
          <w:p w14:paraId="3E4E1963" w14:textId="504433F7" w:rsidR="000A33AB" w:rsidRDefault="004F75D9"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P</w:t>
            </w:r>
            <w:r w:rsidR="000A33AB">
              <w:rPr>
                <w:rFonts w:ascii="Times New Roman" w:hAnsi="Times New Roman" w:cs="Times New Roman"/>
              </w:rPr>
              <w:t>4</w:t>
            </w:r>
          </w:p>
        </w:tc>
        <w:tc>
          <w:tcPr>
            <w:tcW w:w="717" w:type="dxa"/>
          </w:tcPr>
          <w:p w14:paraId="5530B751" w14:textId="42F6E748"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48F57BC9" w14:textId="2C476874"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0C9AB44D" w14:textId="04D430DA"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19" w:type="dxa"/>
          </w:tcPr>
          <w:p w14:paraId="26039F21" w14:textId="209C86FF"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73FC6E75"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3626648F" w14:textId="72B29732"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20" w:type="dxa"/>
          </w:tcPr>
          <w:p w14:paraId="79EC84B5"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720" w:type="dxa"/>
          </w:tcPr>
          <w:p w14:paraId="01AC0DE4"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409D9A4D" w14:textId="77777777"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0</w:t>
            </w:r>
          </w:p>
        </w:tc>
        <w:tc>
          <w:tcPr>
            <w:tcW w:w="475" w:type="dxa"/>
          </w:tcPr>
          <w:p w14:paraId="793557D5" w14:textId="794EC644"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0E7791C0" w14:textId="3D9C7A4A"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475" w:type="dxa"/>
          </w:tcPr>
          <w:p w14:paraId="1C1F2089" w14:textId="43FF73FA" w:rsidR="000A33AB" w:rsidRDefault="000B6903"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c>
          <w:tcPr>
            <w:tcW w:w="722" w:type="dxa"/>
          </w:tcPr>
          <w:p w14:paraId="712FDA91" w14:textId="0184C17B" w:rsidR="000A33AB" w:rsidRDefault="000A33AB" w:rsidP="000A33AB">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1</w:t>
            </w:r>
          </w:p>
        </w:tc>
      </w:tr>
    </w:tbl>
    <w:p w14:paraId="27A57CD6" w14:textId="7ECF2B7C" w:rsidR="000A33AB" w:rsidRDefault="000A33AB">
      <w:pPr>
        <w:pStyle w:val="Default"/>
        <w:rPr>
          <w:rFonts w:ascii="Times New Roman" w:hAnsi="Times New Roman" w:cs="Times New Roman"/>
        </w:rPr>
      </w:pPr>
    </w:p>
    <w:p w14:paraId="6172A290" w14:textId="059CAD45" w:rsidR="000B6903" w:rsidRDefault="000B6903">
      <w:pPr>
        <w:pStyle w:val="Default"/>
        <w:rPr>
          <w:rFonts w:ascii="Times New Roman" w:hAnsi="Times New Roman" w:cs="Times New Roman"/>
        </w:rPr>
      </w:pPr>
      <w:r>
        <w:rPr>
          <w:rFonts w:ascii="Times New Roman" w:hAnsi="Times New Roman" w:cs="Times New Roman"/>
        </w:rPr>
        <w:t>Second, we calibrated time constraints such that income diversity for agents in each income quartile in the simulation could ma</w:t>
      </w:r>
      <w:r w:rsidR="004F75D9">
        <w:rPr>
          <w:rFonts w:ascii="Times New Roman" w:hAnsi="Times New Roman" w:cs="Times New Roman"/>
        </w:rPr>
        <w:t>tch that observed in the HIES.  Generally speaking, respondents in higher income quartiles in the HIES tended to have more diversified incomes (Figure XXX), with the poorest quartile having 0 or 1 sources on average, and the richest quartiles having 3 or 4.</w:t>
      </w:r>
    </w:p>
    <w:p w14:paraId="4DB56644" w14:textId="5EE1C60C" w:rsidR="004F75D9" w:rsidRDefault="004F75D9">
      <w:pPr>
        <w:pStyle w:val="Default"/>
        <w:rPr>
          <w:rFonts w:ascii="Times New Roman" w:hAnsi="Times New Roman" w:cs="Times New Roman"/>
        </w:rPr>
      </w:pPr>
      <w:r>
        <w:rPr>
          <w:rFonts w:ascii="Times New Roman" w:hAnsi="Times New Roman" w:cs="Times New Roman"/>
          <w:noProof/>
        </w:rPr>
        <w:drawing>
          <wp:inline distT="0" distB="0" distL="0" distR="0" wp14:anchorId="66950B3A" wp14:editId="22976915">
            <wp:extent cx="6118996" cy="3354127"/>
            <wp:effectExtent l="0" t="0" r="2540" b="0"/>
            <wp:docPr id="1" name="Picture 1" descr="Macintosh HD:Users:andrewbell:Documents:GitHub:migration:Outputs:incomeSource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wbell:Documents:GitHub:migration:Outputs:incomeSourceFi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6890" r="4196"/>
                    <a:stretch/>
                  </pic:blipFill>
                  <pic:spPr bwMode="auto">
                    <a:xfrm>
                      <a:off x="0" y="0"/>
                      <a:ext cx="6120300" cy="3354842"/>
                    </a:xfrm>
                    <a:prstGeom prst="rect">
                      <a:avLst/>
                    </a:prstGeom>
                    <a:noFill/>
                    <a:ln>
                      <a:noFill/>
                    </a:ln>
                    <a:extLst>
                      <a:ext uri="{53640926-AAD7-44d8-BBD7-CCE9431645EC}">
                        <a14:shadowObscured xmlns:a14="http://schemas.microsoft.com/office/drawing/2010/main"/>
                      </a:ext>
                    </a:extLst>
                  </pic:spPr>
                </pic:pic>
              </a:graphicData>
            </a:graphic>
          </wp:inline>
        </w:drawing>
      </w:r>
    </w:p>
    <w:p w14:paraId="25A706E0" w14:textId="64343C8C" w:rsidR="00487080" w:rsidRPr="00DE3F16" w:rsidRDefault="00487080">
      <w:pPr>
        <w:pStyle w:val="Default"/>
        <w:rPr>
          <w:rFonts w:ascii="Times New Roman" w:hAnsi="Times New Roman" w:cs="Times New Roman"/>
          <w:b/>
        </w:rPr>
      </w:pPr>
      <w:r w:rsidRPr="00DE3F16">
        <w:rPr>
          <w:rFonts w:ascii="Times New Roman" w:hAnsi="Times New Roman" w:cs="Times New Roman"/>
          <w:b/>
        </w:rPr>
        <w:t xml:space="preserve">Figure </w:t>
      </w:r>
      <w:r w:rsidR="00A87B85">
        <w:rPr>
          <w:rFonts w:ascii="Times New Roman" w:hAnsi="Times New Roman" w:cs="Times New Roman"/>
          <w:b/>
        </w:rPr>
        <w:t>2</w:t>
      </w:r>
      <w:r w:rsidRPr="00DE3F16">
        <w:rPr>
          <w:rFonts w:ascii="Times New Roman" w:hAnsi="Times New Roman" w:cs="Times New Roman"/>
          <w:b/>
        </w:rPr>
        <w:t>: Average number of income sources, by income quartile</w:t>
      </w:r>
      <w:r w:rsidR="00DE3F16" w:rsidRPr="00DE3F16">
        <w:rPr>
          <w:rFonts w:ascii="Times New Roman" w:hAnsi="Times New Roman" w:cs="Times New Roman"/>
          <w:b/>
        </w:rPr>
        <w:t>, in the HIES.  Each line represents one district in one wave (2005, 2010, or 2015) of the HIES.</w:t>
      </w:r>
    </w:p>
    <w:p w14:paraId="03A79C0F" w14:textId="77777777" w:rsidR="00DE3F16" w:rsidRDefault="00DE3F16">
      <w:pPr>
        <w:pStyle w:val="Default"/>
        <w:rPr>
          <w:rFonts w:ascii="Times New Roman" w:hAnsi="Times New Roman" w:cs="Times New Roman"/>
        </w:rPr>
      </w:pPr>
    </w:p>
    <w:p w14:paraId="2565CB19" w14:textId="7D66C2A0" w:rsidR="001472DA" w:rsidRDefault="00DE3F16">
      <w:pPr>
        <w:pStyle w:val="Default"/>
        <w:rPr>
          <w:rFonts w:ascii="Times New Roman" w:hAnsi="Times New Roman" w:cs="Times New Roman"/>
        </w:rPr>
      </w:pPr>
      <w:r>
        <w:rPr>
          <w:rFonts w:ascii="Times New Roman" w:hAnsi="Times New Roman" w:cs="Times New Roman"/>
        </w:rPr>
        <w:t xml:space="preserve">We used the data displayed in Figure </w:t>
      </w:r>
      <w:r w:rsidR="00A87B85">
        <w:rPr>
          <w:rFonts w:ascii="Times New Roman" w:hAnsi="Times New Roman" w:cs="Times New Roman"/>
        </w:rPr>
        <w:t>2</w:t>
      </w:r>
      <w:r>
        <w:rPr>
          <w:rFonts w:ascii="Times New Roman" w:hAnsi="Times New Roman" w:cs="Times New Roman"/>
        </w:rPr>
        <w:t xml:space="preserve"> to estimate appropriate time constraints for each district, averaging across survey waves to generate one set of average income source counts for each quartile </w:t>
      </w:r>
      <w:r>
        <w:rPr>
          <w:rFonts w:ascii="Times New Roman" w:hAnsi="Times New Roman" w:cs="Times New Roman"/>
          <w:i/>
        </w:rPr>
        <w:t>i</w:t>
      </w:r>
      <w:r>
        <w:rPr>
          <w:rFonts w:ascii="Times New Roman" w:hAnsi="Times New Roman" w:cs="Times New Roman"/>
        </w:rPr>
        <w:t xml:space="preserve">.  We specified that for each income source, the </w:t>
      </w:r>
      <w:r w:rsidRPr="00DE3F16">
        <w:rPr>
          <w:rFonts w:ascii="Times New Roman" w:hAnsi="Times New Roman" w:cs="Times New Roman"/>
          <w:i/>
        </w:rPr>
        <w:t>i-1</w:t>
      </w:r>
      <w:r w:rsidRPr="00DE3F16">
        <w:rPr>
          <w:rFonts w:ascii="Times New Roman" w:hAnsi="Times New Roman" w:cs="Times New Roman"/>
          <w:i/>
          <w:vertAlign w:val="superscript"/>
        </w:rPr>
        <w:t>th</w:t>
      </w:r>
      <w:r>
        <w:rPr>
          <w:rFonts w:ascii="Times New Roman" w:hAnsi="Times New Roman" w:cs="Times New Roman"/>
        </w:rPr>
        <w:t xml:space="preserve"> income quartile layer was a </w:t>
      </w:r>
      <w:r w:rsidRPr="007071DD">
        <w:rPr>
          <w:rFonts w:ascii="Times New Roman" w:hAnsi="Times New Roman" w:cs="Times New Roman"/>
          <w:b/>
        </w:rPr>
        <w:t>prerequisite</w:t>
      </w:r>
      <w:r>
        <w:rPr>
          <w:rFonts w:ascii="Times New Roman" w:hAnsi="Times New Roman" w:cs="Times New Roman"/>
        </w:rPr>
        <w:t xml:space="preserve"> </w:t>
      </w:r>
      <w:r w:rsidR="007071DD">
        <w:rPr>
          <w:rFonts w:ascii="Times New Roman" w:hAnsi="Times New Roman" w:cs="Times New Roman"/>
        </w:rPr>
        <w:t xml:space="preserve">(see main ODD for explanation of prerequisites) </w:t>
      </w:r>
      <w:r>
        <w:rPr>
          <w:rFonts w:ascii="Times New Roman" w:hAnsi="Times New Roman" w:cs="Times New Roman"/>
        </w:rPr>
        <w:t xml:space="preserve">for the </w:t>
      </w:r>
      <w:r w:rsidRPr="00DE3F16">
        <w:rPr>
          <w:rFonts w:ascii="Times New Roman" w:hAnsi="Times New Roman" w:cs="Times New Roman"/>
          <w:i/>
        </w:rPr>
        <w:t>i</w:t>
      </w:r>
      <w:r w:rsidRPr="00DE3F16">
        <w:rPr>
          <w:rFonts w:ascii="Times New Roman" w:hAnsi="Times New Roman" w:cs="Times New Roman"/>
          <w:i/>
          <w:vertAlign w:val="superscript"/>
        </w:rPr>
        <w:t>th</w:t>
      </w:r>
      <w:r w:rsidRPr="00DE3F16">
        <w:rPr>
          <w:rFonts w:ascii="Times New Roman" w:hAnsi="Times New Roman" w:cs="Times New Roman"/>
          <w:i/>
        </w:rPr>
        <w:t xml:space="preserve"> </w:t>
      </w:r>
      <w:r>
        <w:rPr>
          <w:rFonts w:ascii="Times New Roman" w:hAnsi="Times New Roman" w:cs="Times New Roman"/>
        </w:rPr>
        <w:t xml:space="preserve">layer (e.g., to be a Q3 boro rice earner, an agent must also be occupying Q1 and Q2 for boro rice), and estimated time constraints such that the cumulative time constraint of layers 1 through </w:t>
      </w:r>
      <w:r>
        <w:rPr>
          <w:rFonts w:ascii="Times New Roman" w:hAnsi="Times New Roman" w:cs="Times New Roman"/>
          <w:i/>
        </w:rPr>
        <w:t xml:space="preserve">i </w:t>
      </w:r>
      <w:r>
        <w:rPr>
          <w:rFonts w:ascii="Times New Roman" w:hAnsi="Times New Roman" w:cs="Times New Roman"/>
        </w:rPr>
        <w:t xml:space="preserve">would allow an agent to occupy the expected number of layers at income quartile </w:t>
      </w:r>
      <w:r>
        <w:rPr>
          <w:rFonts w:ascii="Times New Roman" w:hAnsi="Times New Roman" w:cs="Times New Roman"/>
          <w:i/>
        </w:rPr>
        <w:t>i,</w:t>
      </w:r>
      <w:r>
        <w:rPr>
          <w:rFonts w:ascii="Times New Roman" w:hAnsi="Times New Roman" w:cs="Times New Roman"/>
        </w:rPr>
        <w:t xml:space="preserve"> with a small amount of random noise</w:t>
      </w:r>
      <w:r w:rsidR="001472DA">
        <w:rPr>
          <w:rFonts w:ascii="Times New Roman" w:hAnsi="Times New Roman" w:cs="Times New Roman"/>
        </w:rPr>
        <w:t xml:space="preserve"> added to the calculation.  Consider the following example:</w:t>
      </w:r>
    </w:p>
    <w:p w14:paraId="5E6D9799" w14:textId="77777777" w:rsidR="001472DA" w:rsidRDefault="001472DA">
      <w:pPr>
        <w:pStyle w:val="Default"/>
        <w:rPr>
          <w:rFonts w:ascii="Times New Roman" w:hAnsi="Times New Roman" w:cs="Times New Roman"/>
        </w:rPr>
      </w:pPr>
    </w:p>
    <w:p w14:paraId="76BCD261" w14:textId="37017751" w:rsidR="00B26140" w:rsidRPr="00B26140" w:rsidRDefault="00B26140" w:rsidP="00B26140">
      <w:pPr>
        <w:pStyle w:val="Default"/>
        <w:rPr>
          <w:rFonts w:ascii="Times New Roman" w:hAnsi="Times New Roman" w:cs="Times New Roman"/>
          <w:b/>
        </w:rPr>
      </w:pPr>
      <w:r w:rsidRPr="00B26140">
        <w:rPr>
          <w:rFonts w:ascii="Times New Roman" w:hAnsi="Times New Roman" w:cs="Times New Roman"/>
          <w:b/>
        </w:rPr>
        <w:t xml:space="preserve">Table </w:t>
      </w:r>
      <w:r>
        <w:rPr>
          <w:rFonts w:ascii="Times New Roman" w:hAnsi="Times New Roman" w:cs="Times New Roman"/>
          <w:b/>
        </w:rPr>
        <w:t>3</w:t>
      </w:r>
      <w:r w:rsidRPr="00B26140">
        <w:rPr>
          <w:rFonts w:ascii="Times New Roman" w:hAnsi="Times New Roman" w:cs="Times New Roman"/>
          <w:b/>
        </w:rPr>
        <w:t xml:space="preserve">: </w:t>
      </w:r>
      <w:r>
        <w:rPr>
          <w:rFonts w:ascii="Times New Roman" w:hAnsi="Times New Roman" w:cs="Times New Roman"/>
          <w:b/>
        </w:rPr>
        <w:t>Example time constraint calculation along quartiles from same income source</w:t>
      </w:r>
    </w:p>
    <w:p w14:paraId="007A813E" w14:textId="77777777" w:rsidR="00B26140" w:rsidRDefault="00B26140">
      <w:pPr>
        <w:pStyle w:val="Default"/>
        <w:rPr>
          <w:rFonts w:ascii="Times New Roman" w:hAnsi="Times New Roman" w:cs="Times New Roman"/>
        </w:rPr>
      </w:pPr>
    </w:p>
    <w:tbl>
      <w:tblPr>
        <w:tblW w:w="8475" w:type="dxa"/>
        <w:tblInd w:w="93" w:type="dxa"/>
        <w:tblLayout w:type="fixed"/>
        <w:tblLook w:val="04A0" w:firstRow="1" w:lastRow="0" w:firstColumn="1" w:lastColumn="0" w:noHBand="0" w:noVBand="1"/>
      </w:tblPr>
      <w:tblGrid>
        <w:gridCol w:w="1300"/>
        <w:gridCol w:w="1955"/>
        <w:gridCol w:w="1890"/>
        <w:gridCol w:w="3330"/>
      </w:tblGrid>
      <w:tr w:rsidR="001472DA" w:rsidRPr="008F1745" w14:paraId="0AAD868D" w14:textId="77777777" w:rsidTr="008F1745">
        <w:trPr>
          <w:trHeight w:val="300"/>
        </w:trPr>
        <w:tc>
          <w:tcPr>
            <w:tcW w:w="1300" w:type="dxa"/>
            <w:tcBorders>
              <w:top w:val="nil"/>
              <w:left w:val="nil"/>
              <w:bottom w:val="single" w:sz="4" w:space="0" w:color="auto"/>
              <w:right w:val="nil"/>
            </w:tcBorders>
            <w:shd w:val="clear" w:color="auto" w:fill="auto"/>
            <w:noWrap/>
            <w:vAlign w:val="bottom"/>
            <w:hideMark/>
          </w:tcPr>
          <w:p w14:paraId="43DF9017"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bdr w:val="none" w:sz="0" w:space="0" w:color="auto"/>
              </w:rPr>
            </w:pPr>
            <w:r w:rsidRPr="001472DA">
              <w:rPr>
                <w:rFonts w:eastAsia="Times New Roman"/>
                <w:b/>
                <w:bCs/>
                <w:color w:val="000000"/>
                <w:bdr w:val="none" w:sz="0" w:space="0" w:color="auto"/>
              </w:rPr>
              <w:t>Quartile</w:t>
            </w:r>
          </w:p>
        </w:tc>
        <w:tc>
          <w:tcPr>
            <w:tcW w:w="1955" w:type="dxa"/>
            <w:tcBorders>
              <w:top w:val="nil"/>
              <w:left w:val="nil"/>
              <w:bottom w:val="single" w:sz="4" w:space="0" w:color="auto"/>
              <w:right w:val="nil"/>
            </w:tcBorders>
            <w:shd w:val="clear" w:color="auto" w:fill="auto"/>
            <w:noWrap/>
            <w:vAlign w:val="bottom"/>
            <w:hideMark/>
          </w:tcPr>
          <w:p w14:paraId="72A7AD46"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bdr w:val="none" w:sz="0" w:space="0" w:color="auto"/>
              </w:rPr>
            </w:pPr>
            <w:r w:rsidRPr="001472DA">
              <w:rPr>
                <w:rFonts w:eastAsia="Times New Roman"/>
                <w:b/>
                <w:bCs/>
                <w:color w:val="000000"/>
                <w:bdr w:val="none" w:sz="0" w:space="0" w:color="auto"/>
              </w:rPr>
              <w:t>Additional time constraint</w:t>
            </w:r>
          </w:p>
        </w:tc>
        <w:tc>
          <w:tcPr>
            <w:tcW w:w="1890" w:type="dxa"/>
            <w:tcBorders>
              <w:top w:val="nil"/>
              <w:left w:val="nil"/>
              <w:bottom w:val="single" w:sz="4" w:space="0" w:color="auto"/>
              <w:right w:val="nil"/>
            </w:tcBorders>
            <w:shd w:val="clear" w:color="auto" w:fill="auto"/>
            <w:noWrap/>
            <w:vAlign w:val="bottom"/>
            <w:hideMark/>
          </w:tcPr>
          <w:p w14:paraId="25AF5E5A"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bdr w:val="none" w:sz="0" w:space="0" w:color="auto"/>
              </w:rPr>
            </w:pPr>
            <w:r w:rsidRPr="001472DA">
              <w:rPr>
                <w:rFonts w:eastAsia="Times New Roman"/>
                <w:b/>
                <w:bCs/>
                <w:color w:val="000000"/>
                <w:bdr w:val="none" w:sz="0" w:space="0" w:color="auto"/>
              </w:rPr>
              <w:t>Cumulative time constraint</w:t>
            </w:r>
          </w:p>
        </w:tc>
        <w:tc>
          <w:tcPr>
            <w:tcW w:w="3330" w:type="dxa"/>
            <w:tcBorders>
              <w:top w:val="nil"/>
              <w:left w:val="nil"/>
              <w:bottom w:val="single" w:sz="4" w:space="0" w:color="auto"/>
              <w:right w:val="nil"/>
            </w:tcBorders>
            <w:shd w:val="clear" w:color="auto" w:fill="auto"/>
            <w:noWrap/>
            <w:vAlign w:val="bottom"/>
            <w:hideMark/>
          </w:tcPr>
          <w:p w14:paraId="53C3695A"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bdr w:val="none" w:sz="0" w:space="0" w:color="auto"/>
              </w:rPr>
            </w:pPr>
            <w:r w:rsidRPr="001472DA">
              <w:rPr>
                <w:rFonts w:eastAsia="Times New Roman"/>
                <w:b/>
                <w:bCs/>
                <w:color w:val="000000"/>
                <w:bdr w:val="none" w:sz="0" w:space="0" w:color="auto"/>
              </w:rPr>
              <w:t>Maximum possible layers within time constraint ( &lt; 1)</w:t>
            </w:r>
          </w:p>
        </w:tc>
      </w:tr>
      <w:tr w:rsidR="001472DA" w:rsidRPr="008F1745" w14:paraId="798939F3" w14:textId="77777777" w:rsidTr="008F1745">
        <w:trPr>
          <w:trHeight w:val="300"/>
        </w:trPr>
        <w:tc>
          <w:tcPr>
            <w:tcW w:w="1300" w:type="dxa"/>
            <w:tcBorders>
              <w:top w:val="single" w:sz="4" w:space="0" w:color="auto"/>
              <w:left w:val="nil"/>
              <w:bottom w:val="nil"/>
              <w:right w:val="nil"/>
            </w:tcBorders>
            <w:shd w:val="clear" w:color="auto" w:fill="auto"/>
            <w:noWrap/>
            <w:vAlign w:val="bottom"/>
            <w:hideMark/>
          </w:tcPr>
          <w:p w14:paraId="3E0F956E"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bdr w:val="none" w:sz="0" w:space="0" w:color="auto"/>
              </w:rPr>
            </w:pPr>
            <w:r w:rsidRPr="001472DA">
              <w:rPr>
                <w:rFonts w:eastAsia="Times New Roman"/>
                <w:b/>
                <w:bCs/>
                <w:color w:val="000000"/>
                <w:bdr w:val="none" w:sz="0" w:space="0" w:color="auto"/>
              </w:rPr>
              <w:t>Q1</w:t>
            </w:r>
          </w:p>
        </w:tc>
        <w:tc>
          <w:tcPr>
            <w:tcW w:w="1955" w:type="dxa"/>
            <w:tcBorders>
              <w:top w:val="single" w:sz="4" w:space="0" w:color="auto"/>
              <w:left w:val="nil"/>
              <w:bottom w:val="nil"/>
              <w:right w:val="nil"/>
            </w:tcBorders>
            <w:shd w:val="clear" w:color="auto" w:fill="auto"/>
            <w:noWrap/>
            <w:vAlign w:val="bottom"/>
            <w:hideMark/>
          </w:tcPr>
          <w:p w14:paraId="76E47E5D"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0.95</w:t>
            </w:r>
          </w:p>
        </w:tc>
        <w:tc>
          <w:tcPr>
            <w:tcW w:w="1890" w:type="dxa"/>
            <w:tcBorders>
              <w:top w:val="single" w:sz="4" w:space="0" w:color="auto"/>
              <w:left w:val="nil"/>
              <w:bottom w:val="nil"/>
              <w:right w:val="nil"/>
            </w:tcBorders>
            <w:shd w:val="clear" w:color="auto" w:fill="auto"/>
            <w:noWrap/>
            <w:vAlign w:val="bottom"/>
            <w:hideMark/>
          </w:tcPr>
          <w:p w14:paraId="36D0BB15"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0.95</w:t>
            </w:r>
          </w:p>
        </w:tc>
        <w:tc>
          <w:tcPr>
            <w:tcW w:w="3330" w:type="dxa"/>
            <w:tcBorders>
              <w:top w:val="single" w:sz="4" w:space="0" w:color="auto"/>
              <w:left w:val="nil"/>
              <w:bottom w:val="nil"/>
              <w:right w:val="nil"/>
            </w:tcBorders>
            <w:shd w:val="clear" w:color="auto" w:fill="auto"/>
            <w:noWrap/>
            <w:vAlign w:val="bottom"/>
            <w:hideMark/>
          </w:tcPr>
          <w:p w14:paraId="00A5F3DE"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1</w:t>
            </w:r>
          </w:p>
        </w:tc>
      </w:tr>
      <w:tr w:rsidR="001472DA" w:rsidRPr="008F1745" w14:paraId="2F2B6C84" w14:textId="77777777" w:rsidTr="001472DA">
        <w:trPr>
          <w:trHeight w:val="300"/>
        </w:trPr>
        <w:tc>
          <w:tcPr>
            <w:tcW w:w="1300" w:type="dxa"/>
            <w:tcBorders>
              <w:top w:val="nil"/>
              <w:left w:val="nil"/>
              <w:bottom w:val="nil"/>
              <w:right w:val="nil"/>
            </w:tcBorders>
            <w:shd w:val="clear" w:color="auto" w:fill="auto"/>
            <w:noWrap/>
            <w:vAlign w:val="bottom"/>
            <w:hideMark/>
          </w:tcPr>
          <w:p w14:paraId="20812939"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bdr w:val="none" w:sz="0" w:space="0" w:color="auto"/>
              </w:rPr>
            </w:pPr>
            <w:r w:rsidRPr="001472DA">
              <w:rPr>
                <w:rFonts w:eastAsia="Times New Roman"/>
                <w:b/>
                <w:bCs/>
                <w:color w:val="000000"/>
                <w:bdr w:val="none" w:sz="0" w:space="0" w:color="auto"/>
              </w:rPr>
              <w:t>Q2</w:t>
            </w:r>
          </w:p>
        </w:tc>
        <w:tc>
          <w:tcPr>
            <w:tcW w:w="1955" w:type="dxa"/>
            <w:tcBorders>
              <w:top w:val="nil"/>
              <w:left w:val="nil"/>
              <w:bottom w:val="nil"/>
              <w:right w:val="nil"/>
            </w:tcBorders>
            <w:shd w:val="clear" w:color="auto" w:fill="auto"/>
            <w:noWrap/>
            <w:vAlign w:val="bottom"/>
            <w:hideMark/>
          </w:tcPr>
          <w:p w14:paraId="16173E29"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-0.475</w:t>
            </w:r>
          </w:p>
        </w:tc>
        <w:tc>
          <w:tcPr>
            <w:tcW w:w="1890" w:type="dxa"/>
            <w:tcBorders>
              <w:top w:val="nil"/>
              <w:left w:val="nil"/>
              <w:bottom w:val="nil"/>
              <w:right w:val="nil"/>
            </w:tcBorders>
            <w:shd w:val="clear" w:color="auto" w:fill="auto"/>
            <w:noWrap/>
            <w:vAlign w:val="bottom"/>
            <w:hideMark/>
          </w:tcPr>
          <w:p w14:paraId="14B86531"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0.475</w:t>
            </w:r>
          </w:p>
        </w:tc>
        <w:tc>
          <w:tcPr>
            <w:tcW w:w="3330" w:type="dxa"/>
            <w:tcBorders>
              <w:top w:val="nil"/>
              <w:left w:val="nil"/>
              <w:bottom w:val="nil"/>
              <w:right w:val="nil"/>
            </w:tcBorders>
            <w:shd w:val="clear" w:color="auto" w:fill="auto"/>
            <w:noWrap/>
            <w:vAlign w:val="bottom"/>
            <w:hideMark/>
          </w:tcPr>
          <w:p w14:paraId="010EC86B"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2</w:t>
            </w:r>
          </w:p>
        </w:tc>
      </w:tr>
      <w:tr w:rsidR="001472DA" w:rsidRPr="008F1745" w14:paraId="41881B35" w14:textId="77777777" w:rsidTr="001472DA">
        <w:trPr>
          <w:trHeight w:val="300"/>
        </w:trPr>
        <w:tc>
          <w:tcPr>
            <w:tcW w:w="1300" w:type="dxa"/>
            <w:tcBorders>
              <w:top w:val="nil"/>
              <w:left w:val="nil"/>
              <w:bottom w:val="nil"/>
              <w:right w:val="nil"/>
            </w:tcBorders>
            <w:shd w:val="clear" w:color="auto" w:fill="auto"/>
            <w:noWrap/>
            <w:vAlign w:val="bottom"/>
            <w:hideMark/>
          </w:tcPr>
          <w:p w14:paraId="2FEECDE9"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bdr w:val="none" w:sz="0" w:space="0" w:color="auto"/>
              </w:rPr>
            </w:pPr>
            <w:r w:rsidRPr="001472DA">
              <w:rPr>
                <w:rFonts w:eastAsia="Times New Roman"/>
                <w:b/>
                <w:bCs/>
                <w:color w:val="000000"/>
                <w:bdr w:val="none" w:sz="0" w:space="0" w:color="auto"/>
              </w:rPr>
              <w:t>Q3</w:t>
            </w:r>
          </w:p>
        </w:tc>
        <w:tc>
          <w:tcPr>
            <w:tcW w:w="1955" w:type="dxa"/>
            <w:tcBorders>
              <w:top w:val="nil"/>
              <w:left w:val="nil"/>
              <w:bottom w:val="nil"/>
              <w:right w:val="nil"/>
            </w:tcBorders>
            <w:shd w:val="clear" w:color="auto" w:fill="auto"/>
            <w:noWrap/>
            <w:vAlign w:val="bottom"/>
            <w:hideMark/>
          </w:tcPr>
          <w:p w14:paraId="775E2D55"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-0.15833</w:t>
            </w:r>
          </w:p>
        </w:tc>
        <w:tc>
          <w:tcPr>
            <w:tcW w:w="1890" w:type="dxa"/>
            <w:tcBorders>
              <w:top w:val="nil"/>
              <w:left w:val="nil"/>
              <w:bottom w:val="nil"/>
              <w:right w:val="nil"/>
            </w:tcBorders>
            <w:shd w:val="clear" w:color="auto" w:fill="auto"/>
            <w:noWrap/>
            <w:vAlign w:val="bottom"/>
            <w:hideMark/>
          </w:tcPr>
          <w:p w14:paraId="72FE1B96"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0.31667</w:t>
            </w:r>
          </w:p>
        </w:tc>
        <w:tc>
          <w:tcPr>
            <w:tcW w:w="3330" w:type="dxa"/>
            <w:tcBorders>
              <w:top w:val="nil"/>
              <w:left w:val="nil"/>
              <w:bottom w:val="nil"/>
              <w:right w:val="nil"/>
            </w:tcBorders>
            <w:shd w:val="clear" w:color="auto" w:fill="auto"/>
            <w:noWrap/>
            <w:vAlign w:val="bottom"/>
            <w:hideMark/>
          </w:tcPr>
          <w:p w14:paraId="19753BE9"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3</w:t>
            </w:r>
          </w:p>
        </w:tc>
      </w:tr>
      <w:tr w:rsidR="001472DA" w:rsidRPr="008F1745" w14:paraId="671E011D" w14:textId="77777777" w:rsidTr="001472DA">
        <w:trPr>
          <w:trHeight w:val="300"/>
        </w:trPr>
        <w:tc>
          <w:tcPr>
            <w:tcW w:w="1300" w:type="dxa"/>
            <w:tcBorders>
              <w:top w:val="nil"/>
              <w:left w:val="nil"/>
              <w:bottom w:val="nil"/>
              <w:right w:val="nil"/>
            </w:tcBorders>
            <w:shd w:val="clear" w:color="auto" w:fill="auto"/>
            <w:noWrap/>
            <w:vAlign w:val="bottom"/>
            <w:hideMark/>
          </w:tcPr>
          <w:p w14:paraId="1D88979F"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bdr w:val="none" w:sz="0" w:space="0" w:color="auto"/>
              </w:rPr>
            </w:pPr>
            <w:r w:rsidRPr="001472DA">
              <w:rPr>
                <w:rFonts w:eastAsia="Times New Roman"/>
                <w:b/>
                <w:bCs/>
                <w:color w:val="000000"/>
                <w:bdr w:val="none" w:sz="0" w:space="0" w:color="auto"/>
              </w:rPr>
              <w:t>Q4</w:t>
            </w:r>
          </w:p>
        </w:tc>
        <w:tc>
          <w:tcPr>
            <w:tcW w:w="1955" w:type="dxa"/>
            <w:tcBorders>
              <w:top w:val="nil"/>
              <w:left w:val="nil"/>
              <w:bottom w:val="nil"/>
              <w:right w:val="nil"/>
            </w:tcBorders>
            <w:shd w:val="clear" w:color="auto" w:fill="auto"/>
            <w:noWrap/>
            <w:vAlign w:val="bottom"/>
            <w:hideMark/>
          </w:tcPr>
          <w:p w14:paraId="1C2D80A9"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-0.0792</w:t>
            </w:r>
          </w:p>
        </w:tc>
        <w:tc>
          <w:tcPr>
            <w:tcW w:w="1890" w:type="dxa"/>
            <w:tcBorders>
              <w:top w:val="nil"/>
              <w:left w:val="nil"/>
              <w:bottom w:val="nil"/>
              <w:right w:val="nil"/>
            </w:tcBorders>
            <w:shd w:val="clear" w:color="auto" w:fill="auto"/>
            <w:noWrap/>
            <w:vAlign w:val="bottom"/>
            <w:hideMark/>
          </w:tcPr>
          <w:p w14:paraId="18AD9B54"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0.23747</w:t>
            </w:r>
          </w:p>
        </w:tc>
        <w:tc>
          <w:tcPr>
            <w:tcW w:w="3330" w:type="dxa"/>
            <w:tcBorders>
              <w:top w:val="nil"/>
              <w:left w:val="nil"/>
              <w:bottom w:val="nil"/>
              <w:right w:val="nil"/>
            </w:tcBorders>
            <w:shd w:val="clear" w:color="auto" w:fill="auto"/>
            <w:noWrap/>
            <w:vAlign w:val="bottom"/>
            <w:hideMark/>
          </w:tcPr>
          <w:p w14:paraId="572CA760" w14:textId="77777777" w:rsidR="001472DA" w:rsidRPr="001472DA" w:rsidRDefault="001472DA" w:rsidP="001472DA">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1472DA">
              <w:rPr>
                <w:rFonts w:eastAsia="Times New Roman"/>
                <w:color w:val="000000"/>
                <w:bdr w:val="none" w:sz="0" w:space="0" w:color="auto"/>
              </w:rPr>
              <w:t>4</w:t>
            </w:r>
          </w:p>
        </w:tc>
      </w:tr>
    </w:tbl>
    <w:p w14:paraId="501A9B07" w14:textId="4D2D5047" w:rsidR="00DE3F16" w:rsidRDefault="00DE3F16">
      <w:pPr>
        <w:pStyle w:val="Default"/>
        <w:rPr>
          <w:rFonts w:ascii="Times New Roman" w:hAnsi="Times New Roman" w:cs="Times New Roman"/>
        </w:rPr>
      </w:pPr>
      <w:r>
        <w:rPr>
          <w:rFonts w:ascii="Times New Roman" w:hAnsi="Times New Roman" w:cs="Times New Roman"/>
          <w:i/>
        </w:rPr>
        <w:t xml:space="preserve"> </w:t>
      </w:r>
      <w:r>
        <w:rPr>
          <w:rFonts w:ascii="Times New Roman" w:hAnsi="Times New Roman" w:cs="Times New Roman"/>
        </w:rPr>
        <w:t xml:space="preserve">  </w:t>
      </w:r>
    </w:p>
    <w:p w14:paraId="19564E31" w14:textId="6D70AB20" w:rsidR="001472DA" w:rsidRDefault="001472DA">
      <w:pPr>
        <w:pStyle w:val="Default"/>
        <w:rPr>
          <w:rFonts w:ascii="Times New Roman" w:hAnsi="Times New Roman" w:cs="Times New Roman"/>
        </w:rPr>
      </w:pPr>
      <w:r>
        <w:rPr>
          <w:rFonts w:ascii="Times New Roman" w:hAnsi="Times New Roman" w:cs="Times New Roman"/>
        </w:rPr>
        <w:t>In this example, the first-quartile layer for the income source has a time constraint of 0.95 (95% of an agent’s time), such that it is the only layer the agent can occupy.  The second-quartile layer of the same source has a marginal time constraint of -0.475, such that the combined time constraint is 0.475, allowing up to 2 layers of similar time constraint to be occupied.  In the agricultural case, this might represent an agent purchasing more property but also mechanizing and capturing economies of scale (in both time and income, perhaps).</w:t>
      </w:r>
    </w:p>
    <w:p w14:paraId="1661E476" w14:textId="77777777" w:rsidR="001472DA" w:rsidRDefault="001472DA">
      <w:pPr>
        <w:pStyle w:val="Default"/>
        <w:rPr>
          <w:rFonts w:ascii="Times New Roman" w:hAnsi="Times New Roman" w:cs="Times New Roman"/>
        </w:rPr>
      </w:pPr>
    </w:p>
    <w:p w14:paraId="448643D4" w14:textId="31C6BC04" w:rsidR="001472DA" w:rsidRDefault="000A1E5A">
      <w:pPr>
        <w:pStyle w:val="Default"/>
        <w:rPr>
          <w:rFonts w:ascii="Times New Roman" w:hAnsi="Times New Roman" w:cs="Times New Roman"/>
          <w:i/>
        </w:rPr>
      </w:pPr>
      <w:r>
        <w:rPr>
          <w:rFonts w:ascii="Times New Roman" w:hAnsi="Times New Roman" w:cs="Times New Roman"/>
          <w:i/>
        </w:rPr>
        <w:t xml:space="preserve">5.4 </w:t>
      </w:r>
      <w:r w:rsidR="00E626E6" w:rsidRPr="00E626E6">
        <w:rPr>
          <w:rFonts w:ascii="Times New Roman" w:hAnsi="Times New Roman" w:cs="Times New Roman"/>
          <w:i/>
        </w:rPr>
        <w:t>Fixed and open layers</w:t>
      </w:r>
    </w:p>
    <w:p w14:paraId="626EB708" w14:textId="61151DD2" w:rsidR="00E626E6" w:rsidRDefault="00E626E6">
      <w:pPr>
        <w:pStyle w:val="Default"/>
        <w:rPr>
          <w:rFonts w:ascii="Times New Roman" w:hAnsi="Times New Roman" w:cs="Times New Roman"/>
        </w:rPr>
      </w:pPr>
      <w:r>
        <w:rPr>
          <w:rFonts w:ascii="Times New Roman" w:hAnsi="Times New Roman" w:cs="Times New Roman"/>
        </w:rPr>
        <w:t xml:space="preserve">We specified all agricultural layers as ‘open,’ meaning that there were not a defined number of slots, but that the earned income from each layer may decline (depending on the values </w:t>
      </w:r>
      <w:r>
        <w:rPr>
          <w:rFonts w:ascii="Times New Roman" w:hAnsi="Times New Roman" w:cs="Times New Roman"/>
          <w:i/>
        </w:rPr>
        <w:t>m</w:t>
      </w:r>
      <w:r>
        <w:rPr>
          <w:rFonts w:ascii="Times New Roman" w:hAnsi="Times New Roman" w:cs="Times New Roman"/>
        </w:rPr>
        <w:t xml:space="preserve"> and </w:t>
      </w:r>
      <w:r>
        <w:rPr>
          <w:rFonts w:ascii="Times New Roman" w:hAnsi="Times New Roman" w:cs="Times New Roman"/>
          <w:i/>
        </w:rPr>
        <w:t>k</w:t>
      </w:r>
      <w:r>
        <w:rPr>
          <w:rFonts w:ascii="Times New Roman" w:hAnsi="Times New Roman" w:cs="Times New Roman"/>
        </w:rPr>
        <w:t xml:space="preserve"> in Eqn. 1) as the number of agents occupying the layer exceeded those expected (i.e., proportional to the HIES).  We specified the layers ‘rest of other income’ (which we believe to largely be property income), wage income, and salary income as ‘fixed,’ with a hard number of slots that could not be exceeded:</w:t>
      </w:r>
    </w:p>
    <w:p w14:paraId="6A457EAA" w14:textId="77777777" w:rsidR="00A87B85" w:rsidRDefault="00A87B85">
      <w:pPr>
        <w:pStyle w:val="Default"/>
        <w:rPr>
          <w:rFonts w:ascii="Times New Roman" w:hAnsi="Times New Roman" w:cs="Times New Roman"/>
        </w:rPr>
      </w:pPr>
    </w:p>
    <w:p w14:paraId="4E4B3531" w14:textId="122A6A72" w:rsidR="00B26140" w:rsidRPr="00B26140" w:rsidRDefault="00B26140">
      <w:pPr>
        <w:pStyle w:val="Default"/>
        <w:rPr>
          <w:rFonts w:ascii="Times New Roman" w:hAnsi="Times New Roman" w:cs="Times New Roman"/>
          <w:b/>
        </w:rPr>
      </w:pPr>
      <w:r w:rsidRPr="00B26140">
        <w:rPr>
          <w:rFonts w:ascii="Times New Roman" w:hAnsi="Times New Roman" w:cs="Times New Roman"/>
          <w:b/>
        </w:rPr>
        <w:t xml:space="preserve">Table </w:t>
      </w:r>
      <w:r>
        <w:rPr>
          <w:rFonts w:ascii="Times New Roman" w:hAnsi="Times New Roman" w:cs="Times New Roman"/>
          <w:b/>
        </w:rPr>
        <w:t>4: Fixed or open layers</w:t>
      </w:r>
      <w:r w:rsidRPr="00B26140">
        <w:rPr>
          <w:rFonts w:ascii="Times New Roman" w:hAnsi="Times New Roman" w:cs="Times New Roman"/>
          <w:b/>
        </w:rPr>
        <w:t>, by income source</w:t>
      </w:r>
    </w:p>
    <w:tbl>
      <w:tblPr>
        <w:tblStyle w:val="TableGrid"/>
        <w:tblW w:w="7953" w:type="dxa"/>
        <w:tblLook w:val="04A0" w:firstRow="1" w:lastRow="0" w:firstColumn="1" w:lastColumn="0" w:noHBand="0" w:noVBand="1"/>
      </w:tblPr>
      <w:tblGrid>
        <w:gridCol w:w="815"/>
        <w:gridCol w:w="646"/>
        <w:gridCol w:w="559"/>
        <w:gridCol w:w="559"/>
        <w:gridCol w:w="615"/>
        <w:gridCol w:w="485"/>
        <w:gridCol w:w="485"/>
        <w:gridCol w:w="616"/>
        <w:gridCol w:w="616"/>
        <w:gridCol w:w="485"/>
        <w:gridCol w:w="485"/>
        <w:gridCol w:w="485"/>
        <w:gridCol w:w="485"/>
        <w:gridCol w:w="617"/>
      </w:tblGrid>
      <w:tr w:rsidR="00E626E6" w14:paraId="2113245E" w14:textId="77777777" w:rsidTr="00B036AA">
        <w:trPr>
          <w:cantSplit/>
          <w:trHeight w:val="1727"/>
        </w:trPr>
        <w:tc>
          <w:tcPr>
            <w:tcW w:w="555" w:type="dxa"/>
            <w:textDirection w:val="btLr"/>
          </w:tcPr>
          <w:p w14:paraId="7412F4D3"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p>
        </w:tc>
        <w:tc>
          <w:tcPr>
            <w:tcW w:w="717" w:type="dxa"/>
            <w:textDirection w:val="btLr"/>
          </w:tcPr>
          <w:p w14:paraId="164742C8"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Rest of other income</w:t>
            </w:r>
          </w:p>
        </w:tc>
        <w:tc>
          <w:tcPr>
            <w:tcW w:w="475" w:type="dxa"/>
            <w:textDirection w:val="btLr"/>
          </w:tcPr>
          <w:p w14:paraId="46D9BD82"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Wage income</w:t>
            </w:r>
          </w:p>
        </w:tc>
        <w:tc>
          <w:tcPr>
            <w:tcW w:w="475" w:type="dxa"/>
            <w:textDirection w:val="btLr"/>
          </w:tcPr>
          <w:p w14:paraId="2A480FAD"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Salary income</w:t>
            </w:r>
          </w:p>
        </w:tc>
        <w:tc>
          <w:tcPr>
            <w:tcW w:w="719" w:type="dxa"/>
            <w:textDirection w:val="btLr"/>
          </w:tcPr>
          <w:p w14:paraId="298E2575"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Sugarcane income</w:t>
            </w:r>
          </w:p>
        </w:tc>
        <w:tc>
          <w:tcPr>
            <w:tcW w:w="475" w:type="dxa"/>
            <w:textDirection w:val="btLr"/>
          </w:tcPr>
          <w:p w14:paraId="4D3FC987"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Jute income</w:t>
            </w:r>
          </w:p>
        </w:tc>
        <w:tc>
          <w:tcPr>
            <w:tcW w:w="475" w:type="dxa"/>
            <w:textDirection w:val="btLr"/>
          </w:tcPr>
          <w:p w14:paraId="23231996"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Wheat income</w:t>
            </w:r>
          </w:p>
        </w:tc>
        <w:tc>
          <w:tcPr>
            <w:tcW w:w="720" w:type="dxa"/>
            <w:textDirection w:val="btLr"/>
          </w:tcPr>
          <w:p w14:paraId="1499454B"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Boro rice income</w:t>
            </w:r>
          </w:p>
        </w:tc>
        <w:tc>
          <w:tcPr>
            <w:tcW w:w="720" w:type="dxa"/>
            <w:textDirection w:val="btLr"/>
          </w:tcPr>
          <w:p w14:paraId="570411C1"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Aman rice income</w:t>
            </w:r>
          </w:p>
        </w:tc>
        <w:tc>
          <w:tcPr>
            <w:tcW w:w="475" w:type="dxa"/>
            <w:textDirection w:val="btLr"/>
          </w:tcPr>
          <w:p w14:paraId="522A0C34"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Aus rice income</w:t>
            </w:r>
          </w:p>
        </w:tc>
        <w:tc>
          <w:tcPr>
            <w:tcW w:w="475" w:type="dxa"/>
            <w:textDirection w:val="btLr"/>
          </w:tcPr>
          <w:p w14:paraId="322300BB"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Oilseed income</w:t>
            </w:r>
          </w:p>
        </w:tc>
        <w:tc>
          <w:tcPr>
            <w:tcW w:w="475" w:type="dxa"/>
            <w:textDirection w:val="btLr"/>
          </w:tcPr>
          <w:p w14:paraId="03DFD79C"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Pulse income</w:t>
            </w:r>
          </w:p>
        </w:tc>
        <w:tc>
          <w:tcPr>
            <w:tcW w:w="475" w:type="dxa"/>
            <w:textDirection w:val="btLr"/>
          </w:tcPr>
          <w:p w14:paraId="3D5F2EB3"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Maize income</w:t>
            </w:r>
          </w:p>
        </w:tc>
        <w:tc>
          <w:tcPr>
            <w:tcW w:w="722" w:type="dxa"/>
            <w:textDirection w:val="btLr"/>
          </w:tcPr>
          <w:p w14:paraId="078F5742" w14:textId="77777777"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ind w:left="113" w:right="113"/>
              <w:rPr>
                <w:rFonts w:ascii="Times New Roman" w:hAnsi="Times New Roman" w:cs="Times New Roman"/>
              </w:rPr>
            </w:pPr>
            <w:r>
              <w:rPr>
                <w:rFonts w:ascii="Times New Roman" w:hAnsi="Times New Roman" w:cs="Times New Roman"/>
              </w:rPr>
              <w:t>Income from other crops</w:t>
            </w:r>
          </w:p>
        </w:tc>
      </w:tr>
      <w:tr w:rsidR="00E626E6" w14:paraId="59C856CE" w14:textId="77777777" w:rsidTr="00B036AA">
        <w:tc>
          <w:tcPr>
            <w:tcW w:w="555" w:type="dxa"/>
          </w:tcPr>
          <w:p w14:paraId="7666F61F" w14:textId="07363B9E"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Fixed?</w:t>
            </w:r>
          </w:p>
        </w:tc>
        <w:tc>
          <w:tcPr>
            <w:tcW w:w="717" w:type="dxa"/>
          </w:tcPr>
          <w:p w14:paraId="66FD0A81" w14:textId="17274646"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Yes</w:t>
            </w:r>
          </w:p>
        </w:tc>
        <w:tc>
          <w:tcPr>
            <w:tcW w:w="475" w:type="dxa"/>
          </w:tcPr>
          <w:p w14:paraId="1488F1D3" w14:textId="499383B6"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Yes</w:t>
            </w:r>
          </w:p>
        </w:tc>
        <w:tc>
          <w:tcPr>
            <w:tcW w:w="475" w:type="dxa"/>
          </w:tcPr>
          <w:p w14:paraId="64B1E1E6" w14:textId="312CC367" w:rsidR="00E626E6" w:rsidRDefault="00E626E6" w:rsidP="00E626E6">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Yes</w:t>
            </w:r>
          </w:p>
        </w:tc>
        <w:tc>
          <w:tcPr>
            <w:tcW w:w="719" w:type="dxa"/>
          </w:tcPr>
          <w:p w14:paraId="173421E1" w14:textId="4805470D"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No</w:t>
            </w:r>
          </w:p>
        </w:tc>
        <w:tc>
          <w:tcPr>
            <w:tcW w:w="475" w:type="dxa"/>
          </w:tcPr>
          <w:p w14:paraId="460468BD" w14:textId="28C8D3A0"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No</w:t>
            </w:r>
          </w:p>
        </w:tc>
        <w:tc>
          <w:tcPr>
            <w:tcW w:w="475" w:type="dxa"/>
          </w:tcPr>
          <w:p w14:paraId="3232F6C0" w14:textId="244813B1"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No</w:t>
            </w:r>
          </w:p>
        </w:tc>
        <w:tc>
          <w:tcPr>
            <w:tcW w:w="720" w:type="dxa"/>
          </w:tcPr>
          <w:p w14:paraId="6830E04A" w14:textId="2B9AD72A"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No</w:t>
            </w:r>
          </w:p>
        </w:tc>
        <w:tc>
          <w:tcPr>
            <w:tcW w:w="720" w:type="dxa"/>
          </w:tcPr>
          <w:p w14:paraId="36196E18" w14:textId="3B1C3B6F"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No</w:t>
            </w:r>
          </w:p>
        </w:tc>
        <w:tc>
          <w:tcPr>
            <w:tcW w:w="475" w:type="dxa"/>
          </w:tcPr>
          <w:p w14:paraId="08A16830" w14:textId="17AEA12E"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No</w:t>
            </w:r>
          </w:p>
        </w:tc>
        <w:tc>
          <w:tcPr>
            <w:tcW w:w="475" w:type="dxa"/>
          </w:tcPr>
          <w:p w14:paraId="3326A845" w14:textId="7D4E6905"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No</w:t>
            </w:r>
          </w:p>
        </w:tc>
        <w:tc>
          <w:tcPr>
            <w:tcW w:w="475" w:type="dxa"/>
          </w:tcPr>
          <w:p w14:paraId="6D1226B2" w14:textId="17093DE9"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No</w:t>
            </w:r>
          </w:p>
        </w:tc>
        <w:tc>
          <w:tcPr>
            <w:tcW w:w="475" w:type="dxa"/>
          </w:tcPr>
          <w:p w14:paraId="6C636D60" w14:textId="79D94DE3"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No</w:t>
            </w:r>
          </w:p>
        </w:tc>
        <w:tc>
          <w:tcPr>
            <w:tcW w:w="722" w:type="dxa"/>
          </w:tcPr>
          <w:p w14:paraId="3D67FFAD" w14:textId="7E7AE6A2" w:rsidR="00E626E6" w:rsidRDefault="00E626E6" w:rsidP="00B036AA">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rPr>
            </w:pPr>
            <w:r>
              <w:rPr>
                <w:rFonts w:ascii="Times New Roman" w:hAnsi="Times New Roman" w:cs="Times New Roman"/>
              </w:rPr>
              <w:t>No</w:t>
            </w:r>
          </w:p>
        </w:tc>
      </w:tr>
    </w:tbl>
    <w:p w14:paraId="3A629C4C" w14:textId="77777777" w:rsidR="00E626E6" w:rsidRDefault="00E626E6">
      <w:pPr>
        <w:pStyle w:val="Default"/>
        <w:rPr>
          <w:rFonts w:ascii="Times New Roman" w:hAnsi="Times New Roman" w:cs="Times New Roman"/>
        </w:rPr>
      </w:pPr>
    </w:p>
    <w:p w14:paraId="0225F8BB" w14:textId="783F8103" w:rsidR="00E626E6" w:rsidRDefault="000E66A4">
      <w:pPr>
        <w:pStyle w:val="Default"/>
        <w:rPr>
          <w:rFonts w:ascii="Times New Roman" w:hAnsi="Times New Roman" w:cs="Times New Roman"/>
        </w:rPr>
      </w:pPr>
      <w:r>
        <w:rPr>
          <w:rFonts w:ascii="Times New Roman" w:hAnsi="Times New Roman" w:cs="Times New Roman"/>
        </w:rPr>
        <w:t>For layers that are fixed, agents have a belief about the likelihood of actually gaining a slot, which allows them to estimate the expected utility from that layer.  This belief is updated through their social networks (i.e., I heard from my cousin that company X in place Y was hiring; see main ODD for mechanism); agents may choose to migrate based on an expected utility, but in the end not gain access to the layer.</w:t>
      </w:r>
    </w:p>
    <w:p w14:paraId="68E3DA43" w14:textId="77777777" w:rsidR="003C3AC9" w:rsidRDefault="003C3AC9">
      <w:pPr>
        <w:pStyle w:val="Default"/>
        <w:rPr>
          <w:rFonts w:ascii="Times New Roman" w:hAnsi="Times New Roman" w:cs="Times New Roman"/>
        </w:rPr>
      </w:pPr>
    </w:p>
    <w:p w14:paraId="08391954" w14:textId="3027C1FE" w:rsidR="003C3AC9" w:rsidRPr="003C3AC9" w:rsidRDefault="000A1E5A">
      <w:pPr>
        <w:pStyle w:val="Default"/>
        <w:rPr>
          <w:rFonts w:ascii="Times New Roman" w:hAnsi="Times New Roman" w:cs="Times New Roman"/>
          <w:i/>
        </w:rPr>
      </w:pPr>
      <w:r>
        <w:rPr>
          <w:rFonts w:ascii="Times New Roman" w:hAnsi="Times New Roman" w:cs="Times New Roman"/>
          <w:i/>
        </w:rPr>
        <w:t xml:space="preserve">5.5 </w:t>
      </w:r>
      <w:r w:rsidR="003C3AC9" w:rsidRPr="003C3AC9">
        <w:rPr>
          <w:rFonts w:ascii="Times New Roman" w:hAnsi="Times New Roman" w:cs="Times New Roman"/>
          <w:i/>
        </w:rPr>
        <w:t>Access Costs</w:t>
      </w:r>
    </w:p>
    <w:p w14:paraId="118D6EF4" w14:textId="300669DF" w:rsidR="003C3AC9" w:rsidRDefault="00B036AA">
      <w:pPr>
        <w:pStyle w:val="Default"/>
        <w:rPr>
          <w:rFonts w:ascii="Times New Roman" w:hAnsi="Times New Roman" w:cs="Times New Roman"/>
        </w:rPr>
      </w:pPr>
      <w:r>
        <w:rPr>
          <w:rFonts w:ascii="Times New Roman" w:hAnsi="Times New Roman" w:cs="Times New Roman"/>
        </w:rPr>
        <w:t>Access costs are coded in MIDAS as a list of discrete cost items that may be associated with one or more layers; in turn, layers may be associated with one or more access costs.  This allows representation, for instance, of the cost of multiple certifications in order to be able to practice law in a particular place (and the additional costs at the margin to transfer those credentials to a new place).  It also allows representation of immobile assets such as properties, by specifying unique and separate access costs to access a ‘property’ layer in different places, for example.</w:t>
      </w:r>
    </w:p>
    <w:p w14:paraId="0D0FBE5B" w14:textId="77777777" w:rsidR="00B036AA" w:rsidRDefault="00B036AA">
      <w:pPr>
        <w:pStyle w:val="Default"/>
        <w:rPr>
          <w:rFonts w:ascii="Times New Roman" w:hAnsi="Times New Roman" w:cs="Times New Roman"/>
        </w:rPr>
      </w:pPr>
    </w:p>
    <w:p w14:paraId="01186E6D" w14:textId="6B31FC48" w:rsidR="00B036AA" w:rsidRDefault="00922E36">
      <w:pPr>
        <w:pStyle w:val="Default"/>
        <w:rPr>
          <w:rFonts w:ascii="Times New Roman" w:hAnsi="Times New Roman" w:cs="Times New Roman"/>
          <w:b/>
        </w:rPr>
      </w:pPr>
      <w:r>
        <w:rPr>
          <w:rFonts w:ascii="Times New Roman" w:hAnsi="Times New Roman" w:cs="Times New Roman"/>
        </w:rPr>
        <w:t xml:space="preserve">In the current application, we include only income streams, but make the following assumption – that the costs of accessing sources 4 and 6 (wage and salary income) allow agents to access those sources in all parts of Bangladesh; i.e., they are transferrable qualifications.  All other sources represent earnings from assets (properties in the case of source 3; farm land in all other cases), which we treat as immovable.  </w:t>
      </w:r>
      <w:r w:rsidRPr="00922E36">
        <w:rPr>
          <w:rFonts w:ascii="Times New Roman" w:hAnsi="Times New Roman" w:cs="Times New Roman"/>
          <w:b/>
        </w:rPr>
        <w:t>The present application does not include the possibility of selling assets to facilitate a move, though this is a possible area for extension if model findings indicate that it is a relevant constraint.</w:t>
      </w:r>
    </w:p>
    <w:p w14:paraId="77A83EAE" w14:textId="77777777" w:rsidR="00922E36" w:rsidRDefault="00922E36">
      <w:pPr>
        <w:pStyle w:val="Default"/>
        <w:rPr>
          <w:rFonts w:ascii="Times New Roman" w:hAnsi="Times New Roman" w:cs="Times New Roman"/>
        </w:rPr>
      </w:pPr>
    </w:p>
    <w:p w14:paraId="0C79820A" w14:textId="5E95319D" w:rsidR="00922E36" w:rsidRDefault="00922E36">
      <w:pPr>
        <w:pStyle w:val="Default"/>
        <w:rPr>
          <w:rFonts w:ascii="Times New Roman" w:hAnsi="Times New Roman" w:cs="Times New Roman"/>
        </w:rPr>
      </w:pPr>
      <w:r>
        <w:rPr>
          <w:rFonts w:ascii="Times New Roman" w:hAnsi="Times New Roman" w:cs="Times New Roman"/>
        </w:rPr>
        <w:t xml:space="preserve">Rather than try to identify from an additional data source the likely costs of purchasing land, buildings, or accessing wage and salary levels – which could be unavailable or inconsistent – we applied a simple model to generate plausible access costs for each layer, based on an underlying assumption of a reasonable expected rate of return on investment.  </w:t>
      </w:r>
      <w:r w:rsidR="00637D4D">
        <w:rPr>
          <w:rFonts w:ascii="Times New Roman" w:hAnsi="Times New Roman" w:cs="Times New Roman"/>
        </w:rPr>
        <w:t>The fraction of an investment that must be recovered each year of a project in order to break even, known as the uniform series capital cost recovery factor, is defined as:</w:t>
      </w:r>
    </w:p>
    <w:p w14:paraId="39490E74" w14:textId="77777777" w:rsidR="00637D4D" w:rsidRDefault="00637D4D">
      <w:pPr>
        <w:pStyle w:val="Default"/>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
        <w:gridCol w:w="8117"/>
        <w:gridCol w:w="1296"/>
      </w:tblGrid>
      <w:tr w:rsidR="00637D4D" w14:paraId="2985DB5C" w14:textId="77777777" w:rsidTr="00637D4D">
        <w:trPr>
          <w:jc w:val="center"/>
        </w:trPr>
        <w:tc>
          <w:tcPr>
            <w:tcW w:w="468" w:type="dxa"/>
            <w:vAlign w:val="center"/>
          </w:tcPr>
          <w:p w14:paraId="22C65A0E" w14:textId="77777777" w:rsidR="00637D4D" w:rsidRDefault="00637D4D" w:rsidP="00637D4D">
            <w:pPr>
              <w:pStyle w:val="Default"/>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rPr>
            </w:pPr>
          </w:p>
        </w:tc>
        <w:tc>
          <w:tcPr>
            <w:tcW w:w="8910" w:type="dxa"/>
            <w:vAlign w:val="center"/>
          </w:tcPr>
          <w:p w14:paraId="2E797D97" w14:textId="138CAA9F" w:rsidR="00637D4D" w:rsidRDefault="00637D4D" w:rsidP="00637D4D">
            <w:pPr>
              <w:pStyle w:val="Default"/>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P</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1+i</m:t>
                            </m:r>
                          </m:e>
                        </m:d>
                      </m:e>
                      <m:sup>
                        <m:r>
                          <w:rPr>
                            <w:rFonts w:ascii="Cambria Math" w:hAnsi="Cambria Math" w:cs="Times New Roman"/>
                          </w:rPr>
                          <m:t>n</m:t>
                        </m:r>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1+i</m:t>
                            </m:r>
                          </m:e>
                        </m:d>
                      </m:e>
                      <m:sup>
                        <m:r>
                          <w:rPr>
                            <w:rFonts w:ascii="Cambria Math" w:hAnsi="Cambria Math" w:cs="Times New Roman"/>
                          </w:rPr>
                          <m:t>n</m:t>
                        </m:r>
                      </m:sup>
                    </m:sSup>
                    <m:r>
                      <w:rPr>
                        <w:rFonts w:ascii="Cambria Math" w:hAnsi="Cambria Math" w:cs="Times New Roman"/>
                      </w:rPr>
                      <m:t>-1</m:t>
                    </m:r>
                  </m:den>
                </m:f>
              </m:oMath>
            </m:oMathPara>
          </w:p>
        </w:tc>
        <w:tc>
          <w:tcPr>
            <w:tcW w:w="476" w:type="dxa"/>
            <w:vAlign w:val="center"/>
          </w:tcPr>
          <w:p w14:paraId="05D3CDAB" w14:textId="77777777" w:rsidR="00637D4D" w:rsidRDefault="00637D4D" w:rsidP="00637D4D">
            <w:pPr>
              <w:pStyle w:val="Default"/>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rPr>
            </w:pPr>
            <w:r>
              <w:rPr>
                <w:rFonts w:ascii="Times New Roman" w:hAnsi="Times New Roman" w:cs="Times New Roman"/>
              </w:rPr>
              <w:t xml:space="preserve"> </w:t>
            </w:r>
          </w:p>
        </w:tc>
      </w:tr>
    </w:tbl>
    <w:p w14:paraId="6966AB4B" w14:textId="77777777" w:rsidR="00637D4D" w:rsidRDefault="00637D4D">
      <w:pPr>
        <w:pStyle w:val="Default"/>
        <w:rPr>
          <w:rFonts w:ascii="Times New Roman" w:hAnsi="Times New Roman" w:cs="Times New Roman"/>
        </w:rPr>
      </w:pPr>
    </w:p>
    <w:p w14:paraId="167A47D1" w14:textId="0C024893" w:rsidR="00637D4D" w:rsidRDefault="00637D4D">
      <w:pPr>
        <w:pStyle w:val="Default"/>
        <w:rPr>
          <w:rFonts w:ascii="Times New Roman" w:hAnsi="Times New Roman" w:cs="Times New Roman"/>
        </w:rPr>
      </w:pPr>
      <w:r>
        <w:rPr>
          <w:rFonts w:ascii="Times New Roman" w:hAnsi="Times New Roman" w:cs="Times New Roman"/>
        </w:rPr>
        <w:t xml:space="preserve">Where </w:t>
      </w:r>
      <w:r w:rsidRPr="00637D4D">
        <w:rPr>
          <w:rFonts w:ascii="Times New Roman" w:hAnsi="Times New Roman" w:cs="Times New Roman"/>
          <w:i/>
        </w:rPr>
        <w:t>A</w:t>
      </w:r>
      <w:r>
        <w:rPr>
          <w:rFonts w:ascii="Times New Roman" w:hAnsi="Times New Roman" w:cs="Times New Roman"/>
        </w:rPr>
        <w:t xml:space="preserve"> is the annual return in each of </w:t>
      </w:r>
      <w:r>
        <w:rPr>
          <w:rFonts w:ascii="Times New Roman" w:hAnsi="Times New Roman" w:cs="Times New Roman"/>
          <w:i/>
        </w:rPr>
        <w:t>n</w:t>
      </w:r>
      <w:r>
        <w:rPr>
          <w:rFonts w:ascii="Times New Roman" w:hAnsi="Times New Roman" w:cs="Times New Roman"/>
        </w:rPr>
        <w:t xml:space="preserve"> project years, </w:t>
      </w:r>
      <w:r w:rsidRPr="00637D4D">
        <w:rPr>
          <w:rFonts w:ascii="Times New Roman" w:hAnsi="Times New Roman" w:cs="Times New Roman"/>
          <w:i/>
        </w:rPr>
        <w:t>P</w:t>
      </w:r>
      <w:r>
        <w:rPr>
          <w:rFonts w:ascii="Times New Roman" w:hAnsi="Times New Roman" w:cs="Times New Roman"/>
        </w:rPr>
        <w:t xml:space="preserve"> is the upfront cost, and </w:t>
      </w:r>
      <w:r>
        <w:rPr>
          <w:rFonts w:ascii="Times New Roman" w:hAnsi="Times New Roman" w:cs="Times New Roman"/>
          <w:i/>
        </w:rPr>
        <w:t>i</w:t>
      </w:r>
      <w:r>
        <w:rPr>
          <w:rFonts w:ascii="Times New Roman" w:hAnsi="Times New Roman" w:cs="Times New Roman"/>
        </w:rPr>
        <w:t xml:space="preserve"> is the discount rate.  We leverage this model to estimate </w:t>
      </w:r>
      <w:r w:rsidR="007163CD">
        <w:rPr>
          <w:rFonts w:ascii="Times New Roman" w:hAnsi="Times New Roman" w:cs="Times New Roman"/>
        </w:rPr>
        <w:t xml:space="preserve">the reasonable investment costs to earn a return on investment </w:t>
      </w:r>
      <w:r w:rsidR="007163CD">
        <w:rPr>
          <w:rFonts w:ascii="Times New Roman" w:hAnsi="Times New Roman" w:cs="Times New Roman"/>
          <w:i/>
        </w:rPr>
        <w:t>r</w:t>
      </w:r>
      <w:r w:rsidR="007163CD">
        <w:rPr>
          <w:rFonts w:ascii="Times New Roman" w:hAnsi="Times New Roman" w:cs="Times New Roman"/>
        </w:rPr>
        <w:t xml:space="preserve"> as:</w:t>
      </w:r>
    </w:p>
    <w:p w14:paraId="3DBE807F" w14:textId="77777777" w:rsidR="007163CD" w:rsidRDefault="007163CD">
      <w:pPr>
        <w:pStyle w:val="Default"/>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
        <w:gridCol w:w="8116"/>
        <w:gridCol w:w="1296"/>
      </w:tblGrid>
      <w:tr w:rsidR="007163CD" w14:paraId="45922F13" w14:textId="77777777" w:rsidTr="007163CD">
        <w:trPr>
          <w:jc w:val="center"/>
        </w:trPr>
        <w:tc>
          <w:tcPr>
            <w:tcW w:w="468" w:type="dxa"/>
            <w:vAlign w:val="center"/>
          </w:tcPr>
          <w:p w14:paraId="5070634B" w14:textId="77777777" w:rsidR="007163CD" w:rsidRDefault="007163CD" w:rsidP="007163CD">
            <w:pPr>
              <w:pStyle w:val="Default"/>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rPr>
            </w:pPr>
          </w:p>
        </w:tc>
        <w:tc>
          <w:tcPr>
            <w:tcW w:w="8910" w:type="dxa"/>
            <w:vAlign w:val="center"/>
          </w:tcPr>
          <w:p w14:paraId="029E144F" w14:textId="49A775D4" w:rsidR="007163CD" w:rsidRDefault="007163CD" w:rsidP="007163CD">
            <w:pPr>
              <w:pStyle w:val="Default"/>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rPr>
            </w:pPr>
            <m:oMathPara>
              <m:oMath>
                <m:r>
                  <w:rPr>
                    <w:rFonts w:ascii="Cambria Math" w:hAnsi="Cambria Math" w:cs="Times New Roman"/>
                  </w:rPr>
                  <m:t>P=A⋅</m:t>
                </m:r>
                <m:d>
                  <m:dPr>
                    <m:ctrlPr>
                      <w:rPr>
                        <w:rFonts w:ascii="Cambria Math" w:hAnsi="Cambria Math" w:cs="Times New Roman"/>
                        <w:i/>
                      </w:rPr>
                    </m:ctrlPr>
                  </m:dPr>
                  <m:e>
                    <m:r>
                      <w:rPr>
                        <w:rFonts w:ascii="Cambria Math" w:hAnsi="Cambria Math" w:cs="Times New Roman"/>
                      </w:rPr>
                      <m:t>1+r</m:t>
                    </m:r>
                  </m:e>
                </m:d>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1+i</m:t>
                            </m:r>
                          </m:e>
                        </m:d>
                      </m:e>
                      <m:sup>
                        <m:r>
                          <w:rPr>
                            <w:rFonts w:ascii="Cambria Math" w:hAnsi="Cambria Math" w:cs="Times New Roman"/>
                          </w:rPr>
                          <m:t>n</m:t>
                        </m:r>
                      </m:sup>
                    </m:sSup>
                    <m:r>
                      <w:rPr>
                        <w:rFonts w:ascii="Cambria Math" w:hAnsi="Cambria Math" w:cs="Times New Roman"/>
                      </w:rPr>
                      <m:t>-1</m:t>
                    </m:r>
                  </m:num>
                  <m:den>
                    <m:r>
                      <w:rPr>
                        <w:rFonts w:ascii="Cambria Math" w:hAnsi="Cambria Math" w:cs="Times New Roman"/>
                      </w:rPr>
                      <m:t>i∙</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1+i</m:t>
                            </m:r>
                          </m:e>
                        </m:d>
                      </m:e>
                      <m:sup>
                        <m:r>
                          <w:rPr>
                            <w:rFonts w:ascii="Cambria Math" w:hAnsi="Cambria Math" w:cs="Times New Roman"/>
                          </w:rPr>
                          <m:t>n</m:t>
                        </m:r>
                      </m:sup>
                    </m:sSup>
                  </m:den>
                </m:f>
              </m:oMath>
            </m:oMathPara>
          </w:p>
        </w:tc>
        <w:tc>
          <w:tcPr>
            <w:tcW w:w="476" w:type="dxa"/>
            <w:vAlign w:val="center"/>
          </w:tcPr>
          <w:p w14:paraId="057DC8EF" w14:textId="77777777" w:rsidR="007163CD" w:rsidRDefault="007163CD" w:rsidP="007163CD">
            <w:pPr>
              <w:pStyle w:val="Default"/>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rPr>
            </w:pPr>
            <w:r>
              <w:rPr>
                <w:rFonts w:ascii="Times New Roman" w:hAnsi="Times New Roman" w:cs="Times New Roman"/>
              </w:rPr>
              <w:t xml:space="preserve"> </w:t>
            </w:r>
          </w:p>
        </w:tc>
      </w:tr>
    </w:tbl>
    <w:p w14:paraId="430BBD75" w14:textId="77777777" w:rsidR="007163CD" w:rsidRDefault="007163CD">
      <w:pPr>
        <w:pStyle w:val="Default"/>
        <w:rPr>
          <w:rFonts w:ascii="Times New Roman" w:hAnsi="Times New Roman" w:cs="Times New Roman"/>
        </w:rPr>
      </w:pPr>
    </w:p>
    <w:p w14:paraId="50546340" w14:textId="7EF77F13" w:rsidR="007163CD" w:rsidRDefault="007163CD">
      <w:pPr>
        <w:pStyle w:val="Default"/>
        <w:rPr>
          <w:rFonts w:ascii="Times New Roman" w:hAnsi="Times New Roman" w:cs="Times New Roman"/>
        </w:rPr>
      </w:pPr>
      <w:r>
        <w:rPr>
          <w:rFonts w:ascii="Times New Roman" w:hAnsi="Times New Roman" w:cs="Times New Roman"/>
        </w:rPr>
        <w:t xml:space="preserve">The value of </w:t>
      </w:r>
      <w:r>
        <w:rPr>
          <w:rFonts w:ascii="Times New Roman" w:hAnsi="Times New Roman" w:cs="Times New Roman"/>
          <w:i/>
        </w:rPr>
        <w:t>P</w:t>
      </w:r>
      <w:r>
        <w:rPr>
          <w:rFonts w:ascii="Times New Roman" w:hAnsi="Times New Roman" w:cs="Times New Roman"/>
        </w:rPr>
        <w:t xml:space="preserve"> is used as the cost of accessing a layer with average annual return </w:t>
      </w:r>
      <w:r>
        <w:rPr>
          <w:rFonts w:ascii="Times New Roman" w:hAnsi="Times New Roman" w:cs="Times New Roman"/>
          <w:i/>
        </w:rPr>
        <w:t>A</w:t>
      </w:r>
      <w:r>
        <w:rPr>
          <w:rFonts w:ascii="Times New Roman" w:hAnsi="Times New Roman" w:cs="Times New Roman"/>
        </w:rPr>
        <w:t xml:space="preserve">.  Values for </w:t>
      </w:r>
      <w:r>
        <w:rPr>
          <w:rFonts w:ascii="Times New Roman" w:hAnsi="Times New Roman" w:cs="Times New Roman"/>
          <w:i/>
        </w:rPr>
        <w:t>r</w:t>
      </w:r>
      <w:r>
        <w:rPr>
          <w:rFonts w:ascii="Times New Roman" w:hAnsi="Times New Roman" w:cs="Times New Roman"/>
        </w:rPr>
        <w:t xml:space="preserve">, </w:t>
      </w:r>
      <w:r>
        <w:rPr>
          <w:rFonts w:ascii="Times New Roman" w:hAnsi="Times New Roman" w:cs="Times New Roman"/>
          <w:i/>
        </w:rPr>
        <w:t>i</w:t>
      </w:r>
      <w:r>
        <w:rPr>
          <w:rFonts w:ascii="Times New Roman" w:hAnsi="Times New Roman" w:cs="Times New Roman"/>
        </w:rPr>
        <w:t xml:space="preserve">, and </w:t>
      </w:r>
      <w:r>
        <w:rPr>
          <w:rFonts w:ascii="Times New Roman" w:hAnsi="Times New Roman" w:cs="Times New Roman"/>
          <w:i/>
        </w:rPr>
        <w:t>n</w:t>
      </w:r>
      <w:r>
        <w:rPr>
          <w:rFonts w:ascii="Times New Roman" w:hAnsi="Times New Roman" w:cs="Times New Roman"/>
        </w:rPr>
        <w:t xml:space="preserve"> are estimated as calibration parameters, with the same values applied to all layers in the simulation.</w:t>
      </w:r>
    </w:p>
    <w:p w14:paraId="6DADC10A" w14:textId="77777777" w:rsidR="009F59A9" w:rsidRDefault="009F59A9">
      <w:pPr>
        <w:pStyle w:val="Default"/>
        <w:rPr>
          <w:rFonts w:ascii="Times New Roman" w:hAnsi="Times New Roman" w:cs="Times New Roman"/>
        </w:rPr>
      </w:pPr>
    </w:p>
    <w:p w14:paraId="3DD39378" w14:textId="0049ED44" w:rsidR="009F59A9" w:rsidRPr="000A1E5A" w:rsidRDefault="000A1E5A">
      <w:pPr>
        <w:pStyle w:val="Default"/>
        <w:rPr>
          <w:rFonts w:ascii="Times New Roman" w:hAnsi="Times New Roman" w:cs="Times New Roman"/>
          <w:b/>
          <w:i/>
        </w:rPr>
      </w:pPr>
      <w:r w:rsidRPr="000A1E5A">
        <w:rPr>
          <w:rFonts w:ascii="Times New Roman" w:hAnsi="Times New Roman" w:cs="Times New Roman"/>
          <w:b/>
          <w:i/>
        </w:rPr>
        <w:t xml:space="preserve">6 </w:t>
      </w:r>
      <w:r w:rsidR="009F59A9" w:rsidRPr="000A1E5A">
        <w:rPr>
          <w:rFonts w:ascii="Times New Roman" w:hAnsi="Times New Roman" w:cs="Times New Roman"/>
          <w:b/>
          <w:i/>
        </w:rPr>
        <w:t>Moving costs</w:t>
      </w:r>
    </w:p>
    <w:p w14:paraId="7512BA4E" w14:textId="75F2ECBC" w:rsidR="009F59A9" w:rsidRDefault="009F59A9">
      <w:pPr>
        <w:pStyle w:val="Default"/>
        <w:rPr>
          <w:rFonts w:ascii="Times New Roman" w:hAnsi="Times New Roman" w:cs="Times New Roman"/>
        </w:rPr>
      </w:pPr>
      <w:r>
        <w:rPr>
          <w:rFonts w:ascii="Times New Roman" w:hAnsi="Times New Roman" w:cs="Times New Roman"/>
        </w:rPr>
        <w:t xml:space="preserve">We did not have data to estimate moving costs in this simulation, and set them to 0. </w:t>
      </w:r>
    </w:p>
    <w:p w14:paraId="6A82265D" w14:textId="77777777" w:rsidR="009F59A9" w:rsidRDefault="009F59A9">
      <w:pPr>
        <w:pStyle w:val="Default"/>
        <w:rPr>
          <w:rFonts w:ascii="Times New Roman" w:hAnsi="Times New Roman" w:cs="Times New Roman"/>
        </w:rPr>
      </w:pPr>
    </w:p>
    <w:p w14:paraId="00C80636" w14:textId="2F2001D3" w:rsidR="009F59A9" w:rsidRPr="000A1E5A" w:rsidRDefault="000A1E5A">
      <w:pPr>
        <w:pStyle w:val="Default"/>
        <w:rPr>
          <w:rFonts w:ascii="Times New Roman" w:hAnsi="Times New Roman" w:cs="Times New Roman"/>
          <w:b/>
          <w:i/>
        </w:rPr>
      </w:pPr>
      <w:r w:rsidRPr="000A1E5A">
        <w:rPr>
          <w:rFonts w:ascii="Times New Roman" w:hAnsi="Times New Roman" w:cs="Times New Roman"/>
          <w:b/>
          <w:i/>
        </w:rPr>
        <w:t xml:space="preserve">7 </w:t>
      </w:r>
      <w:r w:rsidR="009F59A9" w:rsidRPr="000A1E5A">
        <w:rPr>
          <w:rFonts w:ascii="Times New Roman" w:hAnsi="Times New Roman" w:cs="Times New Roman"/>
          <w:b/>
          <w:i/>
        </w:rPr>
        <w:t>Remittance costs</w:t>
      </w:r>
    </w:p>
    <w:p w14:paraId="14A2F5F3" w14:textId="150B84D0" w:rsidR="009F59A9" w:rsidRDefault="009F59A9">
      <w:pPr>
        <w:pStyle w:val="Default"/>
        <w:rPr>
          <w:rFonts w:ascii="Times New Roman" w:hAnsi="Times New Roman" w:cs="Times New Roman"/>
        </w:rPr>
      </w:pPr>
      <w:r>
        <w:rPr>
          <w:rFonts w:ascii="Times New Roman" w:hAnsi="Times New Roman" w:cs="Times New Roman"/>
        </w:rPr>
        <w:t>We did not have data to estimate remittance costs in this simulation, and set them to 0.</w:t>
      </w:r>
    </w:p>
    <w:p w14:paraId="6F027DE8" w14:textId="77777777" w:rsidR="000A1E5A" w:rsidRDefault="000A1E5A">
      <w:pPr>
        <w:pStyle w:val="Default"/>
        <w:rPr>
          <w:rFonts w:ascii="Times New Roman" w:hAnsi="Times New Roman" w:cs="Times New Roman"/>
        </w:rPr>
      </w:pPr>
      <w:bookmarkStart w:id="0" w:name="_GoBack"/>
      <w:bookmarkEnd w:id="0"/>
    </w:p>
    <w:p w14:paraId="7CA62DA5" w14:textId="33D88FCF" w:rsidR="00DA22C3" w:rsidRPr="000A1E5A" w:rsidRDefault="00DA22C3">
      <w:pPr>
        <w:pStyle w:val="Default"/>
        <w:rPr>
          <w:rFonts w:ascii="Times New Roman" w:hAnsi="Times New Roman" w:cs="Times New Roman"/>
          <w:b/>
          <w:i/>
        </w:rPr>
      </w:pPr>
      <w:r w:rsidRPr="000A1E5A">
        <w:rPr>
          <w:rFonts w:ascii="Times New Roman" w:hAnsi="Times New Roman" w:cs="Times New Roman"/>
          <w:b/>
          <w:i/>
        </w:rPr>
        <w:t>Literature Cited</w:t>
      </w:r>
    </w:p>
    <w:p w14:paraId="6F2A3941" w14:textId="27722E8D" w:rsidR="004D0A2B" w:rsidRPr="004D0A2B" w:rsidRDefault="00DA22C3" w:rsidP="004D0A2B">
      <w:pPr>
        <w:widowControl w:val="0"/>
        <w:autoSpaceDE w:val="0"/>
        <w:autoSpaceDN w:val="0"/>
        <w:adjustRightInd w:val="0"/>
        <w:ind w:left="480" w:hanging="480"/>
        <w:rPr>
          <w:noProof/>
          <w:sz w:val="22"/>
        </w:rPr>
      </w:pPr>
      <w:r>
        <w:fldChar w:fldCharType="begin" w:fldLock="1"/>
      </w:r>
      <w:r>
        <w:instrText xml:space="preserve">ADDIN Mendeley Bibliography CSL_BIBLIOGRAPHY </w:instrText>
      </w:r>
      <w:r>
        <w:fldChar w:fldCharType="separate"/>
      </w:r>
      <w:r w:rsidR="004D0A2B" w:rsidRPr="004D0A2B">
        <w:rPr>
          <w:noProof/>
          <w:sz w:val="22"/>
        </w:rPr>
        <w:t>BBS. 2017. “Yearbook of Agricultural Statistics-2016.” Dhaka, Bangladesh. http://bbs.portal.gov.bd/sites/default/files/files/bbs.portal.gov.bd/page/1b1eb817_9325_4354_a756_3d18412203e2/Yearbook-2016-Final-19-06-2017.pdf.</w:t>
      </w:r>
    </w:p>
    <w:p w14:paraId="41E36A59" w14:textId="77777777" w:rsidR="004D0A2B" w:rsidRPr="004D0A2B" w:rsidRDefault="004D0A2B" w:rsidP="004D0A2B">
      <w:pPr>
        <w:widowControl w:val="0"/>
        <w:autoSpaceDE w:val="0"/>
        <w:autoSpaceDN w:val="0"/>
        <w:adjustRightInd w:val="0"/>
        <w:ind w:left="480" w:hanging="480"/>
        <w:rPr>
          <w:noProof/>
          <w:sz w:val="22"/>
        </w:rPr>
      </w:pPr>
      <w:r w:rsidRPr="004D0A2B">
        <w:rPr>
          <w:noProof/>
          <w:sz w:val="22"/>
        </w:rPr>
        <w:t>Minnesota Population Center. 2015. “Integrated Public Use Microdata Series, International: Version 6.4 [Dataset].” Minneapolis, MN: University of Minnesota. doi:10.18128/D020.V6.4.</w:t>
      </w:r>
    </w:p>
    <w:p w14:paraId="4C73BC5C" w14:textId="77777777" w:rsidR="004D0A2B" w:rsidRPr="004D0A2B" w:rsidRDefault="004D0A2B" w:rsidP="004D0A2B">
      <w:pPr>
        <w:widowControl w:val="0"/>
        <w:autoSpaceDE w:val="0"/>
        <w:autoSpaceDN w:val="0"/>
        <w:adjustRightInd w:val="0"/>
        <w:ind w:left="480" w:hanging="480"/>
        <w:rPr>
          <w:noProof/>
          <w:sz w:val="22"/>
        </w:rPr>
      </w:pPr>
      <w:r w:rsidRPr="004D0A2B">
        <w:rPr>
          <w:noProof/>
          <w:sz w:val="22"/>
        </w:rPr>
        <w:t>UNDESA. 2013. “World Fertility Data 2012.”</w:t>
      </w:r>
    </w:p>
    <w:p w14:paraId="0F0E0212" w14:textId="77777777" w:rsidR="004D0A2B" w:rsidRPr="004D0A2B" w:rsidRDefault="004D0A2B" w:rsidP="004D0A2B">
      <w:pPr>
        <w:widowControl w:val="0"/>
        <w:autoSpaceDE w:val="0"/>
        <w:autoSpaceDN w:val="0"/>
        <w:adjustRightInd w:val="0"/>
        <w:ind w:left="480" w:hanging="480"/>
        <w:rPr>
          <w:noProof/>
          <w:sz w:val="22"/>
        </w:rPr>
      </w:pPr>
      <w:r w:rsidRPr="004D0A2B">
        <w:rPr>
          <w:noProof/>
          <w:sz w:val="22"/>
        </w:rPr>
        <w:t>WHO. 2015. “Global Health Observatory Data Repository.”</w:t>
      </w:r>
    </w:p>
    <w:p w14:paraId="1611D6C3" w14:textId="4C2F391E" w:rsidR="00DA22C3" w:rsidRPr="009F59A9" w:rsidRDefault="00DA22C3" w:rsidP="004D0A2B">
      <w:pPr>
        <w:widowControl w:val="0"/>
        <w:autoSpaceDE w:val="0"/>
        <w:autoSpaceDN w:val="0"/>
        <w:adjustRightInd w:val="0"/>
      </w:pPr>
      <w:r>
        <w:fldChar w:fldCharType="end"/>
      </w:r>
    </w:p>
    <w:sectPr w:rsidR="00DA22C3" w:rsidRPr="009F59A9" w:rsidSect="00B22A1B">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B75B0D" w14:textId="77777777" w:rsidR="00021EBC" w:rsidRDefault="00021EBC">
      <w:r>
        <w:separator/>
      </w:r>
    </w:p>
  </w:endnote>
  <w:endnote w:type="continuationSeparator" w:id="0">
    <w:p w14:paraId="0BEF729C" w14:textId="77777777" w:rsidR="00021EBC" w:rsidRDefault="00021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4F0D8" w14:textId="77777777" w:rsidR="00021EBC" w:rsidRDefault="00021EBC" w:rsidP="00B802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B0FFDF" w14:textId="77777777" w:rsidR="00021EBC" w:rsidRDefault="00021EBC" w:rsidP="00B8023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21514" w14:textId="77777777" w:rsidR="00021EBC" w:rsidRDefault="00021EBC" w:rsidP="00B802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1E5A">
      <w:rPr>
        <w:rStyle w:val="PageNumber"/>
        <w:noProof/>
      </w:rPr>
      <w:t>6</w:t>
    </w:r>
    <w:r>
      <w:rPr>
        <w:rStyle w:val="PageNumber"/>
      </w:rPr>
      <w:fldChar w:fldCharType="end"/>
    </w:r>
  </w:p>
  <w:p w14:paraId="45550BCA" w14:textId="77777777" w:rsidR="00021EBC" w:rsidRDefault="00021EBC" w:rsidP="00B8023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A6D3F7" w14:textId="77777777" w:rsidR="00021EBC" w:rsidRDefault="00021EBC">
      <w:r>
        <w:separator/>
      </w:r>
    </w:p>
  </w:footnote>
  <w:footnote w:type="continuationSeparator" w:id="0">
    <w:p w14:paraId="4EF2202C" w14:textId="77777777" w:rsidR="00021EBC" w:rsidRDefault="00021EB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358D8"/>
    <w:multiLevelType w:val="hybridMultilevel"/>
    <w:tmpl w:val="328EE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3D3745"/>
    <w:multiLevelType w:val="hybridMultilevel"/>
    <w:tmpl w:val="E6C0D88A"/>
    <w:lvl w:ilvl="0" w:tplc="0E2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AC580F"/>
    <w:multiLevelType w:val="multilevel"/>
    <w:tmpl w:val="14C2D8C8"/>
    <w:lvl w:ilvl="0">
      <w:start w:val="1"/>
      <w:numFmt w:val="decimal"/>
      <w:lvlText w:val="%1."/>
      <w:lvlJc w:val="left"/>
      <w:pPr>
        <w:tabs>
          <w:tab w:val="num" w:pos="687"/>
        </w:tabs>
        <w:ind w:left="687" w:hanging="687"/>
      </w:pPr>
      <w:rPr>
        <w:rFonts w:ascii="Arial" w:eastAsia="Arial" w:hAnsi="Arial" w:cs="Arial"/>
        <w:b/>
        <w:bCs/>
        <w:position w:val="0"/>
        <w:sz w:val="42"/>
        <w:szCs w:val="42"/>
        <w:shd w:val="clear" w:color="auto" w:fill="F9F9F9"/>
        <w:rtl w:val="0"/>
      </w:rPr>
    </w:lvl>
    <w:lvl w:ilvl="1">
      <w:start w:val="1"/>
      <w:numFmt w:val="decimal"/>
      <w:lvlText w:val="%2."/>
      <w:lvlJc w:val="left"/>
      <w:pPr>
        <w:tabs>
          <w:tab w:val="num" w:pos="1047"/>
        </w:tabs>
        <w:ind w:left="1047" w:hanging="687"/>
      </w:pPr>
      <w:rPr>
        <w:rFonts w:ascii="Arial" w:eastAsia="Arial" w:hAnsi="Arial" w:cs="Arial"/>
        <w:b/>
        <w:bCs/>
        <w:position w:val="0"/>
        <w:sz w:val="42"/>
        <w:szCs w:val="42"/>
        <w:shd w:val="clear" w:color="auto" w:fill="F9F9F9"/>
        <w:rtl w:val="0"/>
      </w:rPr>
    </w:lvl>
    <w:lvl w:ilvl="2">
      <w:start w:val="1"/>
      <w:numFmt w:val="decimal"/>
      <w:lvlText w:val="%3."/>
      <w:lvlJc w:val="left"/>
      <w:pPr>
        <w:tabs>
          <w:tab w:val="num" w:pos="1407"/>
        </w:tabs>
        <w:ind w:left="1407" w:hanging="687"/>
      </w:pPr>
      <w:rPr>
        <w:rFonts w:ascii="Arial" w:eastAsia="Arial" w:hAnsi="Arial" w:cs="Arial"/>
        <w:b/>
        <w:bCs/>
        <w:position w:val="0"/>
        <w:sz w:val="42"/>
        <w:szCs w:val="42"/>
        <w:shd w:val="clear" w:color="auto" w:fill="F9F9F9"/>
        <w:rtl w:val="0"/>
      </w:rPr>
    </w:lvl>
    <w:lvl w:ilvl="3">
      <w:start w:val="1"/>
      <w:numFmt w:val="decimal"/>
      <w:lvlText w:val="%4."/>
      <w:lvlJc w:val="left"/>
      <w:pPr>
        <w:tabs>
          <w:tab w:val="num" w:pos="1767"/>
        </w:tabs>
        <w:ind w:left="1767" w:hanging="687"/>
      </w:pPr>
      <w:rPr>
        <w:rFonts w:ascii="Arial" w:eastAsia="Arial" w:hAnsi="Arial" w:cs="Arial"/>
        <w:b/>
        <w:bCs/>
        <w:position w:val="0"/>
        <w:sz w:val="42"/>
        <w:szCs w:val="42"/>
        <w:shd w:val="clear" w:color="auto" w:fill="F9F9F9"/>
        <w:rtl w:val="0"/>
      </w:rPr>
    </w:lvl>
    <w:lvl w:ilvl="4">
      <w:start w:val="1"/>
      <w:numFmt w:val="decimal"/>
      <w:lvlText w:val="%5."/>
      <w:lvlJc w:val="left"/>
      <w:pPr>
        <w:tabs>
          <w:tab w:val="num" w:pos="2127"/>
        </w:tabs>
        <w:ind w:left="2127" w:hanging="687"/>
      </w:pPr>
      <w:rPr>
        <w:rFonts w:ascii="Arial" w:eastAsia="Arial" w:hAnsi="Arial" w:cs="Arial"/>
        <w:b/>
        <w:bCs/>
        <w:position w:val="0"/>
        <w:sz w:val="42"/>
        <w:szCs w:val="42"/>
        <w:shd w:val="clear" w:color="auto" w:fill="F9F9F9"/>
        <w:rtl w:val="0"/>
      </w:rPr>
    </w:lvl>
    <w:lvl w:ilvl="5">
      <w:start w:val="1"/>
      <w:numFmt w:val="decimal"/>
      <w:lvlText w:val="%6."/>
      <w:lvlJc w:val="left"/>
      <w:pPr>
        <w:tabs>
          <w:tab w:val="num" w:pos="2487"/>
        </w:tabs>
        <w:ind w:left="2487" w:hanging="687"/>
      </w:pPr>
      <w:rPr>
        <w:rFonts w:ascii="Arial" w:eastAsia="Arial" w:hAnsi="Arial" w:cs="Arial"/>
        <w:b/>
        <w:bCs/>
        <w:position w:val="0"/>
        <w:sz w:val="42"/>
        <w:szCs w:val="42"/>
        <w:shd w:val="clear" w:color="auto" w:fill="F9F9F9"/>
        <w:rtl w:val="0"/>
      </w:rPr>
    </w:lvl>
    <w:lvl w:ilvl="6">
      <w:start w:val="1"/>
      <w:numFmt w:val="decimal"/>
      <w:lvlText w:val="%7."/>
      <w:lvlJc w:val="left"/>
      <w:pPr>
        <w:tabs>
          <w:tab w:val="num" w:pos="2847"/>
        </w:tabs>
        <w:ind w:left="2847" w:hanging="687"/>
      </w:pPr>
      <w:rPr>
        <w:rFonts w:ascii="Arial" w:eastAsia="Arial" w:hAnsi="Arial" w:cs="Arial"/>
        <w:b/>
        <w:bCs/>
        <w:position w:val="0"/>
        <w:sz w:val="42"/>
        <w:szCs w:val="42"/>
        <w:shd w:val="clear" w:color="auto" w:fill="F9F9F9"/>
        <w:rtl w:val="0"/>
      </w:rPr>
    </w:lvl>
    <w:lvl w:ilvl="7">
      <w:start w:val="1"/>
      <w:numFmt w:val="decimal"/>
      <w:lvlText w:val="%8."/>
      <w:lvlJc w:val="left"/>
      <w:pPr>
        <w:tabs>
          <w:tab w:val="num" w:pos="3207"/>
        </w:tabs>
        <w:ind w:left="3207" w:hanging="687"/>
      </w:pPr>
      <w:rPr>
        <w:rFonts w:ascii="Arial" w:eastAsia="Arial" w:hAnsi="Arial" w:cs="Arial"/>
        <w:b/>
        <w:bCs/>
        <w:position w:val="0"/>
        <w:sz w:val="42"/>
        <w:szCs w:val="42"/>
        <w:shd w:val="clear" w:color="auto" w:fill="F9F9F9"/>
        <w:rtl w:val="0"/>
      </w:rPr>
    </w:lvl>
    <w:lvl w:ilvl="8">
      <w:start w:val="1"/>
      <w:numFmt w:val="decimal"/>
      <w:lvlText w:val="%9."/>
      <w:lvlJc w:val="left"/>
      <w:pPr>
        <w:tabs>
          <w:tab w:val="num" w:pos="3567"/>
        </w:tabs>
        <w:ind w:left="3567" w:hanging="687"/>
      </w:pPr>
      <w:rPr>
        <w:rFonts w:ascii="Arial" w:eastAsia="Arial" w:hAnsi="Arial" w:cs="Arial"/>
        <w:b/>
        <w:bCs/>
        <w:position w:val="0"/>
        <w:sz w:val="42"/>
        <w:szCs w:val="42"/>
        <w:shd w:val="clear" w:color="auto" w:fill="F9F9F9"/>
        <w:rtl w:val="0"/>
      </w:rPr>
    </w:lvl>
  </w:abstractNum>
  <w:abstractNum w:abstractNumId="3">
    <w:nsid w:val="1424625F"/>
    <w:multiLevelType w:val="hybridMultilevel"/>
    <w:tmpl w:val="0AEC5A8E"/>
    <w:lvl w:ilvl="0" w:tplc="0E2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19708B"/>
    <w:multiLevelType w:val="hybridMultilevel"/>
    <w:tmpl w:val="8D44152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9603CE2"/>
    <w:multiLevelType w:val="hybridMultilevel"/>
    <w:tmpl w:val="C282B208"/>
    <w:lvl w:ilvl="0" w:tplc="0E2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977524"/>
    <w:multiLevelType w:val="hybridMultilevel"/>
    <w:tmpl w:val="84565732"/>
    <w:lvl w:ilvl="0" w:tplc="0E2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AF524F"/>
    <w:multiLevelType w:val="hybridMultilevel"/>
    <w:tmpl w:val="5D922938"/>
    <w:lvl w:ilvl="0" w:tplc="0E2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FE535AA"/>
    <w:multiLevelType w:val="multilevel"/>
    <w:tmpl w:val="EA405A86"/>
    <w:styleLink w:val="Numbered"/>
    <w:lvl w:ilvl="0">
      <w:start w:val="1"/>
      <w:numFmt w:val="decimal"/>
      <w:lvlText w:val="%1."/>
      <w:lvlJc w:val="left"/>
      <w:pPr>
        <w:tabs>
          <w:tab w:val="num" w:pos="687"/>
        </w:tabs>
        <w:ind w:left="687" w:hanging="687"/>
      </w:pPr>
      <w:rPr>
        <w:rFonts w:ascii="Arial" w:eastAsia="Arial" w:hAnsi="Arial" w:cs="Arial"/>
        <w:b/>
        <w:bCs/>
        <w:position w:val="0"/>
        <w:sz w:val="42"/>
        <w:szCs w:val="42"/>
        <w:shd w:val="clear" w:color="auto" w:fill="F9F9F9"/>
        <w:rtl w:val="0"/>
      </w:rPr>
    </w:lvl>
    <w:lvl w:ilvl="1">
      <w:start w:val="1"/>
      <w:numFmt w:val="decimal"/>
      <w:lvlText w:val="%2."/>
      <w:lvlJc w:val="left"/>
      <w:pPr>
        <w:tabs>
          <w:tab w:val="num" w:pos="1047"/>
        </w:tabs>
        <w:ind w:left="1047" w:hanging="687"/>
      </w:pPr>
      <w:rPr>
        <w:rFonts w:ascii="Arial" w:eastAsia="Arial" w:hAnsi="Arial" w:cs="Arial"/>
        <w:b/>
        <w:bCs/>
        <w:position w:val="0"/>
        <w:sz w:val="42"/>
        <w:szCs w:val="42"/>
        <w:shd w:val="clear" w:color="auto" w:fill="F9F9F9"/>
        <w:rtl w:val="0"/>
      </w:rPr>
    </w:lvl>
    <w:lvl w:ilvl="2">
      <w:start w:val="1"/>
      <w:numFmt w:val="decimal"/>
      <w:lvlText w:val="%3."/>
      <w:lvlJc w:val="left"/>
      <w:pPr>
        <w:tabs>
          <w:tab w:val="num" w:pos="1407"/>
        </w:tabs>
        <w:ind w:left="1407" w:hanging="687"/>
      </w:pPr>
      <w:rPr>
        <w:rFonts w:ascii="Arial" w:eastAsia="Arial" w:hAnsi="Arial" w:cs="Arial"/>
        <w:b/>
        <w:bCs/>
        <w:position w:val="0"/>
        <w:sz w:val="42"/>
        <w:szCs w:val="42"/>
        <w:shd w:val="clear" w:color="auto" w:fill="F9F9F9"/>
        <w:rtl w:val="0"/>
      </w:rPr>
    </w:lvl>
    <w:lvl w:ilvl="3">
      <w:start w:val="1"/>
      <w:numFmt w:val="decimal"/>
      <w:lvlText w:val="%4."/>
      <w:lvlJc w:val="left"/>
      <w:pPr>
        <w:tabs>
          <w:tab w:val="num" w:pos="1767"/>
        </w:tabs>
        <w:ind w:left="1767" w:hanging="687"/>
      </w:pPr>
      <w:rPr>
        <w:rFonts w:ascii="Arial" w:eastAsia="Arial" w:hAnsi="Arial" w:cs="Arial"/>
        <w:b/>
        <w:bCs/>
        <w:position w:val="0"/>
        <w:sz w:val="42"/>
        <w:szCs w:val="42"/>
        <w:shd w:val="clear" w:color="auto" w:fill="F9F9F9"/>
        <w:rtl w:val="0"/>
      </w:rPr>
    </w:lvl>
    <w:lvl w:ilvl="4">
      <w:start w:val="1"/>
      <w:numFmt w:val="decimal"/>
      <w:lvlText w:val="%5."/>
      <w:lvlJc w:val="left"/>
      <w:pPr>
        <w:tabs>
          <w:tab w:val="num" w:pos="2127"/>
        </w:tabs>
        <w:ind w:left="2127" w:hanging="687"/>
      </w:pPr>
      <w:rPr>
        <w:rFonts w:ascii="Arial" w:eastAsia="Arial" w:hAnsi="Arial" w:cs="Arial"/>
        <w:b/>
        <w:bCs/>
        <w:position w:val="0"/>
        <w:sz w:val="42"/>
        <w:szCs w:val="42"/>
        <w:shd w:val="clear" w:color="auto" w:fill="F9F9F9"/>
        <w:rtl w:val="0"/>
      </w:rPr>
    </w:lvl>
    <w:lvl w:ilvl="5">
      <w:start w:val="1"/>
      <w:numFmt w:val="decimal"/>
      <w:lvlText w:val="%6."/>
      <w:lvlJc w:val="left"/>
      <w:pPr>
        <w:tabs>
          <w:tab w:val="num" w:pos="2487"/>
        </w:tabs>
        <w:ind w:left="2487" w:hanging="687"/>
      </w:pPr>
      <w:rPr>
        <w:rFonts w:ascii="Arial" w:eastAsia="Arial" w:hAnsi="Arial" w:cs="Arial"/>
        <w:b/>
        <w:bCs/>
        <w:position w:val="0"/>
        <w:sz w:val="42"/>
        <w:szCs w:val="42"/>
        <w:shd w:val="clear" w:color="auto" w:fill="F9F9F9"/>
        <w:rtl w:val="0"/>
      </w:rPr>
    </w:lvl>
    <w:lvl w:ilvl="6">
      <w:start w:val="1"/>
      <w:numFmt w:val="decimal"/>
      <w:lvlText w:val="%7."/>
      <w:lvlJc w:val="left"/>
      <w:pPr>
        <w:tabs>
          <w:tab w:val="num" w:pos="2847"/>
        </w:tabs>
        <w:ind w:left="2847" w:hanging="687"/>
      </w:pPr>
      <w:rPr>
        <w:rFonts w:ascii="Arial" w:eastAsia="Arial" w:hAnsi="Arial" w:cs="Arial"/>
        <w:b/>
        <w:bCs/>
        <w:position w:val="0"/>
        <w:sz w:val="42"/>
        <w:szCs w:val="42"/>
        <w:shd w:val="clear" w:color="auto" w:fill="F9F9F9"/>
        <w:rtl w:val="0"/>
      </w:rPr>
    </w:lvl>
    <w:lvl w:ilvl="7">
      <w:start w:val="1"/>
      <w:numFmt w:val="decimal"/>
      <w:lvlText w:val="%8."/>
      <w:lvlJc w:val="left"/>
      <w:pPr>
        <w:tabs>
          <w:tab w:val="num" w:pos="3207"/>
        </w:tabs>
        <w:ind w:left="3207" w:hanging="687"/>
      </w:pPr>
      <w:rPr>
        <w:rFonts w:ascii="Arial" w:eastAsia="Arial" w:hAnsi="Arial" w:cs="Arial"/>
        <w:b/>
        <w:bCs/>
        <w:position w:val="0"/>
        <w:sz w:val="42"/>
        <w:szCs w:val="42"/>
        <w:shd w:val="clear" w:color="auto" w:fill="F9F9F9"/>
        <w:rtl w:val="0"/>
      </w:rPr>
    </w:lvl>
    <w:lvl w:ilvl="8">
      <w:start w:val="1"/>
      <w:numFmt w:val="decimal"/>
      <w:lvlText w:val="%9."/>
      <w:lvlJc w:val="left"/>
      <w:pPr>
        <w:tabs>
          <w:tab w:val="num" w:pos="3567"/>
        </w:tabs>
        <w:ind w:left="3567" w:hanging="687"/>
      </w:pPr>
      <w:rPr>
        <w:rFonts w:ascii="Arial" w:eastAsia="Arial" w:hAnsi="Arial" w:cs="Arial"/>
        <w:b/>
        <w:bCs/>
        <w:position w:val="0"/>
        <w:sz w:val="42"/>
        <w:szCs w:val="42"/>
        <w:shd w:val="clear" w:color="auto" w:fill="F9F9F9"/>
        <w:rtl w:val="0"/>
      </w:rPr>
    </w:lvl>
  </w:abstractNum>
  <w:num w:numId="1">
    <w:abstractNumId w:val="2"/>
  </w:num>
  <w:num w:numId="2">
    <w:abstractNumId w:val="8"/>
  </w:num>
  <w:num w:numId="3">
    <w:abstractNumId w:val="0"/>
  </w:num>
  <w:num w:numId="4">
    <w:abstractNumId w:val="7"/>
  </w:num>
  <w:num w:numId="5">
    <w:abstractNumId w:val="1"/>
  </w:num>
  <w:num w:numId="6">
    <w:abstractNumId w:val="3"/>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8F5AD9"/>
    <w:rsid w:val="00021EBC"/>
    <w:rsid w:val="000703C5"/>
    <w:rsid w:val="000A1E5A"/>
    <w:rsid w:val="000A33AB"/>
    <w:rsid w:val="000B6903"/>
    <w:rsid w:val="000E66A4"/>
    <w:rsid w:val="000F518D"/>
    <w:rsid w:val="00103312"/>
    <w:rsid w:val="001472DA"/>
    <w:rsid w:val="001B3333"/>
    <w:rsid w:val="0036552A"/>
    <w:rsid w:val="00370C3F"/>
    <w:rsid w:val="003C3AC9"/>
    <w:rsid w:val="00412BEE"/>
    <w:rsid w:val="00487080"/>
    <w:rsid w:val="004B4482"/>
    <w:rsid w:val="004C4434"/>
    <w:rsid w:val="004D0A2B"/>
    <w:rsid w:val="004F75D9"/>
    <w:rsid w:val="00616FE9"/>
    <w:rsid w:val="006261A1"/>
    <w:rsid w:val="00637D4D"/>
    <w:rsid w:val="0067205B"/>
    <w:rsid w:val="006D49F7"/>
    <w:rsid w:val="006F4DA8"/>
    <w:rsid w:val="007071DD"/>
    <w:rsid w:val="007163CD"/>
    <w:rsid w:val="007B5522"/>
    <w:rsid w:val="008F1745"/>
    <w:rsid w:val="008F5AD9"/>
    <w:rsid w:val="00922E36"/>
    <w:rsid w:val="0092480E"/>
    <w:rsid w:val="00936519"/>
    <w:rsid w:val="00944EF4"/>
    <w:rsid w:val="009F59A9"/>
    <w:rsid w:val="00A22E38"/>
    <w:rsid w:val="00A33C6E"/>
    <w:rsid w:val="00A37E5D"/>
    <w:rsid w:val="00A87B85"/>
    <w:rsid w:val="00AE4CF4"/>
    <w:rsid w:val="00B036AA"/>
    <w:rsid w:val="00B143EF"/>
    <w:rsid w:val="00B22A1B"/>
    <w:rsid w:val="00B26140"/>
    <w:rsid w:val="00B8023B"/>
    <w:rsid w:val="00BA7790"/>
    <w:rsid w:val="00BE323D"/>
    <w:rsid w:val="00C55B54"/>
    <w:rsid w:val="00C8401A"/>
    <w:rsid w:val="00DA22C3"/>
    <w:rsid w:val="00DA5648"/>
    <w:rsid w:val="00DE3F16"/>
    <w:rsid w:val="00E626E6"/>
    <w:rsid w:val="00E743F1"/>
    <w:rsid w:val="00EA7106"/>
    <w:rsid w:val="00F14FBB"/>
    <w:rsid w:val="00F233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D48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Arial Unicode MS" w:hAnsi="Helvetica" w:cs="Arial Unicode MS"/>
      <w:color w:val="000000"/>
      <w:sz w:val="22"/>
      <w:szCs w:val="22"/>
    </w:rPr>
  </w:style>
  <w:style w:type="numbering" w:customStyle="1" w:styleId="Numbered">
    <w:name w:val="Numbered"/>
    <w:pPr>
      <w:numPr>
        <w:numId w:val="2"/>
      </w:numPr>
    </w:pPr>
  </w:style>
  <w:style w:type="paragraph" w:styleId="Caption">
    <w:name w:val="caption"/>
    <w:pPr>
      <w:tabs>
        <w:tab w:val="left" w:pos="1150"/>
      </w:tabs>
    </w:pPr>
    <w:rPr>
      <w:rFonts w:ascii="Helvetica" w:hAnsi="Arial Unicode MS" w:cs="Arial Unicode MS"/>
      <w:b/>
      <w:bCs/>
      <w:caps/>
      <w:color w:val="000000"/>
    </w:rPr>
  </w:style>
  <w:style w:type="paragraph" w:styleId="EndnoteText">
    <w:name w:val="endnote text"/>
    <w:basedOn w:val="Normal"/>
    <w:link w:val="EndnoteTextChar"/>
    <w:uiPriority w:val="99"/>
    <w:unhideWhenUsed/>
    <w:rsid w:val="006261A1"/>
  </w:style>
  <w:style w:type="character" w:customStyle="1" w:styleId="EndnoteTextChar">
    <w:name w:val="Endnote Text Char"/>
    <w:basedOn w:val="DefaultParagraphFont"/>
    <w:link w:val="EndnoteText"/>
    <w:uiPriority w:val="99"/>
    <w:rsid w:val="006261A1"/>
    <w:rPr>
      <w:sz w:val="24"/>
      <w:szCs w:val="24"/>
    </w:rPr>
  </w:style>
  <w:style w:type="character" w:styleId="EndnoteReference">
    <w:name w:val="endnote reference"/>
    <w:basedOn w:val="DefaultParagraphFont"/>
    <w:uiPriority w:val="99"/>
    <w:unhideWhenUsed/>
    <w:rsid w:val="006261A1"/>
    <w:rPr>
      <w:vertAlign w:val="superscript"/>
    </w:rPr>
  </w:style>
  <w:style w:type="table" w:styleId="TableGrid">
    <w:name w:val="Table Grid"/>
    <w:basedOn w:val="TableNormal"/>
    <w:uiPriority w:val="59"/>
    <w:rsid w:val="00EA71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E323D"/>
    <w:rPr>
      <w:color w:val="808080"/>
    </w:rPr>
  </w:style>
  <w:style w:type="paragraph" w:styleId="BalloonText">
    <w:name w:val="Balloon Text"/>
    <w:basedOn w:val="Normal"/>
    <w:link w:val="BalloonTextChar"/>
    <w:uiPriority w:val="99"/>
    <w:semiHidden/>
    <w:unhideWhenUsed/>
    <w:rsid w:val="00BE32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E323D"/>
    <w:rPr>
      <w:rFonts w:ascii="Lucida Grande" w:hAnsi="Lucida Grande" w:cs="Lucida Grande"/>
      <w:sz w:val="18"/>
      <w:szCs w:val="18"/>
    </w:rPr>
  </w:style>
  <w:style w:type="paragraph" w:styleId="Footer">
    <w:name w:val="footer"/>
    <w:basedOn w:val="Normal"/>
    <w:link w:val="FooterChar"/>
    <w:uiPriority w:val="99"/>
    <w:unhideWhenUsed/>
    <w:rsid w:val="00B8023B"/>
    <w:pPr>
      <w:tabs>
        <w:tab w:val="center" w:pos="4320"/>
        <w:tab w:val="right" w:pos="8640"/>
      </w:tabs>
    </w:pPr>
  </w:style>
  <w:style w:type="character" w:customStyle="1" w:styleId="FooterChar">
    <w:name w:val="Footer Char"/>
    <w:basedOn w:val="DefaultParagraphFont"/>
    <w:link w:val="Footer"/>
    <w:uiPriority w:val="99"/>
    <w:rsid w:val="00B8023B"/>
    <w:rPr>
      <w:sz w:val="24"/>
      <w:szCs w:val="24"/>
    </w:rPr>
  </w:style>
  <w:style w:type="character" w:styleId="PageNumber">
    <w:name w:val="page number"/>
    <w:basedOn w:val="DefaultParagraphFont"/>
    <w:uiPriority w:val="99"/>
    <w:semiHidden/>
    <w:unhideWhenUsed/>
    <w:rsid w:val="00B8023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Arial Unicode MS" w:hAnsi="Helvetica" w:cs="Arial Unicode MS"/>
      <w:color w:val="000000"/>
      <w:sz w:val="22"/>
      <w:szCs w:val="22"/>
    </w:rPr>
  </w:style>
  <w:style w:type="numbering" w:customStyle="1" w:styleId="Numbered">
    <w:name w:val="Numbered"/>
    <w:pPr>
      <w:numPr>
        <w:numId w:val="2"/>
      </w:numPr>
    </w:pPr>
  </w:style>
  <w:style w:type="paragraph" w:styleId="Caption">
    <w:name w:val="caption"/>
    <w:pPr>
      <w:tabs>
        <w:tab w:val="left" w:pos="1150"/>
      </w:tabs>
    </w:pPr>
    <w:rPr>
      <w:rFonts w:ascii="Helvetica" w:hAnsi="Arial Unicode MS" w:cs="Arial Unicode MS"/>
      <w:b/>
      <w:bCs/>
      <w:caps/>
      <w:color w:val="000000"/>
    </w:rPr>
  </w:style>
  <w:style w:type="paragraph" w:styleId="EndnoteText">
    <w:name w:val="endnote text"/>
    <w:basedOn w:val="Normal"/>
    <w:link w:val="EndnoteTextChar"/>
    <w:uiPriority w:val="99"/>
    <w:unhideWhenUsed/>
    <w:rsid w:val="006261A1"/>
  </w:style>
  <w:style w:type="character" w:customStyle="1" w:styleId="EndnoteTextChar">
    <w:name w:val="Endnote Text Char"/>
    <w:basedOn w:val="DefaultParagraphFont"/>
    <w:link w:val="EndnoteText"/>
    <w:uiPriority w:val="99"/>
    <w:rsid w:val="006261A1"/>
    <w:rPr>
      <w:sz w:val="24"/>
      <w:szCs w:val="24"/>
    </w:rPr>
  </w:style>
  <w:style w:type="character" w:styleId="EndnoteReference">
    <w:name w:val="endnote reference"/>
    <w:basedOn w:val="DefaultParagraphFont"/>
    <w:uiPriority w:val="99"/>
    <w:unhideWhenUsed/>
    <w:rsid w:val="006261A1"/>
    <w:rPr>
      <w:vertAlign w:val="superscript"/>
    </w:rPr>
  </w:style>
  <w:style w:type="table" w:styleId="TableGrid">
    <w:name w:val="Table Grid"/>
    <w:basedOn w:val="TableNormal"/>
    <w:uiPriority w:val="59"/>
    <w:rsid w:val="00EA71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E323D"/>
    <w:rPr>
      <w:color w:val="808080"/>
    </w:rPr>
  </w:style>
  <w:style w:type="paragraph" w:styleId="BalloonText">
    <w:name w:val="Balloon Text"/>
    <w:basedOn w:val="Normal"/>
    <w:link w:val="BalloonTextChar"/>
    <w:uiPriority w:val="99"/>
    <w:semiHidden/>
    <w:unhideWhenUsed/>
    <w:rsid w:val="00BE32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E323D"/>
    <w:rPr>
      <w:rFonts w:ascii="Lucida Grande" w:hAnsi="Lucida Grande" w:cs="Lucida Grande"/>
      <w:sz w:val="18"/>
      <w:szCs w:val="18"/>
    </w:rPr>
  </w:style>
  <w:style w:type="paragraph" w:styleId="Footer">
    <w:name w:val="footer"/>
    <w:basedOn w:val="Normal"/>
    <w:link w:val="FooterChar"/>
    <w:uiPriority w:val="99"/>
    <w:unhideWhenUsed/>
    <w:rsid w:val="00B8023B"/>
    <w:pPr>
      <w:tabs>
        <w:tab w:val="center" w:pos="4320"/>
        <w:tab w:val="right" w:pos="8640"/>
      </w:tabs>
    </w:pPr>
  </w:style>
  <w:style w:type="character" w:customStyle="1" w:styleId="FooterChar">
    <w:name w:val="Footer Char"/>
    <w:basedOn w:val="DefaultParagraphFont"/>
    <w:link w:val="Footer"/>
    <w:uiPriority w:val="99"/>
    <w:rsid w:val="00B8023B"/>
    <w:rPr>
      <w:sz w:val="24"/>
      <w:szCs w:val="24"/>
    </w:rPr>
  </w:style>
  <w:style w:type="character" w:styleId="PageNumber">
    <w:name w:val="page number"/>
    <w:basedOn w:val="DefaultParagraphFont"/>
    <w:uiPriority w:val="99"/>
    <w:semiHidden/>
    <w:unhideWhenUsed/>
    <w:rsid w:val="00B80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377063">
      <w:bodyDiv w:val="1"/>
      <w:marLeft w:val="0"/>
      <w:marRight w:val="0"/>
      <w:marTop w:val="0"/>
      <w:marBottom w:val="0"/>
      <w:divBdr>
        <w:top w:val="none" w:sz="0" w:space="0" w:color="auto"/>
        <w:left w:val="none" w:sz="0" w:space="0" w:color="auto"/>
        <w:bottom w:val="none" w:sz="0" w:space="0" w:color="auto"/>
        <w:right w:val="none" w:sz="0" w:space="0" w:color="auto"/>
      </w:divBdr>
      <w:divsChild>
        <w:div w:id="1944262852">
          <w:marLeft w:val="0"/>
          <w:marRight w:val="0"/>
          <w:marTop w:val="0"/>
          <w:marBottom w:val="0"/>
          <w:divBdr>
            <w:top w:val="none" w:sz="0" w:space="0" w:color="auto"/>
            <w:left w:val="none" w:sz="0" w:space="0" w:color="auto"/>
            <w:bottom w:val="none" w:sz="0" w:space="0" w:color="auto"/>
            <w:right w:val="none" w:sz="0" w:space="0" w:color="auto"/>
          </w:divBdr>
          <w:divsChild>
            <w:div w:id="683170231">
              <w:marLeft w:val="0"/>
              <w:marRight w:val="0"/>
              <w:marTop w:val="0"/>
              <w:marBottom w:val="0"/>
              <w:divBdr>
                <w:top w:val="none" w:sz="0" w:space="0" w:color="auto"/>
                <w:left w:val="none" w:sz="0" w:space="0" w:color="auto"/>
                <w:bottom w:val="none" w:sz="0" w:space="0" w:color="auto"/>
                <w:right w:val="none" w:sz="0" w:space="0" w:color="auto"/>
              </w:divBdr>
              <w:divsChild>
                <w:div w:id="1161627723">
                  <w:marLeft w:val="0"/>
                  <w:marRight w:val="0"/>
                  <w:marTop w:val="0"/>
                  <w:marBottom w:val="0"/>
                  <w:divBdr>
                    <w:top w:val="none" w:sz="0" w:space="0" w:color="auto"/>
                    <w:left w:val="none" w:sz="0" w:space="0" w:color="auto"/>
                    <w:bottom w:val="none" w:sz="0" w:space="0" w:color="auto"/>
                    <w:right w:val="none" w:sz="0" w:space="0" w:color="auto"/>
                  </w:divBdr>
                  <w:divsChild>
                    <w:div w:id="13642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831830">
      <w:bodyDiv w:val="1"/>
      <w:marLeft w:val="0"/>
      <w:marRight w:val="0"/>
      <w:marTop w:val="0"/>
      <w:marBottom w:val="0"/>
      <w:divBdr>
        <w:top w:val="none" w:sz="0" w:space="0" w:color="auto"/>
        <w:left w:val="none" w:sz="0" w:space="0" w:color="auto"/>
        <w:bottom w:val="none" w:sz="0" w:space="0" w:color="auto"/>
        <w:right w:val="none" w:sz="0" w:space="0" w:color="auto"/>
      </w:divBdr>
    </w:div>
    <w:div w:id="125246688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hart" Target="charts/chart1.xml"/><Relationship Id="rId9" Type="http://schemas.openxmlformats.org/officeDocument/2006/relationships/image" Target="media/image1.png"/><Relationship Id="rId10"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andrewbell:Documents:GitHub:migration:Data:Bangladesh%20Data:age_specific_param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Discount rate multiplier, by age</a:t>
            </a:r>
          </a:p>
        </c:rich>
      </c:tx>
      <c:layout/>
      <c:overlay val="0"/>
    </c:title>
    <c:autoTitleDeleted val="0"/>
    <c:plotArea>
      <c:layout/>
      <c:barChart>
        <c:barDir val="col"/>
        <c:grouping val="clustered"/>
        <c:varyColors val="0"/>
        <c:ser>
          <c:idx val="1"/>
          <c:order val="0"/>
          <c:tx>
            <c:strRef>
              <c:f>Sheet1!$B$1</c:f>
              <c:strCache>
                <c:ptCount val="1"/>
                <c:pt idx="0">
                  <c:v>discRateAge</c:v>
                </c:pt>
              </c:strCache>
            </c:strRef>
          </c:tx>
          <c:spPr>
            <a:solidFill>
              <a:schemeClr val="accent1">
                <a:lumMod val="40000"/>
                <a:lumOff val="60000"/>
              </a:schemeClr>
            </a:solidFill>
          </c:spPr>
          <c:invertIfNegative val="0"/>
          <c:cat>
            <c:numRef>
              <c:f>Sheet1!$A$2:$A$20</c:f>
              <c:numCache>
                <c:formatCode>General</c:formatCode>
                <c:ptCount val="19"/>
                <c:pt idx="0">
                  <c:v>0.0</c:v>
                </c:pt>
                <c:pt idx="1">
                  <c:v>4.0</c:v>
                </c:pt>
                <c:pt idx="2">
                  <c:v>9.0</c:v>
                </c:pt>
                <c:pt idx="3">
                  <c:v>14.0</c:v>
                </c:pt>
                <c:pt idx="4">
                  <c:v>19.0</c:v>
                </c:pt>
                <c:pt idx="5">
                  <c:v>24.0</c:v>
                </c:pt>
                <c:pt idx="6">
                  <c:v>29.0</c:v>
                </c:pt>
                <c:pt idx="7">
                  <c:v>34.0</c:v>
                </c:pt>
                <c:pt idx="8">
                  <c:v>39.0</c:v>
                </c:pt>
                <c:pt idx="9">
                  <c:v>44.0</c:v>
                </c:pt>
                <c:pt idx="10">
                  <c:v>49.0</c:v>
                </c:pt>
                <c:pt idx="11">
                  <c:v>54.0</c:v>
                </c:pt>
                <c:pt idx="12">
                  <c:v>59.0</c:v>
                </c:pt>
                <c:pt idx="13">
                  <c:v>64.0</c:v>
                </c:pt>
                <c:pt idx="14">
                  <c:v>69.0</c:v>
                </c:pt>
                <c:pt idx="15">
                  <c:v>74.0</c:v>
                </c:pt>
                <c:pt idx="16">
                  <c:v>79.0</c:v>
                </c:pt>
                <c:pt idx="17">
                  <c:v>84.0</c:v>
                </c:pt>
                <c:pt idx="18">
                  <c:v>100.0</c:v>
                </c:pt>
              </c:numCache>
            </c:numRef>
          </c:cat>
          <c:val>
            <c:numRef>
              <c:f>Sheet1!$B$2:$B$20</c:f>
              <c:numCache>
                <c:formatCode>General</c:formatCode>
                <c:ptCount val="19"/>
                <c:pt idx="0">
                  <c:v>1.0</c:v>
                </c:pt>
                <c:pt idx="1">
                  <c:v>1.0</c:v>
                </c:pt>
                <c:pt idx="2">
                  <c:v>1.0</c:v>
                </c:pt>
                <c:pt idx="3">
                  <c:v>1.0</c:v>
                </c:pt>
                <c:pt idx="4">
                  <c:v>1.0</c:v>
                </c:pt>
                <c:pt idx="5">
                  <c:v>1.2</c:v>
                </c:pt>
                <c:pt idx="6">
                  <c:v>1.2</c:v>
                </c:pt>
                <c:pt idx="7">
                  <c:v>1.3</c:v>
                </c:pt>
                <c:pt idx="8">
                  <c:v>1.3</c:v>
                </c:pt>
                <c:pt idx="9">
                  <c:v>1.4</c:v>
                </c:pt>
                <c:pt idx="10">
                  <c:v>1.5</c:v>
                </c:pt>
                <c:pt idx="11">
                  <c:v>1.6</c:v>
                </c:pt>
                <c:pt idx="12">
                  <c:v>1.7</c:v>
                </c:pt>
                <c:pt idx="13">
                  <c:v>1.8</c:v>
                </c:pt>
                <c:pt idx="14">
                  <c:v>2.0</c:v>
                </c:pt>
                <c:pt idx="15">
                  <c:v>2.0</c:v>
                </c:pt>
                <c:pt idx="16">
                  <c:v>2.0</c:v>
                </c:pt>
                <c:pt idx="17">
                  <c:v>2.0</c:v>
                </c:pt>
                <c:pt idx="18">
                  <c:v>2.0</c:v>
                </c:pt>
              </c:numCache>
            </c:numRef>
          </c:val>
        </c:ser>
        <c:dLbls>
          <c:showLegendKey val="0"/>
          <c:showVal val="0"/>
          <c:showCatName val="0"/>
          <c:showSerName val="0"/>
          <c:showPercent val="0"/>
          <c:showBubbleSize val="0"/>
        </c:dLbls>
        <c:gapWidth val="150"/>
        <c:axId val="-2048762696"/>
        <c:axId val="-2069577656"/>
      </c:barChart>
      <c:catAx>
        <c:axId val="-2048762696"/>
        <c:scaling>
          <c:orientation val="minMax"/>
        </c:scaling>
        <c:delete val="0"/>
        <c:axPos val="b"/>
        <c:title>
          <c:tx>
            <c:rich>
              <a:bodyPr/>
              <a:lstStyle/>
              <a:p>
                <a:pPr>
                  <a:defRPr/>
                </a:pPr>
                <a:r>
                  <a:rPr lang="en-US"/>
                  <a:t>Age range</a:t>
                </a:r>
              </a:p>
            </c:rich>
          </c:tx>
          <c:layout/>
          <c:overlay val="0"/>
        </c:title>
        <c:numFmt formatCode="General" sourceLinked="1"/>
        <c:majorTickMark val="out"/>
        <c:minorTickMark val="none"/>
        <c:tickLblPos val="nextTo"/>
        <c:crossAx val="-2069577656"/>
        <c:crosses val="autoZero"/>
        <c:auto val="1"/>
        <c:lblAlgn val="ctr"/>
        <c:lblOffset val="100"/>
        <c:noMultiLvlLbl val="0"/>
      </c:catAx>
      <c:valAx>
        <c:axId val="-2069577656"/>
        <c:scaling>
          <c:orientation val="minMax"/>
          <c:max val="2.0"/>
        </c:scaling>
        <c:delete val="0"/>
        <c:axPos val="l"/>
        <c:majorGridlines/>
        <c:title>
          <c:tx>
            <c:rich>
              <a:bodyPr rot="-5400000" vert="horz"/>
              <a:lstStyle/>
              <a:p>
                <a:pPr>
                  <a:defRPr/>
                </a:pPr>
                <a:r>
                  <a:rPr lang="en-US"/>
                  <a:t>Multiplier</a:t>
                </a:r>
              </a:p>
            </c:rich>
          </c:tx>
          <c:layout/>
          <c:overlay val="0"/>
        </c:title>
        <c:numFmt formatCode="General" sourceLinked="1"/>
        <c:majorTickMark val="out"/>
        <c:minorTickMark val="none"/>
        <c:tickLblPos val="nextTo"/>
        <c:crossAx val="-2048762696"/>
        <c:crosses val="autoZero"/>
        <c:crossBetween val="between"/>
      </c:valAx>
    </c:plotArea>
    <c:plotVisOnly val="1"/>
    <c:dispBlanksAs val="gap"/>
    <c:showDLblsOverMax val="0"/>
  </c:chart>
  <c:spPr>
    <a:ln>
      <a:noFill/>
    </a:ln>
  </c:sp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490</TotalTime>
  <Pages>6</Pages>
  <Words>3187</Words>
  <Characters>18167</Characters>
  <Application>Microsoft Macintosh Word</Application>
  <DocSecurity>0</DocSecurity>
  <Lines>151</Lines>
  <Paragraphs>42</Paragraphs>
  <ScaleCrop>false</ScaleCrop>
  <Company>NYU</Company>
  <LinksUpToDate>false</LinksUpToDate>
  <CharactersWithSpaces>21312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Bell</cp:lastModifiedBy>
  <cp:revision>30</cp:revision>
  <dcterms:created xsi:type="dcterms:W3CDTF">2018-11-21T14:37:00Z</dcterms:created>
  <dcterms:modified xsi:type="dcterms:W3CDTF">2018-11-26T22:01:00Z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7d1fda5d-e329-3edf-b2ee-8af8fe3bf6f3</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16th edition (author-date)</vt:lpwstr>
  </property>
  <property fmtid="{D5CDD505-2E9C-101B-9397-08002B2CF9AE}" pid="7" name="Mendeley Recent Style Id 1_1">
    <vt:lpwstr>http://www.zotero.org/styles/conservation-letters</vt:lpwstr>
  </property>
  <property fmtid="{D5CDD505-2E9C-101B-9397-08002B2CF9AE}" pid="8" name="Mendeley Recent Style Name 1_1">
    <vt:lpwstr>Conservation Letters</vt:lpwstr>
  </property>
  <property fmtid="{D5CDD505-2E9C-101B-9397-08002B2CF9AE}" pid="9" name="Mendeley Recent Style Id 2_1">
    <vt:lpwstr>http://www.zotero.org/styles/ecological-economics</vt:lpwstr>
  </property>
  <property fmtid="{D5CDD505-2E9C-101B-9397-08002B2CF9AE}" pid="10" name="Mendeley Recent Style Name 2_1">
    <vt:lpwstr>Ecological Economics</vt:lpwstr>
  </property>
  <property fmtid="{D5CDD505-2E9C-101B-9397-08002B2CF9AE}" pid="11" name="Mendeley Recent Style Id 3_1">
    <vt:lpwstr>http://www.zotero.org/styles/ecology-and-society</vt:lpwstr>
  </property>
  <property fmtid="{D5CDD505-2E9C-101B-9397-08002B2CF9AE}" pid="12" name="Mendeley Recent Style Name 3_1">
    <vt:lpwstr>Ecology and Society</vt:lpwstr>
  </property>
  <property fmtid="{D5CDD505-2E9C-101B-9397-08002B2CF9AE}" pid="13" name="Mendeley Recent Style Id 4_1">
    <vt:lpwstr>http://www.zotero.org/styles/environmental-fluid-mechanics</vt:lpwstr>
  </property>
  <property fmtid="{D5CDD505-2E9C-101B-9397-08002B2CF9AE}" pid="14" name="Mendeley Recent Style Name 4_1">
    <vt:lpwstr>Environmental Fluid Mechanics</vt:lpwstr>
  </property>
  <property fmtid="{D5CDD505-2E9C-101B-9397-08002B2CF9AE}" pid="15" name="Mendeley Recent Style Id 5_1">
    <vt:lpwstr>http://www.zotero.org/styles/environmental-modelling-and-software</vt:lpwstr>
  </property>
  <property fmtid="{D5CDD505-2E9C-101B-9397-08002B2CF9AE}" pid="16" name="Mendeley Recent Style Name 5_1">
    <vt:lpwstr>Environmental Modelling and Software</vt:lpwstr>
  </property>
  <property fmtid="{D5CDD505-2E9C-101B-9397-08002B2CF9AE}" pid="17" name="Mendeley Recent Style Id 6_1">
    <vt:lpwstr>http://www.zotero.org/styles/environmental-research-letters</vt:lpwstr>
  </property>
  <property fmtid="{D5CDD505-2E9C-101B-9397-08002B2CF9AE}" pid="18" name="Mendeley Recent Style Name 6_1">
    <vt:lpwstr>Environmental Research Letters</vt:lpwstr>
  </property>
  <property fmtid="{D5CDD505-2E9C-101B-9397-08002B2CF9AE}" pid="19" name="Mendeley Recent Style Id 7_1">
    <vt:lpwstr>http://www.zotero.org/styles/harvard-cite-them-right</vt:lpwstr>
  </property>
  <property fmtid="{D5CDD505-2E9C-101B-9397-08002B2CF9AE}" pid="20" name="Mendeley Recent Style Name 7_1">
    <vt:lpwstr>Harvard - Cite Them Right 9th edition</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http://www.zotero.org/styles/nature-methods</vt:lpwstr>
  </property>
  <property fmtid="{D5CDD505-2E9C-101B-9397-08002B2CF9AE}" pid="24" name="Mendeley Recent Style Name 9_1">
    <vt:lpwstr>Nature Methods</vt:lpwstr>
  </property>
</Properties>
</file>