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6345E"/>
          <w:sz w:val="32"/>
        </w:rPr>
        <w:t>Turning Hokuriku Review Text into Testable Tourism Nudges</w:t>
      </w:r>
    </w:p>
    <w:p>
      <w:pPr>
        <w:spacing w:after="20"/>
        <w:jc w:val="center"/>
      </w:pPr>
      <w:r>
        <w:rPr>
          <w:b/>
          <w:sz w:val="20"/>
        </w:rPr>
        <w:t>Green ANDREW and Xu ZILIN  |  Takemoto Lab, University of Fukui</w:t>
      </w:r>
    </w:p>
    <w:p>
      <w:pPr>
        <w:spacing w:after="140"/>
        <w:jc w:val="center"/>
      </w:pPr>
      <w:r>
        <w:rPr>
          <w:sz w:val="19"/>
        </w:rPr>
        <w:t>June 30, 2026</w:t>
      </w:r>
    </w:p>
    <w:p>
      <w:pPr>
        <w:spacing w:after="120" w:line="257" w:lineRule="auto"/>
      </w:pPr>
      <w:r>
        <w:rPr>
          <w:b/>
          <w:sz w:val="22"/>
        </w:rPr>
        <w:t xml:space="preserve">Research focus. </w:t>
      </w:r>
      <w:r>
        <w:rPr>
          <w:sz w:val="22"/>
        </w:rPr>
        <w:t>This exploratory study asks which tourism pain points may be reduced through clearer pre-visit information, which require operator action, and which low-cost ideas should be tested next. Review evidence is used to rank experiments. Causal effectiveness remains untested.</w:t>
      </w:r>
    </w:p>
    <w:p>
      <w:pPr>
        <w:spacing w:after="120" w:line="257" w:lineRule="auto"/>
      </w:pPr>
      <w:r>
        <w:rPr>
          <w:b/>
          <w:sz w:val="22"/>
        </w:rPr>
        <w:t xml:space="preserve">Data. </w:t>
      </w:r>
      <w:r>
        <w:rPr>
          <w:sz w:val="22"/>
        </w:rPr>
        <w:t>The corpus contains 6,036 Google reviews from 80 points of interest across Fukui, Ishikawa, and Toyama. Language counts are 4,037 Japanese, 919 English, 243 Chinese, 797 other-language, and 40 undetected or too short. Language labels describe text language. The primary model uses 5,199 Japanese, English, and Chinese-language reviews. Low rating means 3 stars or fewer; 851 modeled reviews meet that definition.</w:t>
      </w:r>
    </w:p>
    <w:p>
      <w:pPr>
        <w:spacing w:after="120" w:line="257" w:lineRule="auto"/>
      </w:pPr>
      <w:r>
        <w:rPr>
          <w:b/>
          <w:sz w:val="22"/>
        </w:rPr>
        <w:t xml:space="preserve">Method. </w:t>
      </w:r>
      <w:r>
        <w:rPr>
          <w:sz w:val="22"/>
        </w:rPr>
        <w:t>Human-reviewed keyword codebooks tag 18 aspects. One Firth bias-reduced logistic regression is fitted per aspect, with low rating as the outcome. Models adjust for text length, language, and prefecture. Firth was chosen because several tags are rare. Benjamini-Hochberg false-discovery-rate correction addresses multiple testing. Ranking also requires at least 20 pooled mentions. Odds ratios describe association in odds and should not be read as probability ratios.</w:t>
      </w:r>
    </w:p>
    <w:p>
      <w:pPr>
        <w:spacing w:before="60" w:after="60"/>
      </w:pPr>
      <w:r>
        <w:rPr>
          <w:b/>
          <w:color w:val="16345E"/>
          <w:sz w:val="22"/>
        </w:rPr>
        <w:t>Main statistical findings</w:t>
      </w:r>
    </w:p>
    <w:tbl>
      <w:tblPr>
        <w:tblW w:type="auto" w:w="0"/>
        <w:tblLayout w:type="fixed"/>
        <w:tblLook w:firstColumn="1" w:firstRow="1" w:lastColumn="0" w:lastRow="0" w:noHBand="0" w:noVBand="1" w:val="04A0"/>
      </w:tblPr>
      <w:tblGrid>
        <w:gridCol w:w="2007"/>
        <w:gridCol w:w="2007"/>
        <w:gridCol w:w="2007"/>
        <w:gridCol w:w="2007"/>
        <w:gridCol w:w="2007"/>
      </w:tblGrid>
      <w:tr>
        <w:tc>
          <w:tcPr>
            <w:tcW w:type="dxa" w:w="2551"/>
            <w:vAlign w:val="center"/>
            <w:shd w:fill="16345E"/>
            <w:tcMar>
              <w:top w:w="60" w:type="dxa"/>
              <w:start w:w="80" w:type="dxa"/>
              <w:bottom w:w="60" w:type="dxa"/>
              <w:end w:w="80" w:type="dxa"/>
            </w:tcMar>
          </w:tcPr>
          <w:p>
            <w:pPr>
              <w:jc w:val="left"/>
            </w:pPr>
            <w:r>
              <w:rPr>
                <w:b/>
                <w:color w:val="FFFFFF"/>
                <w:sz w:val="19"/>
              </w:rPr>
              <w:t>Pain point</w:t>
            </w:r>
          </w:p>
        </w:tc>
        <w:tc>
          <w:tcPr>
            <w:tcW w:type="dxa" w:w="907"/>
            <w:vAlign w:val="center"/>
            <w:shd w:fill="16345E"/>
            <w:tcMar>
              <w:top w:w="60" w:type="dxa"/>
              <w:start w:w="80" w:type="dxa"/>
              <w:bottom w:w="60" w:type="dxa"/>
              <w:end w:w="80" w:type="dxa"/>
            </w:tcMar>
          </w:tcPr>
          <w:p>
            <w:pPr>
              <w:jc w:val="center"/>
            </w:pPr>
            <w:r>
              <w:rPr>
                <w:b/>
                <w:color w:val="FFFFFF"/>
                <w:sz w:val="19"/>
              </w:rPr>
              <w:t>Mentions</w:t>
            </w:r>
          </w:p>
        </w:tc>
        <w:tc>
          <w:tcPr>
            <w:tcW w:type="dxa" w:w="1247"/>
            <w:vAlign w:val="center"/>
            <w:shd w:fill="16345E"/>
            <w:tcMar>
              <w:top w:w="60" w:type="dxa"/>
              <w:start w:w="80" w:type="dxa"/>
              <w:bottom w:w="60" w:type="dxa"/>
              <w:end w:w="80" w:type="dxa"/>
            </w:tcMar>
          </w:tcPr>
          <w:p>
            <w:pPr>
              <w:jc w:val="center"/>
            </w:pPr>
            <w:r>
              <w:rPr>
                <w:b/>
                <w:color w:val="FFFFFF"/>
                <w:sz w:val="19"/>
              </w:rPr>
              <w:t>Adjusted OR</w:t>
            </w:r>
          </w:p>
        </w:tc>
        <w:tc>
          <w:tcPr>
            <w:tcW w:type="dxa" w:w="2098"/>
            <w:vAlign w:val="center"/>
            <w:shd w:fill="16345E"/>
            <w:tcMar>
              <w:top w:w="60" w:type="dxa"/>
              <w:start w:w="80" w:type="dxa"/>
              <w:bottom w:w="60" w:type="dxa"/>
              <w:end w:w="80" w:type="dxa"/>
            </w:tcMar>
          </w:tcPr>
          <w:p>
            <w:pPr>
              <w:jc w:val="center"/>
            </w:pPr>
            <w:r>
              <w:rPr>
                <w:b/>
                <w:color w:val="FFFFFF"/>
                <w:sz w:val="19"/>
              </w:rPr>
              <w:t>95% CI</w:t>
            </w:r>
          </w:p>
        </w:tc>
        <w:tc>
          <w:tcPr>
            <w:tcW w:type="dxa" w:w="1134"/>
            <w:vAlign w:val="center"/>
            <w:shd w:fill="16345E"/>
            <w:tcMar>
              <w:top w:w="60" w:type="dxa"/>
              <w:start w:w="80" w:type="dxa"/>
              <w:bottom w:w="60" w:type="dxa"/>
              <w:end w:w="80" w:type="dxa"/>
            </w:tcMar>
          </w:tcPr>
          <w:p>
            <w:pPr>
              <w:jc w:val="center"/>
            </w:pPr>
            <w:r>
              <w:rPr>
                <w:b/>
                <w:color w:val="FFFFFF"/>
                <w:sz w:val="19"/>
              </w:rPr>
              <w:t>BH-FDR p</w:t>
            </w:r>
          </w:p>
        </w:tc>
      </w:tr>
      <w:tr>
        <w:tc>
          <w:tcPr>
            <w:tcW w:type="dxa" w:w="2551"/>
            <w:vAlign w:val="center"/>
            <w:tcMar>
              <w:top w:w="60" w:type="dxa"/>
              <w:start w:w="80" w:type="dxa"/>
              <w:bottom w:w="60" w:type="dxa"/>
              <w:end w:w="80" w:type="dxa"/>
            </w:tcMar>
          </w:tcPr>
          <w:p>
            <w:pPr>
              <w:jc w:val="left"/>
            </w:pPr>
            <w:r>
              <w:rPr>
                <w:b/>
                <w:sz w:val="19"/>
              </w:rPr>
              <w:t>Opening hours</w:t>
            </w:r>
          </w:p>
        </w:tc>
        <w:tc>
          <w:tcPr>
            <w:tcW w:type="dxa" w:w="907"/>
            <w:vAlign w:val="center"/>
            <w:tcMar>
              <w:top w:w="60" w:type="dxa"/>
              <w:start w:w="80" w:type="dxa"/>
              <w:bottom w:w="60" w:type="dxa"/>
              <w:end w:w="80" w:type="dxa"/>
            </w:tcMar>
          </w:tcPr>
          <w:p>
            <w:pPr>
              <w:jc w:val="center"/>
            </w:pPr>
            <w:r>
              <w:rPr>
                <w:sz w:val="19"/>
              </w:rPr>
              <w:t>94</w:t>
            </w:r>
          </w:p>
        </w:tc>
        <w:tc>
          <w:tcPr>
            <w:tcW w:type="dxa" w:w="1247"/>
            <w:vAlign w:val="center"/>
            <w:tcMar>
              <w:top w:w="60" w:type="dxa"/>
              <w:start w:w="80" w:type="dxa"/>
              <w:bottom w:w="60" w:type="dxa"/>
              <w:end w:w="80" w:type="dxa"/>
            </w:tcMar>
          </w:tcPr>
          <w:p>
            <w:pPr>
              <w:jc w:val="center"/>
            </w:pPr>
            <w:r>
              <w:rPr>
                <w:sz w:val="19"/>
              </w:rPr>
              <w:t>3.82</w:t>
            </w:r>
          </w:p>
        </w:tc>
        <w:tc>
          <w:tcPr>
            <w:tcW w:type="dxa" w:w="2098"/>
            <w:vAlign w:val="center"/>
            <w:tcMar>
              <w:top w:w="60" w:type="dxa"/>
              <w:start w:w="80" w:type="dxa"/>
              <w:bottom w:w="60" w:type="dxa"/>
              <w:end w:w="80" w:type="dxa"/>
            </w:tcMar>
          </w:tcPr>
          <w:p>
            <w:pPr>
              <w:jc w:val="center"/>
            </w:pPr>
            <w:r>
              <w:rPr>
                <w:sz w:val="19"/>
              </w:rPr>
              <w:t>2.51 to 5.83</w:t>
            </w:r>
          </w:p>
        </w:tc>
        <w:tc>
          <w:tcPr>
            <w:tcW w:type="dxa" w:w="1134"/>
            <w:vAlign w:val="center"/>
            <w:tcMar>
              <w:top w:w="60" w:type="dxa"/>
              <w:start w:w="80" w:type="dxa"/>
              <w:bottom w:w="60" w:type="dxa"/>
              <w:end w:w="80" w:type="dxa"/>
            </w:tcMar>
          </w:tcPr>
          <w:p>
            <w:pPr>
              <w:jc w:val="center"/>
            </w:pPr>
            <w:r>
              <w:rPr>
                <w:sz w:val="19"/>
              </w:rPr>
              <w:t>2.17e-8</w:t>
            </w:r>
          </w:p>
        </w:tc>
      </w:tr>
      <w:tr>
        <w:tc>
          <w:tcPr>
            <w:tcW w:type="dxa" w:w="2551"/>
            <w:vAlign w:val="center"/>
            <w:tcMar>
              <w:top w:w="60" w:type="dxa"/>
              <w:start w:w="80" w:type="dxa"/>
              <w:bottom w:w="60" w:type="dxa"/>
              <w:end w:w="80" w:type="dxa"/>
            </w:tcMar>
            <w:shd w:fill="F2F5F9"/>
          </w:tcPr>
          <w:p>
            <w:pPr>
              <w:jc w:val="left"/>
            </w:pPr>
            <w:r>
              <w:rPr>
                <w:b/>
                <w:sz w:val="19"/>
              </w:rPr>
              <w:t>Itinerary / time</w:t>
            </w:r>
          </w:p>
        </w:tc>
        <w:tc>
          <w:tcPr>
            <w:tcW w:type="dxa" w:w="907"/>
            <w:vAlign w:val="center"/>
            <w:tcMar>
              <w:top w:w="60" w:type="dxa"/>
              <w:start w:w="80" w:type="dxa"/>
              <w:bottom w:w="60" w:type="dxa"/>
              <w:end w:w="80" w:type="dxa"/>
            </w:tcMar>
            <w:shd w:fill="F2F5F9"/>
          </w:tcPr>
          <w:p>
            <w:pPr>
              <w:jc w:val="center"/>
            </w:pPr>
            <w:r>
              <w:rPr>
                <w:sz w:val="19"/>
              </w:rPr>
              <w:t>29</w:t>
            </w:r>
          </w:p>
        </w:tc>
        <w:tc>
          <w:tcPr>
            <w:tcW w:type="dxa" w:w="1247"/>
            <w:vAlign w:val="center"/>
            <w:tcMar>
              <w:top w:w="60" w:type="dxa"/>
              <w:start w:w="80" w:type="dxa"/>
              <w:bottom w:w="60" w:type="dxa"/>
              <w:end w:w="80" w:type="dxa"/>
            </w:tcMar>
            <w:shd w:fill="F2F5F9"/>
          </w:tcPr>
          <w:p>
            <w:pPr>
              <w:jc w:val="center"/>
            </w:pPr>
            <w:r>
              <w:rPr>
                <w:sz w:val="19"/>
              </w:rPr>
              <w:t>4.77</w:t>
            </w:r>
          </w:p>
        </w:tc>
        <w:tc>
          <w:tcPr>
            <w:tcW w:type="dxa" w:w="2098"/>
            <w:vAlign w:val="center"/>
            <w:tcMar>
              <w:top w:w="60" w:type="dxa"/>
              <w:start w:w="80" w:type="dxa"/>
              <w:bottom w:w="60" w:type="dxa"/>
              <w:end w:w="80" w:type="dxa"/>
            </w:tcMar>
            <w:shd w:fill="F2F5F9"/>
          </w:tcPr>
          <w:p>
            <w:pPr>
              <w:jc w:val="center"/>
            </w:pPr>
            <w:r>
              <w:rPr>
                <w:sz w:val="19"/>
              </w:rPr>
              <w:t>2.27 to 10.02</w:t>
            </w:r>
          </w:p>
        </w:tc>
        <w:tc>
          <w:tcPr>
            <w:tcW w:type="dxa" w:w="1134"/>
            <w:vAlign w:val="center"/>
            <w:tcMar>
              <w:top w:w="60" w:type="dxa"/>
              <w:start w:w="80" w:type="dxa"/>
              <w:bottom w:w="60" w:type="dxa"/>
              <w:end w:w="80" w:type="dxa"/>
            </w:tcMar>
            <w:shd w:fill="F2F5F9"/>
          </w:tcPr>
          <w:p>
            <w:pPr>
              <w:jc w:val="center"/>
            </w:pPr>
            <w:r>
              <w:rPr>
                <w:sz w:val="19"/>
              </w:rPr>
              <w:t>0.0002</w:t>
            </w:r>
          </w:p>
        </w:tc>
      </w:tr>
      <w:tr>
        <w:tc>
          <w:tcPr>
            <w:tcW w:type="dxa" w:w="2551"/>
            <w:vAlign w:val="center"/>
            <w:tcMar>
              <w:top w:w="60" w:type="dxa"/>
              <w:start w:w="80" w:type="dxa"/>
              <w:bottom w:w="60" w:type="dxa"/>
              <w:end w:w="80" w:type="dxa"/>
            </w:tcMar>
          </w:tcPr>
          <w:p>
            <w:pPr>
              <w:jc w:val="left"/>
            </w:pPr>
            <w:r>
              <w:rPr>
                <w:b/>
                <w:sz w:val="19"/>
              </w:rPr>
              <w:t>Wayfinding</w:t>
            </w:r>
          </w:p>
        </w:tc>
        <w:tc>
          <w:tcPr>
            <w:tcW w:type="dxa" w:w="907"/>
            <w:vAlign w:val="center"/>
            <w:tcMar>
              <w:top w:w="60" w:type="dxa"/>
              <w:start w:w="80" w:type="dxa"/>
              <w:bottom w:w="60" w:type="dxa"/>
              <w:end w:w="80" w:type="dxa"/>
            </w:tcMar>
          </w:tcPr>
          <w:p>
            <w:pPr>
              <w:jc w:val="center"/>
            </w:pPr>
            <w:r>
              <w:rPr>
                <w:sz w:val="19"/>
              </w:rPr>
              <w:t>33</w:t>
            </w:r>
          </w:p>
        </w:tc>
        <w:tc>
          <w:tcPr>
            <w:tcW w:type="dxa" w:w="1247"/>
            <w:vAlign w:val="center"/>
            <w:tcMar>
              <w:top w:w="60" w:type="dxa"/>
              <w:start w:w="80" w:type="dxa"/>
              <w:bottom w:w="60" w:type="dxa"/>
              <w:end w:w="80" w:type="dxa"/>
            </w:tcMar>
          </w:tcPr>
          <w:p>
            <w:pPr>
              <w:jc w:val="center"/>
            </w:pPr>
            <w:r>
              <w:rPr>
                <w:sz w:val="19"/>
              </w:rPr>
              <w:t>2.14</w:t>
            </w:r>
          </w:p>
        </w:tc>
        <w:tc>
          <w:tcPr>
            <w:tcW w:type="dxa" w:w="2098"/>
            <w:vAlign w:val="center"/>
            <w:tcMar>
              <w:top w:w="60" w:type="dxa"/>
              <w:start w:w="80" w:type="dxa"/>
              <w:bottom w:w="60" w:type="dxa"/>
              <w:end w:w="80" w:type="dxa"/>
            </w:tcMar>
          </w:tcPr>
          <w:p>
            <w:pPr>
              <w:jc w:val="center"/>
            </w:pPr>
            <w:r>
              <w:rPr>
                <w:sz w:val="19"/>
              </w:rPr>
              <w:t>0.99 to 4.63</w:t>
            </w:r>
          </w:p>
        </w:tc>
        <w:tc>
          <w:tcPr>
            <w:tcW w:type="dxa" w:w="1134"/>
            <w:vAlign w:val="center"/>
            <w:tcMar>
              <w:top w:w="60" w:type="dxa"/>
              <w:start w:w="80" w:type="dxa"/>
              <w:bottom w:w="60" w:type="dxa"/>
              <w:end w:w="80" w:type="dxa"/>
            </w:tcMar>
          </w:tcPr>
          <w:p>
            <w:pPr>
              <w:jc w:val="center"/>
            </w:pPr>
            <w:r>
              <w:rPr>
                <w:sz w:val="19"/>
              </w:rPr>
              <w:t>0.0489</w:t>
            </w:r>
          </w:p>
        </w:tc>
      </w:tr>
      <w:tr>
        <w:tc>
          <w:tcPr>
            <w:tcW w:type="dxa" w:w="2551"/>
            <w:vAlign w:val="center"/>
            <w:tcMar>
              <w:top w:w="60" w:type="dxa"/>
              <w:start w:w="80" w:type="dxa"/>
              <w:bottom w:w="60" w:type="dxa"/>
              <w:end w:w="80" w:type="dxa"/>
            </w:tcMar>
            <w:shd w:fill="F2F5F9"/>
          </w:tcPr>
          <w:p>
            <w:pPr>
              <w:jc w:val="left"/>
            </w:pPr>
            <w:r>
              <w:rPr>
                <w:b/>
                <w:sz w:val="19"/>
              </w:rPr>
              <w:t>Price / value</w:t>
            </w:r>
          </w:p>
        </w:tc>
        <w:tc>
          <w:tcPr>
            <w:tcW w:type="dxa" w:w="907"/>
            <w:vAlign w:val="center"/>
            <w:tcMar>
              <w:top w:w="60" w:type="dxa"/>
              <w:start w:w="80" w:type="dxa"/>
              <w:bottom w:w="60" w:type="dxa"/>
              <w:end w:w="80" w:type="dxa"/>
            </w:tcMar>
            <w:shd w:fill="F2F5F9"/>
          </w:tcPr>
          <w:p>
            <w:pPr>
              <w:jc w:val="center"/>
            </w:pPr>
            <w:r>
              <w:rPr>
                <w:sz w:val="19"/>
              </w:rPr>
              <w:t>34</w:t>
            </w:r>
          </w:p>
        </w:tc>
        <w:tc>
          <w:tcPr>
            <w:tcW w:type="dxa" w:w="1247"/>
            <w:vAlign w:val="center"/>
            <w:tcMar>
              <w:top w:w="60" w:type="dxa"/>
              <w:start w:w="80" w:type="dxa"/>
              <w:bottom w:w="60" w:type="dxa"/>
              <w:end w:w="80" w:type="dxa"/>
            </w:tcMar>
            <w:shd w:fill="F2F5F9"/>
          </w:tcPr>
          <w:p>
            <w:pPr>
              <w:jc w:val="center"/>
            </w:pPr>
            <w:r>
              <w:rPr>
                <w:sz w:val="19"/>
              </w:rPr>
              <w:t>8.06</w:t>
            </w:r>
          </w:p>
        </w:tc>
        <w:tc>
          <w:tcPr>
            <w:tcW w:type="dxa" w:w="2098"/>
            <w:vAlign w:val="center"/>
            <w:tcMar>
              <w:top w:w="60" w:type="dxa"/>
              <w:start w:w="80" w:type="dxa"/>
              <w:bottom w:w="60" w:type="dxa"/>
              <w:end w:w="80" w:type="dxa"/>
            </w:tcMar>
            <w:shd w:fill="F2F5F9"/>
          </w:tcPr>
          <w:p>
            <w:pPr>
              <w:jc w:val="center"/>
            </w:pPr>
            <w:r>
              <w:rPr>
                <w:sz w:val="19"/>
              </w:rPr>
              <w:t>4.04 to 16.11</w:t>
            </w:r>
          </w:p>
        </w:tc>
        <w:tc>
          <w:tcPr>
            <w:tcW w:type="dxa" w:w="1134"/>
            <w:vAlign w:val="center"/>
            <w:tcMar>
              <w:top w:w="60" w:type="dxa"/>
              <w:start w:w="80" w:type="dxa"/>
              <w:bottom w:w="60" w:type="dxa"/>
              <w:end w:w="80" w:type="dxa"/>
            </w:tcMar>
            <w:shd w:fill="F2F5F9"/>
          </w:tcPr>
          <w:p>
            <w:pPr>
              <w:jc w:val="center"/>
            </w:pPr>
            <w:r>
              <w:rPr>
                <w:sz w:val="19"/>
              </w:rPr>
              <w:t>3.07e-8</w:t>
            </w:r>
          </w:p>
        </w:tc>
      </w:tr>
      <w:tr>
        <w:tc>
          <w:tcPr>
            <w:tcW w:type="dxa" w:w="2551"/>
            <w:vAlign w:val="center"/>
            <w:tcMar>
              <w:top w:w="60" w:type="dxa"/>
              <w:start w:w="80" w:type="dxa"/>
              <w:bottom w:w="60" w:type="dxa"/>
              <w:end w:w="80" w:type="dxa"/>
            </w:tcMar>
          </w:tcPr>
          <w:p>
            <w:pPr>
              <w:jc w:val="left"/>
            </w:pPr>
            <w:r>
              <w:rPr>
                <w:b/>
                <w:sz w:val="19"/>
              </w:rPr>
              <w:t>Cleanliness</w:t>
            </w:r>
          </w:p>
        </w:tc>
        <w:tc>
          <w:tcPr>
            <w:tcW w:type="dxa" w:w="907"/>
            <w:vAlign w:val="center"/>
            <w:tcMar>
              <w:top w:w="60" w:type="dxa"/>
              <w:start w:w="80" w:type="dxa"/>
              <w:bottom w:w="60" w:type="dxa"/>
              <w:end w:w="80" w:type="dxa"/>
            </w:tcMar>
          </w:tcPr>
          <w:p>
            <w:pPr>
              <w:jc w:val="center"/>
            </w:pPr>
            <w:r>
              <w:rPr>
                <w:sz w:val="19"/>
              </w:rPr>
              <w:t>59</w:t>
            </w:r>
          </w:p>
        </w:tc>
        <w:tc>
          <w:tcPr>
            <w:tcW w:type="dxa" w:w="1247"/>
            <w:vAlign w:val="center"/>
            <w:tcMar>
              <w:top w:w="60" w:type="dxa"/>
              <w:start w:w="80" w:type="dxa"/>
              <w:bottom w:w="60" w:type="dxa"/>
              <w:end w:w="80" w:type="dxa"/>
            </w:tcMar>
          </w:tcPr>
          <w:p>
            <w:pPr>
              <w:jc w:val="center"/>
            </w:pPr>
            <w:r>
              <w:rPr>
                <w:sz w:val="19"/>
              </w:rPr>
              <w:t>2.49</w:t>
            </w:r>
          </w:p>
        </w:tc>
        <w:tc>
          <w:tcPr>
            <w:tcW w:type="dxa" w:w="2098"/>
            <w:vAlign w:val="center"/>
            <w:tcMar>
              <w:top w:w="60" w:type="dxa"/>
              <w:start w:w="80" w:type="dxa"/>
              <w:bottom w:w="60" w:type="dxa"/>
              <w:end w:w="80" w:type="dxa"/>
            </w:tcMar>
          </w:tcPr>
          <w:p>
            <w:pPr>
              <w:jc w:val="center"/>
            </w:pPr>
            <w:r>
              <w:rPr>
                <w:sz w:val="19"/>
              </w:rPr>
              <w:t>1.43 to 4.34</w:t>
            </w:r>
          </w:p>
        </w:tc>
        <w:tc>
          <w:tcPr>
            <w:tcW w:type="dxa" w:w="1134"/>
            <w:vAlign w:val="center"/>
            <w:tcMar>
              <w:top w:w="60" w:type="dxa"/>
              <w:start w:w="80" w:type="dxa"/>
              <w:bottom w:w="60" w:type="dxa"/>
              <w:end w:w="80" w:type="dxa"/>
            </w:tcMar>
          </w:tcPr>
          <w:p>
            <w:pPr>
              <w:jc w:val="center"/>
            </w:pPr>
            <w:r>
              <w:rPr>
                <w:sz w:val="19"/>
              </w:rPr>
              <w:t>0.0021</w:t>
            </w:r>
          </w:p>
        </w:tc>
      </w:tr>
    </w:tbl>
    <w:p>
      <w:pPr>
        <w:spacing w:after="120" w:line="257" w:lineRule="auto"/>
      </w:pPr>
      <w:r>
        <w:rPr>
          <w:b/>
          <w:sz w:val="21"/>
        </w:rPr>
        <w:t xml:space="preserve">Interpretation. </w:t>
      </w:r>
      <w:r>
        <w:rPr>
          <w:sz w:val="21"/>
        </w:rPr>
        <w:t>Opening hours (OR 3.82, 95% CI 2.51 to 5.83) and itinerary/time cost (OR 4.77, 95% CI 2.27 to 10.02) are the two clearest information priorities. Wayfinding is preliminary: BH-FDR p=0.0489, while its 95% CI (0.99 to 4.63) includes 1. Price and cleanliness show associations with low ratings, but those issues require operator action.</w:t>
      </w:r>
    </w:p>
    <w:p>
      <w:pPr>
        <w:spacing w:after="120" w:line="257" w:lineRule="auto"/>
      </w:pPr>
      <w:r>
        <w:rPr>
          <w:b/>
          <w:sz w:val="21"/>
        </w:rPr>
        <w:t xml:space="preserve">Cross-language counts. </w:t>
      </w:r>
      <w:r>
        <w:rPr>
          <w:sz w:val="21"/>
        </w:rPr>
        <w:t>Opening-hour mentions are Japanese 69, English 23, and Chinese 2. Itinerary/time mentions are 17, 9, and 3. Wayfinding mentions are 26, 2, and 5. Sparse counts make separate language-specific effect estimates unreliable, so the primary analysis pools languages and adjusts for language.</w:t>
      </w:r>
    </w:p>
    <w:p>
      <w:pPr>
        <w:spacing w:before="20" w:after="100"/>
      </w:pPr>
      <w:r>
        <w:rPr>
          <w:rFonts w:ascii="Arial" w:hAnsi="Arial"/>
          <w:i/>
          <w:color w:val="5A6573"/>
          <w:sz w:val="16"/>
        </w:rPr>
        <w:t>Sources: output/nudge_analysis/aspect_opportunity_map.csv; output/nudge_analysis/aspect_opportunity_map_manifest.json</w:t>
      </w:r>
    </w:p>
    <w:p>
      <w:r>
        <w:br w:type="page"/>
      </w:r>
    </w:p>
    <w:p>
      <w:pPr>
        <w:spacing w:after="120" w:line="257" w:lineRule="auto"/>
      </w:pPr>
      <w:r>
        <w:rPr>
          <w:b/>
          <w:sz w:val="22"/>
        </w:rPr>
        <w:t xml:space="preserve">Proposed nudges. </w:t>
      </w:r>
      <w:r>
        <w:rPr>
          <w:sz w:val="22"/>
        </w:rPr>
        <w:t>Priority 1 is the Multilingual visit-readiness card: show current hours, last entry, realistic visit duration, transfers, booking needs, and backup options before plans are finalized. Priority 2 tests localized discovery and itinerary cards. Priority 3 tests off-peak timing and alternative-site prompts. These are ordinal opportunity rankings based on the configured evidence and implementation rules.</w:t>
      </w:r>
    </w:p>
    <w:p>
      <w:pPr>
        <w:spacing w:after="120" w:line="257" w:lineRule="auto"/>
      </w:pPr>
      <w:r>
        <w:rPr>
          <w:b/>
          <w:sz w:val="22"/>
        </w:rPr>
        <w:t xml:space="preserve">Chinese-language context. </w:t>
      </w:r>
      <w:r>
        <w:rPr>
          <w:sz w:val="22"/>
        </w:rPr>
        <w:t>A separate dataset contains 200 Fukui-focused Xiaohongshu posts without star ratings. Scenic nature appears in 67 posts (33.5%), and dinosaurs or museums appear in 43 (21.5%). These are topic-presence counts. They do not establish positive opinion, severity, or impact. They support a directional content test using Chinese-language discovery cards.</w:t>
      </w:r>
    </w:p>
    <w:p>
      <w:pPr>
        <w:spacing w:after="120" w:line="257" w:lineRule="auto"/>
      </w:pPr>
      <w:r>
        <w:rPr>
          <w:b/>
          <w:sz w:val="22"/>
        </w:rPr>
        <w:t xml:space="preserve">Chinese-language Google validation. </w:t>
      </w:r>
      <w:r>
        <w:rPr>
          <w:sz w:val="22"/>
        </w:rPr>
        <w:t>The primary model includes 243 Chinese-language Google reviews from 56 POIs, with mean rating 4.43 stars. Automated SnowNLP sentiment was rejected as a headline result: it labeled 81 reviews negative, but 64 (79%) had 4-5 stars and only 6 had 2 stars or fewer. Chinese Google results therefore use reviewer-provided star ratings.</w:t>
      </w:r>
    </w:p>
    <w:p>
      <w:pPr>
        <w:spacing w:after="120" w:line="257" w:lineRule="auto"/>
      </w:pPr>
      <w:r>
        <w:rPr>
          <w:b/>
          <w:sz w:val="22"/>
        </w:rPr>
        <w:t xml:space="preserve">POI-level opportunities. </w:t>
      </w:r>
      <w:r>
        <w:rPr>
          <w:sz w:val="22"/>
        </w:rPr>
        <w:t>The exploratory index identifies 10 fix-it candidates (6 in Fukui), 7 promote-it candidates (2 in Fukui), and 7 crowding hotspots. No site met the strict promote-it rule. Fukui examples are Kitamaebune Sakai Port (n=31, 90.3% 4-5-star share, 95% Wilson CI 75.1% to 96.7%) and Asuwa River Promenade (n=48, 95.8%, 95% CI 86.0% to 98.8%). Review volume reflects the collection window and cap. It is not a visitor count.</w:t>
      </w:r>
    </w:p>
    <w:p>
      <w:pPr>
        <w:spacing w:after="120" w:line="257" w:lineRule="auto"/>
      </w:pPr>
      <w:r>
        <w:rPr>
          <w:b/>
          <w:sz w:val="22"/>
        </w:rPr>
        <w:t xml:space="preserve">Limits. </w:t>
      </w:r>
      <w:r>
        <w:rPr>
          <w:sz w:val="22"/>
        </w:rPr>
        <w:t>Reviews are observational and self-selected. Associations may reflect salience, writing style, POI mix, or unmeasured factors. POI clustering is not modeled in the Firth estimates, so uncertainty may be understated. Rare tags produce wide intervals. Chinese-language Google tags and Xiaohongshu topic codes record topic presence and may not identify complaint polarity. Evidence from Google reviews and Xiaohongshu remains separate.</w:t>
      </w:r>
    </w:p>
    <w:p>
      <w:pPr>
        <w:spacing w:after="120" w:line="257" w:lineRule="auto"/>
      </w:pPr>
      <w:r>
        <w:rPr>
          <w:b/>
          <w:sz w:val="22"/>
        </w:rPr>
        <w:t xml:space="preserve">Next step. </w:t>
      </w:r>
      <w:r>
        <w:rPr>
          <w:sz w:val="22"/>
        </w:rPr>
        <w:t>Pre-register a visitor-session A/B test of the Multilingual visit-readiness card. Randomize exposure, log interactions, and measure clicks, saves, and itinerary additions. Specify the sample-size plan, primary outcome, analysis model, confidence interval, and stopping rule before data collection.</w:t>
      </w:r>
    </w:p>
    <w:p>
      <w:pPr>
        <w:spacing w:after="120" w:line="257" w:lineRule="auto"/>
      </w:pPr>
      <w:r>
        <w:rPr>
          <w:b/>
          <w:sz w:val="21"/>
        </w:rPr>
        <w:t xml:space="preserve">Reproducibility. </w:t>
      </w:r>
      <w:r>
        <w:rPr>
          <w:sz w:val="21"/>
        </w:rPr>
        <w:t>Aggregate outputs preserve the command, input path, SHA256 hash, generation time, denominator, and caveats. Primary analysis uses reviewed codebooks and star ratings. Model sentiment remains a secondary check.</w:t>
      </w:r>
    </w:p>
    <w:p>
      <w:pPr>
        <w:spacing w:before="20" w:after="100"/>
      </w:pPr>
      <w:r>
        <w:rPr>
          <w:rFonts w:ascii="Arial" w:hAnsi="Arial"/>
          <w:i/>
          <w:color w:val="5A6573"/>
          <w:sz w:val="16"/>
        </w:rPr>
        <w:t>Sources: output/nudge_analysis/cross_language_solution_priorities.csv; output/nudge_analysis/cross_language_solution_priorities_manifest.json; output/chinese_specific_insights_xhs_only/keyword_occurrence_by_category.csv; output/chinese_specific_insights_xhs_only/chinese_specific_insights_manifest.json; output/chinese_google_reviews_analysis/tagged_chinese_google_reviews_manifest.json; output/nudge_analysis/poi_opportunity_index.csv; output/nudge_analysis/poi_opportunity_index_manifest.json</w:t>
      </w:r>
    </w:p>
    <w:sectPr w:rsidR="00FC693F" w:rsidRPr="0006063C" w:rsidSect="00034616">
      <w:pgSz w:w="11906" w:h="16838"/>
      <w:pgMar w:top="935" w:right="935" w:bottom="93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1418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6345E"/>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6345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rial" w:hAnsi="Arial"/>
      <w:b/>
      <w:color w:val="16345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