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4F83" w14:paraId="11789A5A" w14:textId="77777777">
        <w:tblPrEx>
          <w:tblCellMar>
            <w:top w:w="0" w:type="dxa"/>
            <w:bottom w:w="0" w:type="dxa"/>
          </w:tblCellMar>
        </w:tblPrEx>
        <w:tc>
          <w:tcPr>
            <w:tcW w:w="9360" w:type="dxa"/>
            <w:shd w:val="clear" w:color="auto" w:fill="1F3864"/>
            <w:tcMar>
              <w:top w:w="100" w:type="dxa"/>
              <w:left w:w="180" w:type="dxa"/>
              <w:bottom w:w="100" w:type="dxa"/>
              <w:right w:w="180" w:type="dxa"/>
            </w:tcMar>
          </w:tcPr>
          <w:p w14:paraId="11789A59" w14:textId="77777777" w:rsidR="00754F83" w:rsidRDefault="00A6778C">
            <w:r>
              <w:rPr>
                <w:b/>
                <w:bCs/>
                <w:color w:val="FFFFFF"/>
                <w:sz w:val="26"/>
                <w:szCs w:val="26"/>
              </w:rPr>
              <w:t>Reviewer 1 Comments — Organized &amp; Formatted</w:t>
            </w:r>
          </w:p>
        </w:tc>
      </w:tr>
    </w:tbl>
    <w:p w14:paraId="11789A5B" w14:textId="77777777" w:rsidR="00754F83" w:rsidRDefault="00754F83"/>
    <w:p w14:paraId="11789A5C" w14:textId="77777777" w:rsidR="00754F83" w:rsidRDefault="00A6778C">
      <w:pPr>
        <w:spacing w:before="40" w:after="40"/>
      </w:pPr>
      <w:r>
        <w:rPr>
          <w:b/>
          <w:bCs/>
          <w:color w:val="17375E"/>
        </w:rPr>
        <w:t xml:space="preserve">Journal: </w:t>
      </w:r>
      <w:r>
        <w:t>BMC Medical Research Methodology</w:t>
      </w:r>
    </w:p>
    <w:p w14:paraId="11789A5D" w14:textId="77777777" w:rsidR="00754F83" w:rsidRDefault="00A6778C">
      <w:pPr>
        <w:spacing w:before="40" w:after="40"/>
      </w:pPr>
      <w:r>
        <w:rPr>
          <w:b/>
          <w:bCs/>
          <w:color w:val="17375E"/>
        </w:rPr>
        <w:t xml:space="preserve">Total Comments: </w:t>
      </w:r>
      <w:r>
        <w:t>9 (5 Major, 4 Minor)</w:t>
      </w:r>
    </w:p>
    <w:p w14:paraId="11789A5E" w14:textId="77777777" w:rsidR="00754F83" w:rsidRDefault="00A6778C">
      <w:pPr>
        <w:spacing w:before="40" w:after="40"/>
      </w:pPr>
      <w:r>
        <w:rPr>
          <w:b/>
          <w:bCs/>
          <w:color w:val="17375E"/>
        </w:rPr>
        <w:t xml:space="preserve">Reviewer Summary: </w:t>
      </w:r>
      <w:r>
        <w:t>Methodological and inference concerns about the SAR model, BSS randomization space, and results interpretation</w:t>
      </w:r>
    </w:p>
    <w:p w14:paraId="11789A5F" w14:textId="77777777" w:rsidR="00754F83" w:rsidRDefault="00754F83"/>
    <w:p w14:paraId="11789A60" w14:textId="77777777" w:rsidR="00754F83" w:rsidRDefault="00A6778C">
      <w:pPr>
        <w:spacing w:before="60" w:after="60"/>
      </w:pPr>
      <w:r>
        <w:rPr>
          <w:i/>
          <w:iCs/>
        </w:rPr>
        <w:t xml:space="preserve">The article considers </w:t>
      </w:r>
      <w:proofErr w:type="spellStart"/>
      <w:r>
        <w:rPr>
          <w:i/>
          <w:iCs/>
        </w:rPr>
        <w:t>randomisation</w:t>
      </w:r>
      <w:proofErr w:type="spellEnd"/>
      <w:r>
        <w:rPr>
          <w:i/>
          <w:iCs/>
        </w:rPr>
        <w:t xml:space="preserve"> schemes for cluster </w:t>
      </w:r>
      <w:proofErr w:type="spellStart"/>
      <w:r>
        <w:rPr>
          <w:i/>
          <w:iCs/>
        </w:rPr>
        <w:t>randomised</w:t>
      </w:r>
      <w:proofErr w:type="spellEnd"/>
      <w:r>
        <w:rPr>
          <w:i/>
          <w:iCs/>
        </w:rPr>
        <w:t xml:space="preserve"> trials in a geographic setting where spillover between clusters is possible. The authors compare simple random allocation of clusters to treatment or control conditions with a restricted </w:t>
      </w:r>
      <w:proofErr w:type="spellStart"/>
      <w:r>
        <w:rPr>
          <w:i/>
          <w:iCs/>
        </w:rPr>
        <w:t>randomisation</w:t>
      </w:r>
      <w:proofErr w:type="spellEnd"/>
      <w:r>
        <w:rPr>
          <w:i/>
          <w:iCs/>
        </w:rPr>
        <w:t xml:space="preserve"> procedure that aims to produce discordant </w:t>
      </w:r>
      <w:proofErr w:type="spellStart"/>
      <w:r>
        <w:rPr>
          <w:i/>
          <w:iCs/>
        </w:rPr>
        <w:t>neighbour</w:t>
      </w:r>
      <w:proofErr w:type="spellEnd"/>
      <w:r>
        <w:rPr>
          <w:i/>
          <w:iCs/>
        </w:rPr>
        <w:t xml:space="preserve"> allocations. The article is a potentially useful contribution to the literature. However, I had several major critical comments about the methods and simulation.</w:t>
      </w:r>
    </w:p>
    <w:p w14:paraId="11789A61" w14:textId="77777777" w:rsidR="00754F83" w:rsidRDefault="00754F83"/>
    <w:p w14:paraId="11789A62" w14:textId="77777777" w:rsidR="00754F83" w:rsidRDefault="00754F83">
      <w:pPr>
        <w:pBdr>
          <w:bottom w:val="single" w:sz="8" w:space="0" w:color="2E75B6"/>
        </w:pBdr>
        <w:spacing w:before="80" w:after="80"/>
      </w:pPr>
    </w:p>
    <w:p w14:paraId="11789A63"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4F83" w14:paraId="11789A65" w14:textId="77777777">
        <w:tblPrEx>
          <w:tblCellMar>
            <w:top w:w="0" w:type="dxa"/>
            <w:bottom w:w="0" w:type="dxa"/>
          </w:tblCellMar>
        </w:tblPrEx>
        <w:tc>
          <w:tcPr>
            <w:tcW w:w="9360" w:type="dxa"/>
            <w:shd w:val="clear" w:color="auto" w:fill="17375E"/>
            <w:tcMar>
              <w:top w:w="100" w:type="dxa"/>
              <w:left w:w="180" w:type="dxa"/>
              <w:bottom w:w="100" w:type="dxa"/>
              <w:right w:w="180" w:type="dxa"/>
            </w:tcMar>
          </w:tcPr>
          <w:p w14:paraId="11789A64" w14:textId="77777777" w:rsidR="00754F83" w:rsidRDefault="00A6778C">
            <w:r>
              <w:rPr>
                <w:b/>
                <w:bCs/>
                <w:color w:val="FFFFFF"/>
                <w:sz w:val="26"/>
                <w:szCs w:val="26"/>
              </w:rPr>
              <w:t>MAJOR COMMENTS</w:t>
            </w:r>
          </w:p>
        </w:tc>
      </w:tr>
    </w:tbl>
    <w:p w14:paraId="11789A66"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754F83" w14:paraId="11789A6A" w14:textId="77777777">
        <w:tblPrEx>
          <w:tblCellMar>
            <w:top w:w="0" w:type="dxa"/>
            <w:bottom w:w="0" w:type="dxa"/>
          </w:tblCellMar>
        </w:tblPrEx>
        <w:tc>
          <w:tcPr>
            <w:tcW w:w="1200" w:type="dxa"/>
            <w:shd w:val="clear" w:color="auto" w:fill="C00000"/>
            <w:tcMar>
              <w:top w:w="80" w:type="dxa"/>
              <w:left w:w="120" w:type="dxa"/>
              <w:bottom w:w="80" w:type="dxa"/>
              <w:right w:w="120" w:type="dxa"/>
            </w:tcMar>
          </w:tcPr>
          <w:p w14:paraId="11789A67" w14:textId="77777777" w:rsidR="00754F83" w:rsidRDefault="00A6778C">
            <w:pPr>
              <w:jc w:val="center"/>
            </w:pPr>
            <w:r>
              <w:rPr>
                <w:b/>
                <w:bCs/>
                <w:color w:val="FFFFFF"/>
              </w:rPr>
              <w:t>R1.1</w:t>
            </w:r>
          </w:p>
        </w:tc>
        <w:tc>
          <w:tcPr>
            <w:tcW w:w="6560" w:type="dxa"/>
            <w:shd w:val="clear" w:color="auto" w:fill="F2F2F2"/>
            <w:tcMar>
              <w:top w:w="80" w:type="dxa"/>
              <w:left w:w="160" w:type="dxa"/>
              <w:bottom w:w="80" w:type="dxa"/>
              <w:right w:w="120" w:type="dxa"/>
            </w:tcMar>
          </w:tcPr>
          <w:p w14:paraId="11789A68" w14:textId="77777777" w:rsidR="00754F83" w:rsidRDefault="00A6778C">
            <w:r>
              <w:rPr>
                <w:b/>
                <w:bCs/>
                <w:color w:val="1F3864"/>
              </w:rPr>
              <w:t>Missing Key Reference — McCann et al. (2018)</w:t>
            </w:r>
          </w:p>
        </w:tc>
        <w:tc>
          <w:tcPr>
            <w:tcW w:w="1600" w:type="dxa"/>
            <w:shd w:val="clear" w:color="auto" w:fill="C00000"/>
            <w:tcMar>
              <w:top w:w="80" w:type="dxa"/>
              <w:left w:w="120" w:type="dxa"/>
              <w:bottom w:w="80" w:type="dxa"/>
              <w:right w:w="120" w:type="dxa"/>
            </w:tcMar>
          </w:tcPr>
          <w:p w14:paraId="11789A69" w14:textId="77777777" w:rsidR="00754F83" w:rsidRDefault="00A6778C">
            <w:pPr>
              <w:jc w:val="center"/>
            </w:pPr>
            <w:r>
              <w:rPr>
                <w:b/>
                <w:bCs/>
                <w:color w:val="FFFFFF"/>
                <w:sz w:val="18"/>
                <w:szCs w:val="18"/>
              </w:rPr>
              <w:t>MAJOR</w:t>
            </w:r>
          </w:p>
        </w:tc>
      </w:tr>
    </w:tbl>
    <w:p w14:paraId="11789A6B"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6E" w14:textId="77777777">
        <w:tblPrEx>
          <w:tblCellMar>
            <w:top w:w="0" w:type="dxa"/>
            <w:bottom w:w="0" w:type="dxa"/>
          </w:tblCellMar>
        </w:tblPrEx>
        <w:tc>
          <w:tcPr>
            <w:tcW w:w="200" w:type="dxa"/>
            <w:shd w:val="clear" w:color="auto" w:fill="2E75B6"/>
          </w:tcPr>
          <w:p w14:paraId="11789A6C" w14:textId="77777777" w:rsidR="00754F83" w:rsidRDefault="00754F83"/>
        </w:tc>
        <w:tc>
          <w:tcPr>
            <w:tcW w:w="9160" w:type="dxa"/>
            <w:shd w:val="clear" w:color="auto" w:fill="D9E2F3"/>
            <w:tcMar>
              <w:top w:w="100" w:type="dxa"/>
              <w:left w:w="180" w:type="dxa"/>
              <w:bottom w:w="100" w:type="dxa"/>
              <w:right w:w="180" w:type="dxa"/>
            </w:tcMar>
          </w:tcPr>
          <w:p w14:paraId="11789A6D" w14:textId="77777777" w:rsidR="00754F83" w:rsidRDefault="00A6778C">
            <w:r>
              <w:rPr>
                <w:i/>
                <w:iCs/>
                <w:color w:val="1F3864"/>
                <w:sz w:val="21"/>
                <w:szCs w:val="21"/>
              </w:rPr>
              <w:t xml:space="preserve">A key reference is missing. McCann, R. S., van den Berg, H., </w:t>
            </w:r>
            <w:proofErr w:type="spellStart"/>
            <w:r>
              <w:rPr>
                <w:i/>
                <w:iCs/>
                <w:color w:val="1F3864"/>
                <w:sz w:val="21"/>
                <w:szCs w:val="21"/>
              </w:rPr>
              <w:t>Takken</w:t>
            </w:r>
            <w:proofErr w:type="spellEnd"/>
            <w:r>
              <w:rPr>
                <w:i/>
                <w:iCs/>
                <w:color w:val="1F3864"/>
                <w:sz w:val="21"/>
                <w:szCs w:val="21"/>
              </w:rPr>
              <w:t xml:space="preserve">, W., Chetwynd, A. G., Giorgi, E., Terlouw, D. J., &amp; Diggle, P. J. (2018). Reducing contamination risk in cluster-randomized infectious disease-intervention trials. International Journal of Epidemiology, 47(6), 2015–2024. https://doi.org/10.1093/ije/dyy213. The authors describe an algorithm for sampling and </w:t>
            </w:r>
            <w:proofErr w:type="spellStart"/>
            <w:r>
              <w:rPr>
                <w:i/>
                <w:iCs/>
                <w:color w:val="1F3864"/>
                <w:sz w:val="21"/>
                <w:szCs w:val="21"/>
              </w:rPr>
              <w:t>randomisation</w:t>
            </w:r>
            <w:proofErr w:type="spellEnd"/>
            <w:r>
              <w:rPr>
                <w:i/>
                <w:iCs/>
                <w:color w:val="1F3864"/>
                <w:sz w:val="21"/>
                <w:szCs w:val="21"/>
              </w:rPr>
              <w:t xml:space="preserve"> of clusters to reduce the risk of spillover in cluster trials. Differences and similarities with that work need to be discussed.</w:t>
            </w:r>
          </w:p>
        </w:tc>
      </w:tr>
    </w:tbl>
    <w:p w14:paraId="11789A6F"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72" w14:textId="77777777">
        <w:tblPrEx>
          <w:tblCellMar>
            <w:top w:w="0" w:type="dxa"/>
            <w:bottom w:w="0" w:type="dxa"/>
          </w:tblCellMar>
        </w:tblPrEx>
        <w:tc>
          <w:tcPr>
            <w:tcW w:w="200" w:type="dxa"/>
            <w:shd w:val="clear" w:color="auto" w:fill="375623"/>
          </w:tcPr>
          <w:p w14:paraId="11789A70" w14:textId="77777777" w:rsidR="00754F83" w:rsidRDefault="00754F83"/>
        </w:tc>
        <w:tc>
          <w:tcPr>
            <w:tcW w:w="9160" w:type="dxa"/>
            <w:shd w:val="clear" w:color="auto" w:fill="E2EFDA"/>
            <w:tcMar>
              <w:top w:w="100" w:type="dxa"/>
              <w:left w:w="180" w:type="dxa"/>
              <w:bottom w:w="100" w:type="dxa"/>
              <w:right w:w="180" w:type="dxa"/>
            </w:tcMar>
          </w:tcPr>
          <w:p w14:paraId="11789A71" w14:textId="77777777" w:rsidR="00754F83" w:rsidRDefault="00A6778C">
            <w:r>
              <w:rPr>
                <w:b/>
                <w:bCs/>
                <w:color w:val="375623"/>
                <w:sz w:val="21"/>
                <w:szCs w:val="21"/>
              </w:rPr>
              <w:t xml:space="preserve">ACTION NOTE: </w:t>
            </w:r>
            <w:r>
              <w:rPr>
                <w:color w:val="375623"/>
                <w:sz w:val="21"/>
                <w:szCs w:val="21"/>
              </w:rPr>
              <w:t>Add McCann et al. (2018) to the references. Add 2–3 sentences in Section 1 (Introduction) and/or Section 2.4 comparing the two approaches. Key distinctions: scope (infectious disease vs. general spatial CRT), methodology (algorithmic selection vs. exhaustive enumeration), and modeling goals (contamination reduction vs. spillover effect estimation).</w:t>
            </w:r>
          </w:p>
        </w:tc>
      </w:tr>
    </w:tbl>
    <w:p w14:paraId="11789A73"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754F83" w14:paraId="11789A77" w14:textId="77777777">
        <w:tblPrEx>
          <w:tblCellMar>
            <w:top w:w="0" w:type="dxa"/>
            <w:bottom w:w="0" w:type="dxa"/>
          </w:tblCellMar>
        </w:tblPrEx>
        <w:tc>
          <w:tcPr>
            <w:tcW w:w="1200" w:type="dxa"/>
            <w:shd w:val="clear" w:color="auto" w:fill="C00000"/>
            <w:tcMar>
              <w:top w:w="80" w:type="dxa"/>
              <w:left w:w="120" w:type="dxa"/>
              <w:bottom w:w="80" w:type="dxa"/>
              <w:right w:w="120" w:type="dxa"/>
            </w:tcMar>
          </w:tcPr>
          <w:p w14:paraId="11789A74" w14:textId="77777777" w:rsidR="00754F83" w:rsidRDefault="00A6778C">
            <w:pPr>
              <w:jc w:val="center"/>
            </w:pPr>
            <w:r>
              <w:rPr>
                <w:b/>
                <w:bCs/>
                <w:color w:val="FFFFFF"/>
              </w:rPr>
              <w:t>R1.2</w:t>
            </w:r>
          </w:p>
        </w:tc>
        <w:tc>
          <w:tcPr>
            <w:tcW w:w="6560" w:type="dxa"/>
            <w:shd w:val="clear" w:color="auto" w:fill="F2F2F2"/>
            <w:tcMar>
              <w:top w:w="80" w:type="dxa"/>
              <w:left w:w="160" w:type="dxa"/>
              <w:bottom w:w="80" w:type="dxa"/>
              <w:right w:w="120" w:type="dxa"/>
            </w:tcMar>
          </w:tcPr>
          <w:p w14:paraId="11789A75" w14:textId="77777777" w:rsidR="00754F83" w:rsidRDefault="00A6778C">
            <w:r>
              <w:rPr>
                <w:b/>
                <w:bCs/>
                <w:color w:val="1F3864"/>
              </w:rPr>
              <w:t>Potential Double-Counting of Spillover in SAR Model</w:t>
            </w:r>
          </w:p>
        </w:tc>
        <w:tc>
          <w:tcPr>
            <w:tcW w:w="1600" w:type="dxa"/>
            <w:shd w:val="clear" w:color="auto" w:fill="C00000"/>
            <w:tcMar>
              <w:top w:w="80" w:type="dxa"/>
              <w:left w:w="120" w:type="dxa"/>
              <w:bottom w:w="80" w:type="dxa"/>
              <w:right w:w="120" w:type="dxa"/>
            </w:tcMar>
          </w:tcPr>
          <w:p w14:paraId="11789A76" w14:textId="77777777" w:rsidR="00754F83" w:rsidRDefault="00A6778C">
            <w:pPr>
              <w:jc w:val="center"/>
            </w:pPr>
            <w:r>
              <w:rPr>
                <w:b/>
                <w:bCs/>
                <w:color w:val="FFFFFF"/>
                <w:sz w:val="18"/>
                <w:szCs w:val="18"/>
              </w:rPr>
              <w:t>MAJOR</w:t>
            </w:r>
          </w:p>
        </w:tc>
      </w:tr>
    </w:tbl>
    <w:p w14:paraId="11789A78"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7B" w14:textId="77777777">
        <w:tblPrEx>
          <w:tblCellMar>
            <w:top w:w="0" w:type="dxa"/>
            <w:bottom w:w="0" w:type="dxa"/>
          </w:tblCellMar>
        </w:tblPrEx>
        <w:tc>
          <w:tcPr>
            <w:tcW w:w="200" w:type="dxa"/>
            <w:shd w:val="clear" w:color="auto" w:fill="2E75B6"/>
          </w:tcPr>
          <w:p w14:paraId="11789A79" w14:textId="77777777" w:rsidR="00754F83" w:rsidRDefault="00754F83"/>
        </w:tc>
        <w:tc>
          <w:tcPr>
            <w:tcW w:w="9160" w:type="dxa"/>
            <w:shd w:val="clear" w:color="auto" w:fill="D9E2F3"/>
            <w:tcMar>
              <w:top w:w="100" w:type="dxa"/>
              <w:left w:w="180" w:type="dxa"/>
              <w:bottom w:w="100" w:type="dxa"/>
              <w:right w:w="180" w:type="dxa"/>
            </w:tcMar>
          </w:tcPr>
          <w:p w14:paraId="11789A7A" w14:textId="77777777" w:rsidR="00754F83" w:rsidRDefault="00A6778C">
            <w:r>
              <w:rPr>
                <w:i/>
                <w:iCs/>
                <w:color w:val="1F3864"/>
                <w:sz w:val="21"/>
                <w:szCs w:val="21"/>
              </w:rPr>
              <w:t xml:space="preserve">The C/SAR model used for the simulation and analysis already includes a spillover mechanism. Ignoring the authors' spillover effect, if one expanded the model for cluster with </w:t>
            </w:r>
            <w:proofErr w:type="spellStart"/>
            <w:proofErr w:type="gramStart"/>
            <w:r>
              <w:rPr>
                <w:i/>
                <w:iCs/>
                <w:color w:val="1F3864"/>
                <w:sz w:val="21"/>
                <w:szCs w:val="21"/>
              </w:rPr>
              <w:t>neighbour</w:t>
            </w:r>
            <w:proofErr w:type="spellEnd"/>
            <w:proofErr w:type="gramEnd"/>
            <w:r>
              <w:rPr>
                <w:i/>
                <w:iCs/>
                <w:color w:val="1F3864"/>
                <w:sz w:val="21"/>
                <w:szCs w:val="21"/>
              </w:rPr>
              <w:t xml:space="preserve"> you'd get a spillover from ρ. Adding in the authors' spillover you then get two spillover pathways. Given this, there would seem to be insufficient variation to identify the two effects. Indeed, the authors note identifiability or co-linearity issues in the discussion. If this is correct, are the authors not "</w:t>
            </w:r>
            <w:proofErr w:type="gramStart"/>
            <w:r>
              <w:rPr>
                <w:i/>
                <w:iCs/>
                <w:color w:val="1F3864"/>
                <w:sz w:val="21"/>
                <w:szCs w:val="21"/>
              </w:rPr>
              <w:t>double-counting</w:t>
            </w:r>
            <w:proofErr w:type="gramEnd"/>
            <w:r>
              <w:rPr>
                <w:i/>
                <w:iCs/>
                <w:color w:val="1F3864"/>
                <w:sz w:val="21"/>
                <w:szCs w:val="21"/>
              </w:rPr>
              <w:t>" the spillover?</w:t>
            </w:r>
          </w:p>
        </w:tc>
      </w:tr>
    </w:tbl>
    <w:p w14:paraId="11789A7C"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7F" w14:textId="77777777">
        <w:tblPrEx>
          <w:tblCellMar>
            <w:top w:w="0" w:type="dxa"/>
            <w:bottom w:w="0" w:type="dxa"/>
          </w:tblCellMar>
        </w:tblPrEx>
        <w:tc>
          <w:tcPr>
            <w:tcW w:w="200" w:type="dxa"/>
            <w:shd w:val="clear" w:color="auto" w:fill="375623"/>
          </w:tcPr>
          <w:p w14:paraId="11789A7D" w14:textId="77777777" w:rsidR="00754F83" w:rsidRDefault="00754F83"/>
        </w:tc>
        <w:tc>
          <w:tcPr>
            <w:tcW w:w="9160" w:type="dxa"/>
            <w:shd w:val="clear" w:color="auto" w:fill="E2EFDA"/>
            <w:tcMar>
              <w:top w:w="100" w:type="dxa"/>
              <w:left w:w="180" w:type="dxa"/>
              <w:bottom w:w="100" w:type="dxa"/>
              <w:right w:w="180" w:type="dxa"/>
            </w:tcMar>
          </w:tcPr>
          <w:p w14:paraId="11789A7E" w14:textId="77777777" w:rsidR="00754F83" w:rsidRDefault="00A6778C">
            <w:r>
              <w:rPr>
                <w:b/>
                <w:bCs/>
                <w:color w:val="375623"/>
                <w:sz w:val="21"/>
                <w:szCs w:val="21"/>
              </w:rPr>
              <w:t xml:space="preserve">ACTION NOTE: </w:t>
            </w:r>
            <w:r>
              <w:rPr>
                <w:color w:val="375623"/>
                <w:sz w:val="21"/>
                <w:szCs w:val="21"/>
              </w:rPr>
              <w:t>Add a paragraph in Section 2.5 or 2.7 explicitly distinguishing ρ (residual spatial autocorrelation — background environmental/structural correlation) from ψ (causal, design-level spillover — a direct consequence of treatment assignment). Expand Section 5.2 (Limitations) to acknowledge that when both are non-zero, collinearity between these terms can challenge identifiability, particularly at high ψ and ρ values. Defend the model as conceptually justified while acknowledging the practical limitation.</w:t>
            </w:r>
          </w:p>
        </w:tc>
      </w:tr>
    </w:tbl>
    <w:p w14:paraId="11789A80"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754F83" w14:paraId="11789A84" w14:textId="77777777">
        <w:tblPrEx>
          <w:tblCellMar>
            <w:top w:w="0" w:type="dxa"/>
            <w:bottom w:w="0" w:type="dxa"/>
          </w:tblCellMar>
        </w:tblPrEx>
        <w:tc>
          <w:tcPr>
            <w:tcW w:w="1200" w:type="dxa"/>
            <w:shd w:val="clear" w:color="auto" w:fill="C00000"/>
            <w:tcMar>
              <w:top w:w="80" w:type="dxa"/>
              <w:left w:w="120" w:type="dxa"/>
              <w:bottom w:w="80" w:type="dxa"/>
              <w:right w:w="120" w:type="dxa"/>
            </w:tcMar>
          </w:tcPr>
          <w:p w14:paraId="11789A81" w14:textId="77777777" w:rsidR="00754F83" w:rsidRDefault="00A6778C">
            <w:pPr>
              <w:jc w:val="center"/>
            </w:pPr>
            <w:r>
              <w:rPr>
                <w:b/>
                <w:bCs/>
                <w:color w:val="FFFFFF"/>
              </w:rPr>
              <w:t>R1.3</w:t>
            </w:r>
          </w:p>
        </w:tc>
        <w:tc>
          <w:tcPr>
            <w:tcW w:w="6560" w:type="dxa"/>
            <w:shd w:val="clear" w:color="auto" w:fill="F2F2F2"/>
            <w:tcMar>
              <w:top w:w="80" w:type="dxa"/>
              <w:left w:w="160" w:type="dxa"/>
              <w:bottom w:w="80" w:type="dxa"/>
              <w:right w:w="120" w:type="dxa"/>
            </w:tcMar>
          </w:tcPr>
          <w:p w14:paraId="11789A82" w14:textId="77777777" w:rsidR="00754F83" w:rsidRDefault="00A6778C">
            <w:r>
              <w:rPr>
                <w:b/>
                <w:bCs/>
                <w:color w:val="1F3864"/>
              </w:rPr>
              <w:t>Valid Inference Under BSS with Limited Randomization Space</w:t>
            </w:r>
          </w:p>
        </w:tc>
        <w:tc>
          <w:tcPr>
            <w:tcW w:w="1600" w:type="dxa"/>
            <w:shd w:val="clear" w:color="auto" w:fill="C00000"/>
            <w:tcMar>
              <w:top w:w="80" w:type="dxa"/>
              <w:left w:w="120" w:type="dxa"/>
              <w:bottom w:w="80" w:type="dxa"/>
              <w:right w:w="120" w:type="dxa"/>
            </w:tcMar>
          </w:tcPr>
          <w:p w14:paraId="11789A83" w14:textId="77777777" w:rsidR="00754F83" w:rsidRDefault="00A6778C">
            <w:pPr>
              <w:jc w:val="center"/>
            </w:pPr>
            <w:r>
              <w:rPr>
                <w:b/>
                <w:bCs/>
                <w:color w:val="FFFFFF"/>
                <w:sz w:val="18"/>
                <w:szCs w:val="18"/>
              </w:rPr>
              <w:t>MAJOR</w:t>
            </w:r>
          </w:p>
        </w:tc>
      </w:tr>
    </w:tbl>
    <w:p w14:paraId="11789A85"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88" w14:textId="77777777">
        <w:tblPrEx>
          <w:tblCellMar>
            <w:top w:w="0" w:type="dxa"/>
            <w:bottom w:w="0" w:type="dxa"/>
          </w:tblCellMar>
        </w:tblPrEx>
        <w:tc>
          <w:tcPr>
            <w:tcW w:w="200" w:type="dxa"/>
            <w:shd w:val="clear" w:color="auto" w:fill="2E75B6"/>
          </w:tcPr>
          <w:p w14:paraId="11789A86" w14:textId="77777777" w:rsidR="00754F83" w:rsidRDefault="00754F83"/>
        </w:tc>
        <w:tc>
          <w:tcPr>
            <w:tcW w:w="9160" w:type="dxa"/>
            <w:shd w:val="clear" w:color="auto" w:fill="D9E2F3"/>
            <w:tcMar>
              <w:top w:w="100" w:type="dxa"/>
              <w:left w:w="180" w:type="dxa"/>
              <w:bottom w:w="100" w:type="dxa"/>
              <w:right w:w="180" w:type="dxa"/>
            </w:tcMar>
          </w:tcPr>
          <w:p w14:paraId="11789A87" w14:textId="77777777" w:rsidR="00754F83" w:rsidRDefault="00A6778C">
            <w:r>
              <w:rPr>
                <w:i/>
                <w:iCs/>
                <w:color w:val="1F3864"/>
                <w:sz w:val="21"/>
                <w:szCs w:val="21"/>
              </w:rPr>
              <w:t xml:space="preserve">I'm not clear how one can have valid inference for the BSS models if there are only one or two possible allocations. Our inference is based in part, or fully, on the permutations of the random allocation. If there are only two possible allocations, how can one meaningfully have a p-value or other frequentist statistic? Further, restricted </w:t>
            </w:r>
            <w:proofErr w:type="spellStart"/>
            <w:r>
              <w:rPr>
                <w:i/>
                <w:iCs/>
                <w:color w:val="1F3864"/>
                <w:sz w:val="21"/>
                <w:szCs w:val="21"/>
              </w:rPr>
              <w:t>randomisation</w:t>
            </w:r>
            <w:proofErr w:type="spellEnd"/>
            <w:r>
              <w:rPr>
                <w:i/>
                <w:iCs/>
                <w:color w:val="1F3864"/>
                <w:sz w:val="21"/>
                <w:szCs w:val="21"/>
              </w:rPr>
              <w:t xml:space="preserve"> schemes generally need accounting for in the analysis to prevent bias. Is the restricted </w:t>
            </w:r>
            <w:proofErr w:type="spellStart"/>
            <w:r>
              <w:rPr>
                <w:i/>
                <w:iCs/>
                <w:color w:val="1F3864"/>
                <w:sz w:val="21"/>
                <w:szCs w:val="21"/>
              </w:rPr>
              <w:t>randomisation</w:t>
            </w:r>
            <w:proofErr w:type="spellEnd"/>
            <w:r>
              <w:rPr>
                <w:i/>
                <w:iCs/>
                <w:color w:val="1F3864"/>
                <w:sz w:val="21"/>
                <w:szCs w:val="21"/>
              </w:rPr>
              <w:t xml:space="preserve"> accounted for in the analysis? Perhaps a permutation test is required?</w:t>
            </w:r>
          </w:p>
        </w:tc>
      </w:tr>
    </w:tbl>
    <w:p w14:paraId="11789A89"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8C" w14:textId="77777777">
        <w:tblPrEx>
          <w:tblCellMar>
            <w:top w:w="0" w:type="dxa"/>
            <w:bottom w:w="0" w:type="dxa"/>
          </w:tblCellMar>
        </w:tblPrEx>
        <w:tc>
          <w:tcPr>
            <w:tcW w:w="200" w:type="dxa"/>
            <w:shd w:val="clear" w:color="auto" w:fill="375623"/>
          </w:tcPr>
          <w:p w14:paraId="11789A8A" w14:textId="77777777" w:rsidR="00754F83" w:rsidRDefault="00754F83"/>
        </w:tc>
        <w:tc>
          <w:tcPr>
            <w:tcW w:w="9160" w:type="dxa"/>
            <w:shd w:val="clear" w:color="auto" w:fill="E2EFDA"/>
            <w:tcMar>
              <w:top w:w="100" w:type="dxa"/>
              <w:left w:w="180" w:type="dxa"/>
              <w:bottom w:w="100" w:type="dxa"/>
              <w:right w:w="180" w:type="dxa"/>
            </w:tcMar>
          </w:tcPr>
          <w:p w14:paraId="11789A8B" w14:textId="77777777" w:rsidR="00754F83" w:rsidRDefault="00A6778C">
            <w:r>
              <w:rPr>
                <w:b/>
                <w:bCs/>
                <w:color w:val="375623"/>
                <w:sz w:val="21"/>
                <w:szCs w:val="21"/>
              </w:rPr>
              <w:t xml:space="preserve">ACTION NOTE: </w:t>
            </w:r>
            <w:r>
              <w:rPr>
                <w:color w:val="375623"/>
                <w:sz w:val="21"/>
                <w:szCs w:val="21"/>
              </w:rPr>
              <w:t xml:space="preserve">Add a clarifying paragraph in Section 2.4 or 3.1 explaining the paper's inferential scope: this work evaluates design-stage performance (MSE across all possible randomizations via exhaustive enumeration), </w:t>
            </w:r>
            <w:proofErr w:type="spellStart"/>
            <w:r>
              <w:rPr>
                <w:color w:val="375623"/>
                <w:sz w:val="21"/>
                <w:szCs w:val="21"/>
              </w:rPr>
              <w:t>not</w:t>
            </w:r>
            <w:proofErr w:type="spellEnd"/>
            <w:r>
              <w:rPr>
                <w:color w:val="375623"/>
                <w:sz w:val="21"/>
                <w:szCs w:val="21"/>
              </w:rPr>
              <w:t xml:space="preserve"> single-trial hypothesis testing. Acknowledge that practitioners implementing BSS in an actual trial should use model-based inference (as the SAR model here provides) rather than permutation-based tests, given the extremely limited randomization distribution. Add a brief note to the Limitations section </w:t>
            </w:r>
            <w:r>
              <w:rPr>
                <w:color w:val="375623"/>
                <w:sz w:val="21"/>
                <w:szCs w:val="21"/>
              </w:rPr>
              <w:t>on this inference constraint.</w:t>
            </w:r>
          </w:p>
        </w:tc>
      </w:tr>
    </w:tbl>
    <w:p w14:paraId="11789A8D"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754F83" w14:paraId="11789A91" w14:textId="77777777">
        <w:tblPrEx>
          <w:tblCellMar>
            <w:top w:w="0" w:type="dxa"/>
            <w:bottom w:w="0" w:type="dxa"/>
          </w:tblCellMar>
        </w:tblPrEx>
        <w:tc>
          <w:tcPr>
            <w:tcW w:w="1200" w:type="dxa"/>
            <w:shd w:val="clear" w:color="auto" w:fill="C00000"/>
            <w:tcMar>
              <w:top w:w="80" w:type="dxa"/>
              <w:left w:w="120" w:type="dxa"/>
              <w:bottom w:w="80" w:type="dxa"/>
              <w:right w:w="120" w:type="dxa"/>
            </w:tcMar>
          </w:tcPr>
          <w:p w14:paraId="11789A8E" w14:textId="77777777" w:rsidR="00754F83" w:rsidRDefault="00A6778C">
            <w:pPr>
              <w:jc w:val="center"/>
            </w:pPr>
            <w:r>
              <w:rPr>
                <w:b/>
                <w:bCs/>
                <w:color w:val="FFFFFF"/>
              </w:rPr>
              <w:t>R1.4</w:t>
            </w:r>
          </w:p>
        </w:tc>
        <w:tc>
          <w:tcPr>
            <w:tcW w:w="6560" w:type="dxa"/>
            <w:shd w:val="clear" w:color="auto" w:fill="F2F2F2"/>
            <w:tcMar>
              <w:top w:w="80" w:type="dxa"/>
              <w:left w:w="160" w:type="dxa"/>
              <w:bottom w:w="80" w:type="dxa"/>
              <w:right w:w="120" w:type="dxa"/>
            </w:tcMar>
          </w:tcPr>
          <w:p w14:paraId="11789A8F" w14:textId="77777777" w:rsidR="00754F83" w:rsidRDefault="00A6778C">
            <w:r>
              <w:rPr>
                <w:b/>
                <w:bCs/>
                <w:color w:val="1F3864"/>
              </w:rPr>
              <w:t>No Variation in BSS MSE Distribution</w:t>
            </w:r>
          </w:p>
        </w:tc>
        <w:tc>
          <w:tcPr>
            <w:tcW w:w="1600" w:type="dxa"/>
            <w:shd w:val="clear" w:color="auto" w:fill="C00000"/>
            <w:tcMar>
              <w:top w:w="80" w:type="dxa"/>
              <w:left w:w="120" w:type="dxa"/>
              <w:bottom w:w="80" w:type="dxa"/>
              <w:right w:w="120" w:type="dxa"/>
            </w:tcMar>
          </w:tcPr>
          <w:p w14:paraId="11789A90" w14:textId="77777777" w:rsidR="00754F83" w:rsidRDefault="00A6778C">
            <w:pPr>
              <w:jc w:val="center"/>
            </w:pPr>
            <w:r>
              <w:rPr>
                <w:b/>
                <w:bCs/>
                <w:color w:val="FFFFFF"/>
                <w:sz w:val="18"/>
                <w:szCs w:val="18"/>
              </w:rPr>
              <w:t>MAJOR</w:t>
            </w:r>
          </w:p>
        </w:tc>
      </w:tr>
    </w:tbl>
    <w:p w14:paraId="11789A92"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95" w14:textId="77777777">
        <w:tblPrEx>
          <w:tblCellMar>
            <w:top w:w="0" w:type="dxa"/>
            <w:bottom w:w="0" w:type="dxa"/>
          </w:tblCellMar>
        </w:tblPrEx>
        <w:tc>
          <w:tcPr>
            <w:tcW w:w="200" w:type="dxa"/>
            <w:shd w:val="clear" w:color="auto" w:fill="2E75B6"/>
          </w:tcPr>
          <w:p w14:paraId="11789A93" w14:textId="77777777" w:rsidR="00754F83" w:rsidRDefault="00754F83"/>
        </w:tc>
        <w:tc>
          <w:tcPr>
            <w:tcW w:w="9160" w:type="dxa"/>
            <w:shd w:val="clear" w:color="auto" w:fill="D9E2F3"/>
            <w:tcMar>
              <w:top w:w="100" w:type="dxa"/>
              <w:left w:w="180" w:type="dxa"/>
              <w:bottom w:w="100" w:type="dxa"/>
              <w:right w:w="180" w:type="dxa"/>
            </w:tcMar>
          </w:tcPr>
          <w:p w14:paraId="11789A94" w14:textId="77777777" w:rsidR="00754F83" w:rsidRDefault="00A6778C">
            <w:r>
              <w:rPr>
                <w:i/>
                <w:iCs/>
                <w:color w:val="1F3864"/>
                <w:sz w:val="21"/>
                <w:szCs w:val="21"/>
              </w:rPr>
              <w:t>Building on point 3, the figures show the conditional distributions of the MSE – there does not appear to be any variation in the MSE under BSS, perhaps due to the very limited number of random allocations.</w:t>
            </w:r>
          </w:p>
        </w:tc>
      </w:tr>
    </w:tbl>
    <w:p w14:paraId="11789A96"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99" w14:textId="77777777">
        <w:tblPrEx>
          <w:tblCellMar>
            <w:top w:w="0" w:type="dxa"/>
            <w:bottom w:w="0" w:type="dxa"/>
          </w:tblCellMar>
        </w:tblPrEx>
        <w:tc>
          <w:tcPr>
            <w:tcW w:w="200" w:type="dxa"/>
            <w:shd w:val="clear" w:color="auto" w:fill="375623"/>
          </w:tcPr>
          <w:p w14:paraId="11789A97" w14:textId="77777777" w:rsidR="00754F83" w:rsidRDefault="00754F83"/>
        </w:tc>
        <w:tc>
          <w:tcPr>
            <w:tcW w:w="9160" w:type="dxa"/>
            <w:shd w:val="clear" w:color="auto" w:fill="E2EFDA"/>
            <w:tcMar>
              <w:top w:w="100" w:type="dxa"/>
              <w:left w:w="180" w:type="dxa"/>
              <w:bottom w:w="100" w:type="dxa"/>
              <w:right w:w="180" w:type="dxa"/>
            </w:tcMar>
          </w:tcPr>
          <w:p w14:paraId="11789A98" w14:textId="77777777" w:rsidR="00754F83" w:rsidRDefault="00A6778C">
            <w:r>
              <w:rPr>
                <w:b/>
                <w:bCs/>
                <w:color w:val="375623"/>
                <w:sz w:val="21"/>
                <w:szCs w:val="21"/>
              </w:rPr>
              <w:t xml:space="preserve">ACTION NOTE: </w:t>
            </w:r>
            <w:r>
              <w:rPr>
                <w:color w:val="375623"/>
                <w:sz w:val="21"/>
                <w:szCs w:val="21"/>
              </w:rPr>
              <w:t>Explicitly state in the Results text and figure captions that the near-zero spread in BSS MSE distributions is expected and by design. BSS is a deterministic assignment with only 2–6 valid allocations per grid, so the distribution of MSE values is inherently tight. This is the mechanism by which BSS achieves downside risk protection. Frame this as a feature, not a deficiency.</w:t>
            </w:r>
          </w:p>
        </w:tc>
      </w:tr>
    </w:tbl>
    <w:p w14:paraId="11789A9A"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754F83" w14:paraId="11789A9E" w14:textId="77777777">
        <w:tblPrEx>
          <w:tblCellMar>
            <w:top w:w="0" w:type="dxa"/>
            <w:bottom w:w="0" w:type="dxa"/>
          </w:tblCellMar>
        </w:tblPrEx>
        <w:tc>
          <w:tcPr>
            <w:tcW w:w="1200" w:type="dxa"/>
            <w:shd w:val="clear" w:color="auto" w:fill="C00000"/>
            <w:tcMar>
              <w:top w:w="80" w:type="dxa"/>
              <w:left w:w="120" w:type="dxa"/>
              <w:bottom w:w="80" w:type="dxa"/>
              <w:right w:w="120" w:type="dxa"/>
            </w:tcMar>
          </w:tcPr>
          <w:p w14:paraId="11789A9B" w14:textId="77777777" w:rsidR="00754F83" w:rsidRDefault="00A6778C">
            <w:pPr>
              <w:jc w:val="center"/>
            </w:pPr>
            <w:r>
              <w:rPr>
                <w:b/>
                <w:bCs/>
                <w:color w:val="FFFFFF"/>
              </w:rPr>
              <w:t>R1.5</w:t>
            </w:r>
          </w:p>
        </w:tc>
        <w:tc>
          <w:tcPr>
            <w:tcW w:w="6560" w:type="dxa"/>
            <w:shd w:val="clear" w:color="auto" w:fill="F2F2F2"/>
            <w:tcMar>
              <w:top w:w="80" w:type="dxa"/>
              <w:left w:w="160" w:type="dxa"/>
              <w:bottom w:w="80" w:type="dxa"/>
              <w:right w:w="120" w:type="dxa"/>
            </w:tcMar>
          </w:tcPr>
          <w:p w14:paraId="11789A9C" w14:textId="77777777" w:rsidR="00754F83" w:rsidRDefault="00A6778C">
            <w:r>
              <w:rPr>
                <w:b/>
                <w:bCs/>
                <w:color w:val="1F3864"/>
              </w:rPr>
              <w:t>Inconsistency Between Section 3.4 Text and Figure 5</w:t>
            </w:r>
          </w:p>
        </w:tc>
        <w:tc>
          <w:tcPr>
            <w:tcW w:w="1600" w:type="dxa"/>
            <w:shd w:val="clear" w:color="auto" w:fill="C00000"/>
            <w:tcMar>
              <w:top w:w="80" w:type="dxa"/>
              <w:left w:w="120" w:type="dxa"/>
              <w:bottom w:w="80" w:type="dxa"/>
              <w:right w:w="120" w:type="dxa"/>
            </w:tcMar>
          </w:tcPr>
          <w:p w14:paraId="11789A9D" w14:textId="77777777" w:rsidR="00754F83" w:rsidRDefault="00A6778C">
            <w:pPr>
              <w:jc w:val="center"/>
            </w:pPr>
            <w:r>
              <w:rPr>
                <w:b/>
                <w:bCs/>
                <w:color w:val="FFFFFF"/>
                <w:sz w:val="18"/>
                <w:szCs w:val="18"/>
              </w:rPr>
              <w:t>MAJOR</w:t>
            </w:r>
          </w:p>
        </w:tc>
      </w:tr>
    </w:tbl>
    <w:p w14:paraId="11789A9F"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A2" w14:textId="77777777">
        <w:tblPrEx>
          <w:tblCellMar>
            <w:top w:w="0" w:type="dxa"/>
            <w:bottom w:w="0" w:type="dxa"/>
          </w:tblCellMar>
        </w:tblPrEx>
        <w:tc>
          <w:tcPr>
            <w:tcW w:w="200" w:type="dxa"/>
            <w:shd w:val="clear" w:color="auto" w:fill="2E75B6"/>
          </w:tcPr>
          <w:p w14:paraId="11789AA0" w14:textId="77777777" w:rsidR="00754F83" w:rsidRDefault="00754F83"/>
        </w:tc>
        <w:tc>
          <w:tcPr>
            <w:tcW w:w="9160" w:type="dxa"/>
            <w:shd w:val="clear" w:color="auto" w:fill="D9E2F3"/>
            <w:tcMar>
              <w:top w:w="100" w:type="dxa"/>
              <w:left w:w="180" w:type="dxa"/>
              <w:bottom w:w="100" w:type="dxa"/>
              <w:right w:w="180" w:type="dxa"/>
            </w:tcMar>
          </w:tcPr>
          <w:p w14:paraId="11789AA1" w14:textId="77777777" w:rsidR="00754F83" w:rsidRDefault="00A6778C">
            <w:r>
              <w:rPr>
                <w:i/>
                <w:iCs/>
                <w:color w:val="1F3864"/>
                <w:sz w:val="21"/>
                <w:szCs w:val="21"/>
              </w:rPr>
              <w:t>I'm not sure how to interpret the text in Section 3.4 versus Figure 5. The text reports the MSE is lower in BSS and that it has a wide range. But the figure shows MSE generally higher than simple random sampling with little or no range.</w:t>
            </w:r>
          </w:p>
        </w:tc>
      </w:tr>
    </w:tbl>
    <w:p w14:paraId="11789AA3"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A6" w14:textId="77777777">
        <w:tblPrEx>
          <w:tblCellMar>
            <w:top w:w="0" w:type="dxa"/>
            <w:bottom w:w="0" w:type="dxa"/>
          </w:tblCellMar>
        </w:tblPrEx>
        <w:tc>
          <w:tcPr>
            <w:tcW w:w="200" w:type="dxa"/>
            <w:shd w:val="clear" w:color="auto" w:fill="375623"/>
          </w:tcPr>
          <w:p w14:paraId="11789AA4" w14:textId="77777777" w:rsidR="00754F83" w:rsidRDefault="00754F83"/>
        </w:tc>
        <w:tc>
          <w:tcPr>
            <w:tcW w:w="9160" w:type="dxa"/>
            <w:shd w:val="clear" w:color="auto" w:fill="E2EFDA"/>
            <w:tcMar>
              <w:top w:w="100" w:type="dxa"/>
              <w:left w:w="180" w:type="dxa"/>
              <w:bottom w:w="100" w:type="dxa"/>
              <w:right w:w="180" w:type="dxa"/>
            </w:tcMar>
          </w:tcPr>
          <w:p w14:paraId="11789AA5" w14:textId="77777777" w:rsidR="00754F83" w:rsidRDefault="00A6778C">
            <w:r>
              <w:rPr>
                <w:b/>
                <w:bCs/>
                <w:color w:val="375623"/>
                <w:sz w:val="21"/>
                <w:szCs w:val="21"/>
              </w:rPr>
              <w:t xml:space="preserve">ACTION NOTE: </w:t>
            </w:r>
            <w:r>
              <w:rPr>
                <w:color w:val="375623"/>
                <w:sz w:val="21"/>
                <w:szCs w:val="21"/>
              </w:rPr>
              <w:t xml:space="preserve">Rewrite Section 3.4 (and equivalent sections for 3×3 and 3×4 grids) to accurately reflect what is shown in the figures. The correct narrative: SRS can achieve lower average MSE in some conditions (especially </w:t>
            </w:r>
            <w:proofErr w:type="spellStart"/>
            <w:r>
              <w:rPr>
                <w:color w:val="375623"/>
                <w:sz w:val="21"/>
                <w:szCs w:val="21"/>
              </w:rPr>
              <w:t>TrtSpill</w:t>
            </w:r>
            <w:proofErr w:type="spellEnd"/>
            <w:r>
              <w:rPr>
                <w:color w:val="375623"/>
                <w:sz w:val="21"/>
                <w:szCs w:val="21"/>
              </w:rPr>
              <w:t xml:space="preserve"> scenarios</w:t>
            </w:r>
            <w:proofErr w:type="gramStart"/>
            <w:r>
              <w:rPr>
                <w:color w:val="375623"/>
                <w:sz w:val="21"/>
                <w:szCs w:val="21"/>
              </w:rPr>
              <w:t>), but</w:t>
            </w:r>
            <w:proofErr w:type="gramEnd"/>
            <w:r>
              <w:rPr>
                <w:color w:val="375623"/>
                <w:sz w:val="21"/>
                <w:szCs w:val="21"/>
              </w:rPr>
              <w:t xml:space="preserve"> also carries risk of high-MSE outcomes. BSS constrains MSE variance — it may not be "best" but limits the worst case. Frame the trade-off explicitly as a risk-management advantage for BSS, not an MSE minimization claim.</w:t>
            </w:r>
          </w:p>
        </w:tc>
      </w:tr>
    </w:tbl>
    <w:p w14:paraId="11789AA7" w14:textId="77777777" w:rsidR="00754F83" w:rsidRDefault="00754F83"/>
    <w:p w14:paraId="11789AA8" w14:textId="77777777" w:rsidR="00754F83" w:rsidRDefault="00754F83">
      <w:pPr>
        <w:pBdr>
          <w:bottom w:val="single" w:sz="8" w:space="0" w:color="2E75B6"/>
        </w:pBdr>
        <w:spacing w:before="80" w:after="80"/>
      </w:pPr>
    </w:p>
    <w:p w14:paraId="11789AA9"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4F83" w14:paraId="11789AAB" w14:textId="77777777">
        <w:tblPrEx>
          <w:tblCellMar>
            <w:top w:w="0" w:type="dxa"/>
            <w:bottom w:w="0" w:type="dxa"/>
          </w:tblCellMar>
        </w:tblPrEx>
        <w:tc>
          <w:tcPr>
            <w:tcW w:w="9360" w:type="dxa"/>
            <w:shd w:val="clear" w:color="auto" w:fill="2E75B6"/>
            <w:tcMar>
              <w:top w:w="100" w:type="dxa"/>
              <w:left w:w="180" w:type="dxa"/>
              <w:bottom w:w="100" w:type="dxa"/>
              <w:right w:w="180" w:type="dxa"/>
            </w:tcMar>
          </w:tcPr>
          <w:p w14:paraId="11789AAA" w14:textId="77777777" w:rsidR="00754F83" w:rsidRDefault="00A6778C">
            <w:r>
              <w:rPr>
                <w:b/>
                <w:bCs/>
                <w:color w:val="FFFFFF"/>
                <w:sz w:val="26"/>
                <w:szCs w:val="26"/>
              </w:rPr>
              <w:lastRenderedPageBreak/>
              <w:t>MINOR COMMENTS</w:t>
            </w:r>
          </w:p>
        </w:tc>
      </w:tr>
    </w:tbl>
    <w:p w14:paraId="11789AAC"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754F83" w14:paraId="11789AB0" w14:textId="77777777">
        <w:tblPrEx>
          <w:tblCellMar>
            <w:top w:w="0" w:type="dxa"/>
            <w:bottom w:w="0" w:type="dxa"/>
          </w:tblCellMar>
        </w:tblPrEx>
        <w:tc>
          <w:tcPr>
            <w:tcW w:w="1200" w:type="dxa"/>
            <w:shd w:val="clear" w:color="auto" w:fill="2E75B6"/>
            <w:tcMar>
              <w:top w:w="80" w:type="dxa"/>
              <w:left w:w="120" w:type="dxa"/>
              <w:bottom w:w="80" w:type="dxa"/>
              <w:right w:w="120" w:type="dxa"/>
            </w:tcMar>
          </w:tcPr>
          <w:p w14:paraId="11789AAD" w14:textId="77777777" w:rsidR="00754F83" w:rsidRDefault="00A6778C">
            <w:pPr>
              <w:jc w:val="center"/>
            </w:pPr>
            <w:r>
              <w:rPr>
                <w:b/>
                <w:bCs/>
                <w:color w:val="FFFFFF"/>
              </w:rPr>
              <w:t>R1.M1</w:t>
            </w:r>
          </w:p>
        </w:tc>
        <w:tc>
          <w:tcPr>
            <w:tcW w:w="6560" w:type="dxa"/>
            <w:shd w:val="clear" w:color="auto" w:fill="F2F2F2"/>
            <w:tcMar>
              <w:top w:w="80" w:type="dxa"/>
              <w:left w:w="160" w:type="dxa"/>
              <w:bottom w:w="80" w:type="dxa"/>
              <w:right w:w="120" w:type="dxa"/>
            </w:tcMar>
          </w:tcPr>
          <w:p w14:paraId="11789AAE" w14:textId="77777777" w:rsidR="00754F83" w:rsidRDefault="00A6778C">
            <w:r>
              <w:rPr>
                <w:b/>
                <w:bCs/>
                <w:color w:val="1F3864"/>
              </w:rPr>
              <w:t>Why Sample Individuals at Specific Locations?</w:t>
            </w:r>
          </w:p>
        </w:tc>
        <w:tc>
          <w:tcPr>
            <w:tcW w:w="1600" w:type="dxa"/>
            <w:shd w:val="clear" w:color="auto" w:fill="ED7D31"/>
            <w:tcMar>
              <w:top w:w="80" w:type="dxa"/>
              <w:left w:w="120" w:type="dxa"/>
              <w:bottom w:w="80" w:type="dxa"/>
              <w:right w:w="120" w:type="dxa"/>
            </w:tcMar>
          </w:tcPr>
          <w:p w14:paraId="11789AAF" w14:textId="77777777" w:rsidR="00754F83" w:rsidRDefault="00A6778C">
            <w:pPr>
              <w:jc w:val="center"/>
            </w:pPr>
            <w:r>
              <w:rPr>
                <w:b/>
                <w:bCs/>
                <w:color w:val="FFFFFF"/>
                <w:sz w:val="18"/>
                <w:szCs w:val="18"/>
              </w:rPr>
              <w:t>MINOR</w:t>
            </w:r>
          </w:p>
        </w:tc>
      </w:tr>
    </w:tbl>
    <w:p w14:paraId="11789AB1"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B4" w14:textId="77777777">
        <w:tblPrEx>
          <w:tblCellMar>
            <w:top w:w="0" w:type="dxa"/>
            <w:bottom w:w="0" w:type="dxa"/>
          </w:tblCellMar>
        </w:tblPrEx>
        <w:tc>
          <w:tcPr>
            <w:tcW w:w="200" w:type="dxa"/>
            <w:shd w:val="clear" w:color="auto" w:fill="2E75B6"/>
          </w:tcPr>
          <w:p w14:paraId="11789AB2" w14:textId="77777777" w:rsidR="00754F83" w:rsidRDefault="00754F83"/>
        </w:tc>
        <w:tc>
          <w:tcPr>
            <w:tcW w:w="9160" w:type="dxa"/>
            <w:shd w:val="clear" w:color="auto" w:fill="D9E2F3"/>
            <w:tcMar>
              <w:top w:w="100" w:type="dxa"/>
              <w:left w:w="180" w:type="dxa"/>
              <w:bottom w:w="100" w:type="dxa"/>
              <w:right w:w="180" w:type="dxa"/>
            </w:tcMar>
          </w:tcPr>
          <w:p w14:paraId="11789AB3" w14:textId="77777777" w:rsidR="00754F83" w:rsidRDefault="00A6778C">
            <w:r>
              <w:rPr>
                <w:i/>
                <w:iCs/>
                <w:color w:val="1F3864"/>
                <w:sz w:val="21"/>
                <w:szCs w:val="21"/>
              </w:rPr>
              <w:t xml:space="preserve">Why were individuals sampled with a specific location. My understanding is that they are just allocated based on cluster membership, and similarly the weights and autocorrelation structure are only based on cluster </w:t>
            </w:r>
            <w:proofErr w:type="spellStart"/>
            <w:r>
              <w:rPr>
                <w:i/>
                <w:iCs/>
                <w:color w:val="1F3864"/>
                <w:sz w:val="21"/>
                <w:szCs w:val="21"/>
              </w:rPr>
              <w:t>neighbourhood</w:t>
            </w:r>
            <w:proofErr w:type="spellEnd"/>
            <w:r>
              <w:rPr>
                <w:i/>
                <w:iCs/>
                <w:color w:val="1F3864"/>
                <w:sz w:val="21"/>
                <w:szCs w:val="21"/>
              </w:rPr>
              <w:t xml:space="preserve"> structure. If this is the case, why not just run the analyses at the cluster level with weights for cluster size? This would be significantly faster to run and permit a greater range of scenarios to be examined.</w:t>
            </w:r>
          </w:p>
        </w:tc>
      </w:tr>
    </w:tbl>
    <w:p w14:paraId="11789AB5"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B8" w14:textId="77777777">
        <w:tblPrEx>
          <w:tblCellMar>
            <w:top w:w="0" w:type="dxa"/>
            <w:bottom w:w="0" w:type="dxa"/>
          </w:tblCellMar>
        </w:tblPrEx>
        <w:tc>
          <w:tcPr>
            <w:tcW w:w="200" w:type="dxa"/>
            <w:shd w:val="clear" w:color="auto" w:fill="375623"/>
          </w:tcPr>
          <w:p w14:paraId="11789AB6" w14:textId="77777777" w:rsidR="00754F83" w:rsidRDefault="00754F83"/>
        </w:tc>
        <w:tc>
          <w:tcPr>
            <w:tcW w:w="9160" w:type="dxa"/>
            <w:shd w:val="clear" w:color="auto" w:fill="E2EFDA"/>
            <w:tcMar>
              <w:top w:w="100" w:type="dxa"/>
              <w:left w:w="180" w:type="dxa"/>
              <w:bottom w:w="100" w:type="dxa"/>
              <w:right w:w="180" w:type="dxa"/>
            </w:tcMar>
          </w:tcPr>
          <w:p w14:paraId="11789AB7" w14:textId="77777777" w:rsidR="00754F83" w:rsidRDefault="00A6778C">
            <w:r>
              <w:rPr>
                <w:b/>
                <w:bCs/>
                <w:color w:val="375623"/>
                <w:sz w:val="21"/>
                <w:szCs w:val="21"/>
              </w:rPr>
              <w:t xml:space="preserve">ACTION NOTE: </w:t>
            </w:r>
            <w:r>
              <w:rPr>
                <w:color w:val="375623"/>
                <w:sz w:val="21"/>
                <w:szCs w:val="21"/>
              </w:rPr>
              <w:t>Add 1–2 sentences in Section 3.2 explaining that individual-level spatial sampling is required to construct subject-level spatial weights W and assign individual-level intervention (</w:t>
            </w:r>
            <w:proofErr w:type="spellStart"/>
            <w:r>
              <w:rPr>
                <w:color w:val="375623"/>
                <w:sz w:val="21"/>
                <w:szCs w:val="21"/>
              </w:rPr>
              <w:t>x_i</w:t>
            </w:r>
            <w:proofErr w:type="spellEnd"/>
            <w:r>
              <w:rPr>
                <w:color w:val="375623"/>
                <w:sz w:val="21"/>
                <w:szCs w:val="21"/>
              </w:rPr>
              <w:t>) and spillover (</w:t>
            </w:r>
            <w:proofErr w:type="spellStart"/>
            <w:r>
              <w:rPr>
                <w:color w:val="375623"/>
                <w:sz w:val="21"/>
                <w:szCs w:val="21"/>
              </w:rPr>
              <w:t>z_i</w:t>
            </w:r>
            <w:proofErr w:type="spellEnd"/>
            <w:r>
              <w:rPr>
                <w:color w:val="375623"/>
                <w:sz w:val="21"/>
                <w:szCs w:val="21"/>
              </w:rPr>
              <w:t>) indicators for the SAR model. Acknowledge that a cluster-level analysis is a reasonable alternative and note it as a direction for future work.</w:t>
            </w:r>
          </w:p>
        </w:tc>
      </w:tr>
    </w:tbl>
    <w:p w14:paraId="11789AB9"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754F83" w14:paraId="11789ABD" w14:textId="77777777">
        <w:tblPrEx>
          <w:tblCellMar>
            <w:top w:w="0" w:type="dxa"/>
            <w:bottom w:w="0" w:type="dxa"/>
          </w:tblCellMar>
        </w:tblPrEx>
        <w:tc>
          <w:tcPr>
            <w:tcW w:w="1200" w:type="dxa"/>
            <w:shd w:val="clear" w:color="auto" w:fill="2E75B6"/>
            <w:tcMar>
              <w:top w:w="80" w:type="dxa"/>
              <w:left w:w="120" w:type="dxa"/>
              <w:bottom w:w="80" w:type="dxa"/>
              <w:right w:w="120" w:type="dxa"/>
            </w:tcMar>
          </w:tcPr>
          <w:p w14:paraId="11789ABA" w14:textId="77777777" w:rsidR="00754F83" w:rsidRDefault="00A6778C">
            <w:pPr>
              <w:jc w:val="center"/>
            </w:pPr>
            <w:r>
              <w:rPr>
                <w:b/>
                <w:bCs/>
                <w:color w:val="FFFFFF"/>
              </w:rPr>
              <w:t>R1.M2</w:t>
            </w:r>
          </w:p>
        </w:tc>
        <w:tc>
          <w:tcPr>
            <w:tcW w:w="6560" w:type="dxa"/>
            <w:shd w:val="clear" w:color="auto" w:fill="F2F2F2"/>
            <w:tcMar>
              <w:top w:w="80" w:type="dxa"/>
              <w:left w:w="160" w:type="dxa"/>
              <w:bottom w:w="80" w:type="dxa"/>
              <w:right w:w="120" w:type="dxa"/>
            </w:tcMar>
          </w:tcPr>
          <w:p w14:paraId="11789ABB" w14:textId="77777777" w:rsidR="00754F83" w:rsidRDefault="00A6778C">
            <w:r>
              <w:rPr>
                <w:b/>
                <w:bCs/>
                <w:color w:val="1F3864"/>
              </w:rPr>
              <w:t>CAR Models Do Not Capture Boundary-Level Individual Spillover</w:t>
            </w:r>
          </w:p>
        </w:tc>
        <w:tc>
          <w:tcPr>
            <w:tcW w:w="1600" w:type="dxa"/>
            <w:shd w:val="clear" w:color="auto" w:fill="ED7D31"/>
            <w:tcMar>
              <w:top w:w="80" w:type="dxa"/>
              <w:left w:w="120" w:type="dxa"/>
              <w:bottom w:w="80" w:type="dxa"/>
              <w:right w:w="120" w:type="dxa"/>
            </w:tcMar>
          </w:tcPr>
          <w:p w14:paraId="11789ABC" w14:textId="77777777" w:rsidR="00754F83" w:rsidRDefault="00A6778C">
            <w:pPr>
              <w:jc w:val="center"/>
            </w:pPr>
            <w:r>
              <w:rPr>
                <w:b/>
                <w:bCs/>
                <w:color w:val="FFFFFF"/>
                <w:sz w:val="18"/>
                <w:szCs w:val="18"/>
              </w:rPr>
              <w:t>MINOR</w:t>
            </w:r>
          </w:p>
        </w:tc>
      </w:tr>
    </w:tbl>
    <w:p w14:paraId="11789ABE"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C1" w14:textId="77777777">
        <w:tblPrEx>
          <w:tblCellMar>
            <w:top w:w="0" w:type="dxa"/>
            <w:bottom w:w="0" w:type="dxa"/>
          </w:tblCellMar>
        </w:tblPrEx>
        <w:tc>
          <w:tcPr>
            <w:tcW w:w="200" w:type="dxa"/>
            <w:shd w:val="clear" w:color="auto" w:fill="2E75B6"/>
          </w:tcPr>
          <w:p w14:paraId="11789ABF" w14:textId="77777777" w:rsidR="00754F83" w:rsidRDefault="00754F83"/>
        </w:tc>
        <w:tc>
          <w:tcPr>
            <w:tcW w:w="9160" w:type="dxa"/>
            <w:shd w:val="clear" w:color="auto" w:fill="D9E2F3"/>
            <w:tcMar>
              <w:top w:w="100" w:type="dxa"/>
              <w:left w:w="180" w:type="dxa"/>
              <w:bottom w:w="100" w:type="dxa"/>
              <w:right w:w="180" w:type="dxa"/>
            </w:tcMar>
          </w:tcPr>
          <w:p w14:paraId="11789AC0" w14:textId="77777777" w:rsidR="00754F83" w:rsidRDefault="00A6778C">
            <w:r>
              <w:rPr>
                <w:i/>
                <w:iCs/>
                <w:color w:val="1F3864"/>
                <w:sz w:val="21"/>
                <w:szCs w:val="21"/>
              </w:rPr>
              <w:t>A limitation of this approach and CAR models in general is that they don't account for the location of specific individuals. The previous literature cited in the introduction shows the spillover happens at the boundary, rather than in general.</w:t>
            </w:r>
          </w:p>
        </w:tc>
      </w:tr>
    </w:tbl>
    <w:p w14:paraId="11789AC2"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C5" w14:textId="77777777">
        <w:tblPrEx>
          <w:tblCellMar>
            <w:top w:w="0" w:type="dxa"/>
            <w:bottom w:w="0" w:type="dxa"/>
          </w:tblCellMar>
        </w:tblPrEx>
        <w:tc>
          <w:tcPr>
            <w:tcW w:w="200" w:type="dxa"/>
            <w:shd w:val="clear" w:color="auto" w:fill="375623"/>
          </w:tcPr>
          <w:p w14:paraId="11789AC3" w14:textId="77777777" w:rsidR="00754F83" w:rsidRDefault="00754F83"/>
        </w:tc>
        <w:tc>
          <w:tcPr>
            <w:tcW w:w="9160" w:type="dxa"/>
            <w:shd w:val="clear" w:color="auto" w:fill="E2EFDA"/>
            <w:tcMar>
              <w:top w:w="100" w:type="dxa"/>
              <w:left w:w="180" w:type="dxa"/>
              <w:bottom w:w="100" w:type="dxa"/>
              <w:right w:w="180" w:type="dxa"/>
            </w:tcMar>
          </w:tcPr>
          <w:p w14:paraId="11789AC4" w14:textId="77777777" w:rsidR="00754F83" w:rsidRDefault="00A6778C">
            <w:r>
              <w:rPr>
                <w:b/>
                <w:bCs/>
                <w:color w:val="375623"/>
                <w:sz w:val="21"/>
                <w:szCs w:val="21"/>
              </w:rPr>
              <w:t xml:space="preserve">ACTION NOTE: </w:t>
            </w:r>
            <w:r>
              <w:rPr>
                <w:color w:val="375623"/>
                <w:sz w:val="21"/>
                <w:szCs w:val="21"/>
              </w:rPr>
              <w:t>Add to Section 5.2 (Limitations): the model treats spillover as uniform across all subjects in a neighboring cluster, not accounting for individual-level proximity to cluster boundaries. More realistic models incorporating individual-distance-to-boundary weighting are a worthwhile future direction.</w:t>
            </w:r>
          </w:p>
        </w:tc>
      </w:tr>
    </w:tbl>
    <w:p w14:paraId="11789AC6"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754F83" w14:paraId="11789ACA" w14:textId="77777777">
        <w:tblPrEx>
          <w:tblCellMar>
            <w:top w:w="0" w:type="dxa"/>
            <w:bottom w:w="0" w:type="dxa"/>
          </w:tblCellMar>
        </w:tblPrEx>
        <w:tc>
          <w:tcPr>
            <w:tcW w:w="1200" w:type="dxa"/>
            <w:shd w:val="clear" w:color="auto" w:fill="2E75B6"/>
            <w:tcMar>
              <w:top w:w="80" w:type="dxa"/>
              <w:left w:w="120" w:type="dxa"/>
              <w:bottom w:w="80" w:type="dxa"/>
              <w:right w:w="120" w:type="dxa"/>
            </w:tcMar>
          </w:tcPr>
          <w:p w14:paraId="11789AC7" w14:textId="77777777" w:rsidR="00754F83" w:rsidRDefault="00A6778C">
            <w:pPr>
              <w:jc w:val="center"/>
            </w:pPr>
            <w:r>
              <w:rPr>
                <w:b/>
                <w:bCs/>
                <w:color w:val="FFFFFF"/>
              </w:rPr>
              <w:t>R1.M3</w:t>
            </w:r>
          </w:p>
        </w:tc>
        <w:tc>
          <w:tcPr>
            <w:tcW w:w="6560" w:type="dxa"/>
            <w:shd w:val="clear" w:color="auto" w:fill="F2F2F2"/>
            <w:tcMar>
              <w:top w:w="80" w:type="dxa"/>
              <w:left w:w="160" w:type="dxa"/>
              <w:bottom w:w="80" w:type="dxa"/>
              <w:right w:w="120" w:type="dxa"/>
            </w:tcMar>
          </w:tcPr>
          <w:p w14:paraId="11789AC8" w14:textId="77777777" w:rsidR="00754F83" w:rsidRDefault="00A6778C">
            <w:r>
              <w:rPr>
                <w:b/>
                <w:bCs/>
                <w:color w:val="1F3864"/>
              </w:rPr>
              <w:t>Clarify Spillover Terminology (Within vs. Between Cluster)</w:t>
            </w:r>
          </w:p>
        </w:tc>
        <w:tc>
          <w:tcPr>
            <w:tcW w:w="1600" w:type="dxa"/>
            <w:shd w:val="clear" w:color="auto" w:fill="ED7D31"/>
            <w:tcMar>
              <w:top w:w="80" w:type="dxa"/>
              <w:left w:w="120" w:type="dxa"/>
              <w:bottom w:w="80" w:type="dxa"/>
              <w:right w:w="120" w:type="dxa"/>
            </w:tcMar>
          </w:tcPr>
          <w:p w14:paraId="11789AC9" w14:textId="77777777" w:rsidR="00754F83" w:rsidRDefault="00A6778C">
            <w:pPr>
              <w:jc w:val="center"/>
            </w:pPr>
            <w:r>
              <w:rPr>
                <w:b/>
                <w:bCs/>
                <w:color w:val="FFFFFF"/>
                <w:sz w:val="18"/>
                <w:szCs w:val="18"/>
              </w:rPr>
              <w:t>MINOR</w:t>
            </w:r>
          </w:p>
        </w:tc>
      </w:tr>
    </w:tbl>
    <w:p w14:paraId="11789ACB"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CE" w14:textId="77777777">
        <w:tblPrEx>
          <w:tblCellMar>
            <w:top w:w="0" w:type="dxa"/>
            <w:bottom w:w="0" w:type="dxa"/>
          </w:tblCellMar>
        </w:tblPrEx>
        <w:tc>
          <w:tcPr>
            <w:tcW w:w="200" w:type="dxa"/>
            <w:shd w:val="clear" w:color="auto" w:fill="2E75B6"/>
          </w:tcPr>
          <w:p w14:paraId="11789ACC" w14:textId="77777777" w:rsidR="00754F83" w:rsidRDefault="00754F83"/>
        </w:tc>
        <w:tc>
          <w:tcPr>
            <w:tcW w:w="9160" w:type="dxa"/>
            <w:shd w:val="clear" w:color="auto" w:fill="D9E2F3"/>
            <w:tcMar>
              <w:top w:w="100" w:type="dxa"/>
              <w:left w:w="180" w:type="dxa"/>
              <w:bottom w:w="100" w:type="dxa"/>
              <w:right w:w="180" w:type="dxa"/>
            </w:tcMar>
          </w:tcPr>
          <w:p w14:paraId="11789ACD" w14:textId="77777777" w:rsidR="00754F83" w:rsidRDefault="00A6778C">
            <w:r>
              <w:rPr>
                <w:i/>
                <w:iCs/>
                <w:color w:val="1F3864"/>
                <w:sz w:val="21"/>
                <w:szCs w:val="21"/>
              </w:rPr>
              <w:t xml:space="preserve">The language describing spillover in the introduction could be clarified a little. For example, we have spillover between individuals within the same cluster and spillover between individuals in different clusters. The former is a motivation for cluster trials, and is sometimes of </w:t>
            </w:r>
            <w:proofErr w:type="gramStart"/>
            <w:r>
              <w:rPr>
                <w:i/>
                <w:iCs/>
                <w:color w:val="1F3864"/>
                <w:sz w:val="21"/>
                <w:szCs w:val="21"/>
              </w:rPr>
              <w:t>interest in itself, for</w:t>
            </w:r>
            <w:proofErr w:type="gramEnd"/>
            <w:r>
              <w:rPr>
                <w:i/>
                <w:iCs/>
                <w:color w:val="1F3864"/>
                <w:sz w:val="21"/>
                <w:szCs w:val="21"/>
              </w:rPr>
              <w:t xml:space="preserve"> example the estimation of indirect effects of vaccinations. Whereas the latter is the topic of the article. I think this could be made clearer in places.</w:t>
            </w:r>
          </w:p>
        </w:tc>
      </w:tr>
    </w:tbl>
    <w:p w14:paraId="11789ACF"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D2" w14:textId="77777777">
        <w:tblPrEx>
          <w:tblCellMar>
            <w:top w:w="0" w:type="dxa"/>
            <w:bottom w:w="0" w:type="dxa"/>
          </w:tblCellMar>
        </w:tblPrEx>
        <w:tc>
          <w:tcPr>
            <w:tcW w:w="200" w:type="dxa"/>
            <w:shd w:val="clear" w:color="auto" w:fill="375623"/>
          </w:tcPr>
          <w:p w14:paraId="11789AD0" w14:textId="77777777" w:rsidR="00754F83" w:rsidRDefault="00754F83"/>
        </w:tc>
        <w:tc>
          <w:tcPr>
            <w:tcW w:w="9160" w:type="dxa"/>
            <w:shd w:val="clear" w:color="auto" w:fill="E2EFDA"/>
            <w:tcMar>
              <w:top w:w="100" w:type="dxa"/>
              <w:left w:w="180" w:type="dxa"/>
              <w:bottom w:w="100" w:type="dxa"/>
              <w:right w:w="180" w:type="dxa"/>
            </w:tcMar>
          </w:tcPr>
          <w:p w14:paraId="11789AD1" w14:textId="77777777" w:rsidR="00754F83" w:rsidRDefault="00A6778C">
            <w:r>
              <w:rPr>
                <w:b/>
                <w:bCs/>
                <w:color w:val="375623"/>
                <w:sz w:val="21"/>
                <w:szCs w:val="21"/>
              </w:rPr>
              <w:t xml:space="preserve">ACTION NOTE: </w:t>
            </w:r>
            <w:r>
              <w:rPr>
                <w:color w:val="375623"/>
                <w:sz w:val="21"/>
                <w:szCs w:val="21"/>
              </w:rPr>
              <w:t>Add a clarifying sentence in the Introduction or Section 2.3 distinguishing (a) within-cluster correlation (the classic ICC concern — motivating CRT design) from (b) between-cluster spillover (the focus of this paper). Use explicit terminology consistently throughout.</w:t>
            </w:r>
          </w:p>
        </w:tc>
      </w:tr>
    </w:tbl>
    <w:p w14:paraId="11789AD3"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60"/>
        <w:gridCol w:w="1600"/>
      </w:tblGrid>
      <w:tr w:rsidR="00754F83" w14:paraId="11789AD7" w14:textId="77777777">
        <w:tblPrEx>
          <w:tblCellMar>
            <w:top w:w="0" w:type="dxa"/>
            <w:bottom w:w="0" w:type="dxa"/>
          </w:tblCellMar>
        </w:tblPrEx>
        <w:tc>
          <w:tcPr>
            <w:tcW w:w="1200" w:type="dxa"/>
            <w:shd w:val="clear" w:color="auto" w:fill="2E75B6"/>
            <w:tcMar>
              <w:top w:w="80" w:type="dxa"/>
              <w:left w:w="120" w:type="dxa"/>
              <w:bottom w:w="80" w:type="dxa"/>
              <w:right w:w="120" w:type="dxa"/>
            </w:tcMar>
          </w:tcPr>
          <w:p w14:paraId="11789AD4" w14:textId="77777777" w:rsidR="00754F83" w:rsidRDefault="00A6778C">
            <w:pPr>
              <w:jc w:val="center"/>
            </w:pPr>
            <w:r>
              <w:rPr>
                <w:b/>
                <w:bCs/>
                <w:color w:val="FFFFFF"/>
              </w:rPr>
              <w:t>R1.M4</w:t>
            </w:r>
          </w:p>
        </w:tc>
        <w:tc>
          <w:tcPr>
            <w:tcW w:w="6560" w:type="dxa"/>
            <w:shd w:val="clear" w:color="auto" w:fill="F2F2F2"/>
            <w:tcMar>
              <w:top w:w="80" w:type="dxa"/>
              <w:left w:w="160" w:type="dxa"/>
              <w:bottom w:w="80" w:type="dxa"/>
              <w:right w:w="120" w:type="dxa"/>
            </w:tcMar>
          </w:tcPr>
          <w:p w14:paraId="11789AD5" w14:textId="77777777" w:rsidR="00754F83" w:rsidRDefault="00A6778C">
            <w:r>
              <w:rPr>
                <w:b/>
                <w:bCs/>
                <w:color w:val="1F3864"/>
              </w:rPr>
              <w:t>Distinguish Random Sampling from Random Allocation</w:t>
            </w:r>
          </w:p>
        </w:tc>
        <w:tc>
          <w:tcPr>
            <w:tcW w:w="1600" w:type="dxa"/>
            <w:shd w:val="clear" w:color="auto" w:fill="ED7D31"/>
            <w:tcMar>
              <w:top w:w="80" w:type="dxa"/>
              <w:left w:w="120" w:type="dxa"/>
              <w:bottom w:w="80" w:type="dxa"/>
              <w:right w:w="120" w:type="dxa"/>
            </w:tcMar>
          </w:tcPr>
          <w:p w14:paraId="11789AD6" w14:textId="77777777" w:rsidR="00754F83" w:rsidRDefault="00A6778C">
            <w:pPr>
              <w:jc w:val="center"/>
            </w:pPr>
            <w:r>
              <w:rPr>
                <w:b/>
                <w:bCs/>
                <w:color w:val="FFFFFF"/>
                <w:sz w:val="18"/>
                <w:szCs w:val="18"/>
              </w:rPr>
              <w:t>MINOR</w:t>
            </w:r>
          </w:p>
        </w:tc>
      </w:tr>
    </w:tbl>
    <w:p w14:paraId="11789AD8"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DB" w14:textId="77777777">
        <w:tblPrEx>
          <w:tblCellMar>
            <w:top w:w="0" w:type="dxa"/>
            <w:bottom w:w="0" w:type="dxa"/>
          </w:tblCellMar>
        </w:tblPrEx>
        <w:tc>
          <w:tcPr>
            <w:tcW w:w="200" w:type="dxa"/>
            <w:shd w:val="clear" w:color="auto" w:fill="2E75B6"/>
          </w:tcPr>
          <w:p w14:paraId="11789AD9" w14:textId="77777777" w:rsidR="00754F83" w:rsidRDefault="00754F83"/>
        </w:tc>
        <w:tc>
          <w:tcPr>
            <w:tcW w:w="9160" w:type="dxa"/>
            <w:shd w:val="clear" w:color="auto" w:fill="D9E2F3"/>
            <w:tcMar>
              <w:top w:w="100" w:type="dxa"/>
              <w:left w:w="180" w:type="dxa"/>
              <w:bottom w:w="100" w:type="dxa"/>
              <w:right w:w="180" w:type="dxa"/>
            </w:tcMar>
          </w:tcPr>
          <w:p w14:paraId="11789ADA" w14:textId="77777777" w:rsidR="00754F83" w:rsidRDefault="00A6778C">
            <w:r>
              <w:rPr>
                <w:i/>
                <w:iCs/>
                <w:color w:val="1F3864"/>
                <w:sz w:val="21"/>
                <w:szCs w:val="21"/>
              </w:rPr>
              <w:t xml:space="preserve">I think it would also help to make clear the distinction between random sampling and random allocation. I don't believe the authors are considering the random sampling of clusters from a </w:t>
            </w:r>
            <w:r>
              <w:rPr>
                <w:i/>
                <w:iCs/>
                <w:color w:val="1F3864"/>
                <w:sz w:val="21"/>
                <w:szCs w:val="21"/>
              </w:rPr>
              <w:lastRenderedPageBreak/>
              <w:t>larger population, but the random allocation of clusters to treatment and control. Individuals may or may not be randomly sampled from the cluster population.</w:t>
            </w:r>
          </w:p>
        </w:tc>
      </w:tr>
    </w:tbl>
    <w:p w14:paraId="11789ADC" w14:textId="77777777" w:rsidR="00754F83" w:rsidRDefault="00754F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754F83" w14:paraId="11789ADF" w14:textId="77777777">
        <w:tblPrEx>
          <w:tblCellMar>
            <w:top w:w="0" w:type="dxa"/>
            <w:bottom w:w="0" w:type="dxa"/>
          </w:tblCellMar>
        </w:tblPrEx>
        <w:tc>
          <w:tcPr>
            <w:tcW w:w="200" w:type="dxa"/>
            <w:shd w:val="clear" w:color="auto" w:fill="375623"/>
          </w:tcPr>
          <w:p w14:paraId="11789ADD" w14:textId="77777777" w:rsidR="00754F83" w:rsidRDefault="00754F83"/>
        </w:tc>
        <w:tc>
          <w:tcPr>
            <w:tcW w:w="9160" w:type="dxa"/>
            <w:shd w:val="clear" w:color="auto" w:fill="E2EFDA"/>
            <w:tcMar>
              <w:top w:w="100" w:type="dxa"/>
              <w:left w:w="180" w:type="dxa"/>
              <w:bottom w:w="100" w:type="dxa"/>
              <w:right w:w="180" w:type="dxa"/>
            </w:tcMar>
          </w:tcPr>
          <w:p w14:paraId="11789ADE" w14:textId="77777777" w:rsidR="00754F83" w:rsidRDefault="00A6778C">
            <w:r>
              <w:rPr>
                <w:b/>
                <w:bCs/>
                <w:color w:val="375623"/>
                <w:sz w:val="21"/>
                <w:szCs w:val="21"/>
              </w:rPr>
              <w:t xml:space="preserve">ACTION NOTE: </w:t>
            </w:r>
            <w:r>
              <w:rPr>
                <w:color w:val="375623"/>
                <w:sz w:val="21"/>
                <w:szCs w:val="21"/>
              </w:rPr>
              <w:t>In Section 2.4, add a sentence clarifying that this paper concerns the random allocation of clusters to treatment/control arms (not random sampling of clusters from a population). Individual subjects within clusters are sampled for the simulation, but this distinction from random allocation should be explicitly stated.</w:t>
            </w:r>
          </w:p>
        </w:tc>
      </w:tr>
    </w:tbl>
    <w:p w14:paraId="11789AE0" w14:textId="77777777" w:rsidR="00754F83" w:rsidRDefault="00754F83"/>
    <w:sectPr w:rsidR="00754F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57978"/>
    <w:multiLevelType w:val="hybridMultilevel"/>
    <w:tmpl w:val="8840A460"/>
    <w:lvl w:ilvl="0" w:tplc="88FA6EF8">
      <w:start w:val="1"/>
      <w:numFmt w:val="bullet"/>
      <w:lvlText w:val="●"/>
      <w:lvlJc w:val="left"/>
      <w:pPr>
        <w:ind w:left="720" w:hanging="360"/>
      </w:pPr>
    </w:lvl>
    <w:lvl w:ilvl="1" w:tplc="87649844">
      <w:start w:val="1"/>
      <w:numFmt w:val="bullet"/>
      <w:lvlText w:val="○"/>
      <w:lvlJc w:val="left"/>
      <w:pPr>
        <w:ind w:left="1440" w:hanging="360"/>
      </w:pPr>
    </w:lvl>
    <w:lvl w:ilvl="2" w:tplc="F3549EC4">
      <w:start w:val="1"/>
      <w:numFmt w:val="bullet"/>
      <w:lvlText w:val="■"/>
      <w:lvlJc w:val="left"/>
      <w:pPr>
        <w:ind w:left="2160" w:hanging="360"/>
      </w:pPr>
    </w:lvl>
    <w:lvl w:ilvl="3" w:tplc="39C6BDCA">
      <w:start w:val="1"/>
      <w:numFmt w:val="bullet"/>
      <w:lvlText w:val="●"/>
      <w:lvlJc w:val="left"/>
      <w:pPr>
        <w:ind w:left="2880" w:hanging="360"/>
      </w:pPr>
    </w:lvl>
    <w:lvl w:ilvl="4" w:tplc="7F30D9E8">
      <w:start w:val="1"/>
      <w:numFmt w:val="bullet"/>
      <w:lvlText w:val="○"/>
      <w:lvlJc w:val="left"/>
      <w:pPr>
        <w:ind w:left="3600" w:hanging="360"/>
      </w:pPr>
    </w:lvl>
    <w:lvl w:ilvl="5" w:tplc="30F22F92">
      <w:start w:val="1"/>
      <w:numFmt w:val="bullet"/>
      <w:lvlText w:val="■"/>
      <w:lvlJc w:val="left"/>
      <w:pPr>
        <w:ind w:left="4320" w:hanging="360"/>
      </w:pPr>
    </w:lvl>
    <w:lvl w:ilvl="6" w:tplc="68F634B6">
      <w:start w:val="1"/>
      <w:numFmt w:val="bullet"/>
      <w:lvlText w:val="●"/>
      <w:lvlJc w:val="left"/>
      <w:pPr>
        <w:ind w:left="5040" w:hanging="360"/>
      </w:pPr>
    </w:lvl>
    <w:lvl w:ilvl="7" w:tplc="AD1461EE">
      <w:start w:val="1"/>
      <w:numFmt w:val="bullet"/>
      <w:lvlText w:val="●"/>
      <w:lvlJc w:val="left"/>
      <w:pPr>
        <w:ind w:left="5760" w:hanging="360"/>
      </w:pPr>
    </w:lvl>
    <w:lvl w:ilvl="8" w:tplc="7EB0B6B6">
      <w:start w:val="1"/>
      <w:numFmt w:val="bullet"/>
      <w:lvlText w:val="●"/>
      <w:lvlJc w:val="left"/>
      <w:pPr>
        <w:ind w:left="6480" w:hanging="360"/>
      </w:pPr>
    </w:lvl>
  </w:abstractNum>
  <w:num w:numId="1" w16cid:durableId="2100904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F83"/>
    <w:rsid w:val="00754F83"/>
    <w:rsid w:val="009B5A77"/>
    <w:rsid w:val="00A6778C"/>
    <w:rsid w:val="00B8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789A59"/>
  <w15:docId w15:val="{7CEFF665-2009-6246-8191-030DD3FEE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1246</Words>
  <Characters>7182</Characters>
  <Application>Microsoft Office Word</Application>
  <DocSecurity>0</DocSecurity>
  <Lines>179</Lines>
  <Paragraphs>52</Paragraphs>
  <ScaleCrop>false</ScaleCrop>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Walther, Andrew Joseph</cp:lastModifiedBy>
  <cp:revision>2</cp:revision>
  <dcterms:created xsi:type="dcterms:W3CDTF">2026-03-28T22:15:00Z</dcterms:created>
  <dcterms:modified xsi:type="dcterms:W3CDTF">2026-03-28T22:22:00Z</dcterms:modified>
</cp:coreProperties>
</file>