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00"/>
              <w:left w:type="dxa" w:w="180"/>
              <w:bottom w:type="dxa" w:w="100"/>
              <w:right w:type="dxa" w:w="180"/>
            </w:tcMar>
          </w:tcPr>
          <w:p>
            <w:r>
              <w:rPr>
                <w:rFonts w:ascii="Arial" w:cs="Arial" w:eastAsia="Arial" w:hAnsi="Arial"/>
                <w:b/>
                <w:bCs/>
                <w:color w:val="FFFFFF"/>
                <w:sz w:val="26"/>
                <w:szCs w:val="26"/>
              </w:rPr>
              <w:t xml:space="preserve">Reviewer 2 Comments — Organized &amp; Formatted</w:t>
            </w:r>
          </w:p>
        </w:tc>
      </w:tr>
    </w:tbl>
    <w:p>
      <w:pPr>
        <w:spacing w:after="0" w:before="0"/>
      </w:pPr>
    </w:p>
    <w:p>
      <w:pPr>
        <w:spacing w:after="40" w:before="40"/>
      </w:pPr>
      <w:r>
        <w:rPr>
          <w:rFonts w:ascii="Arial" w:cs="Arial" w:eastAsia="Arial" w:hAnsi="Arial"/>
          <w:b/>
          <w:bCs/>
          <w:color w:val="17375E"/>
          <w:sz w:val="22"/>
          <w:szCs w:val="22"/>
        </w:rPr>
        <w:t xml:space="preserve">Journal: </w:t>
      </w:r>
      <w:r>
        <w:rPr>
          <w:rFonts w:ascii="Arial" w:cs="Arial" w:eastAsia="Arial" w:hAnsi="Arial"/>
          <w:sz w:val="22"/>
          <w:szCs w:val="22"/>
        </w:rPr>
        <w:t xml:space="preserve">BMC Medical Research Methodology</w:t>
      </w:r>
    </w:p>
    <w:p>
      <w:pPr>
        <w:spacing w:after="40" w:before="40"/>
      </w:pPr>
      <w:r>
        <w:rPr>
          <w:rFonts w:ascii="Arial" w:cs="Arial" w:eastAsia="Arial" w:hAnsi="Arial"/>
          <w:b/>
          <w:bCs/>
          <w:color w:val="17375E"/>
          <w:sz w:val="22"/>
          <w:szCs w:val="22"/>
        </w:rPr>
        <w:t xml:space="preserve">Total Comments: </w:t>
      </w:r>
      <w:r>
        <w:rPr>
          <w:rFonts w:ascii="Arial" w:cs="Arial" w:eastAsia="Arial" w:hAnsi="Arial"/>
          <w:sz w:val="22"/>
          <w:szCs w:val="22"/>
        </w:rPr>
        <w:t xml:space="preserve">12 (6 Major, 6 Minor)</w:t>
      </w:r>
    </w:p>
    <w:p>
      <w:pPr>
        <w:spacing w:after="40" w:before="40"/>
      </w:pPr>
      <w:r>
        <w:rPr>
          <w:rFonts w:ascii="Arial" w:cs="Arial" w:eastAsia="Arial" w:hAnsi="Arial"/>
          <w:b/>
          <w:bCs/>
          <w:color w:val="17375E"/>
          <w:sz w:val="22"/>
          <w:szCs w:val="22"/>
        </w:rPr>
        <w:t xml:space="preserve">Reviewer Summary: </w:t>
      </w:r>
      <w:r>
        <w:rPr>
          <w:rFonts w:ascii="Arial" w:cs="Arial" w:eastAsia="Arial" w:hAnsi="Arial"/>
          <w:sz w:val="22"/>
          <w:szCs w:val="22"/>
        </w:rPr>
        <w:t xml:space="preserve">Readability, terminology, literature gaps, figure clarity, and application section consistency</w:t>
      </w:r>
    </w:p>
    <w:p>
      <w:pPr>
        <w:spacing w:after="0" w:before="0"/>
      </w:pPr>
    </w:p>
    <w:p>
      <w:pPr>
        <w:spacing w:after="60" w:before="60"/>
      </w:pPr>
      <w:r>
        <w:rPr>
          <w:rFonts w:ascii="Arial" w:cs="Arial" w:eastAsia="Arial" w:hAnsi="Arial"/>
          <w:i/>
          <w:iCs/>
          <w:sz w:val="22"/>
          <w:szCs w:val="22"/>
        </w:rPr>
        <w:t xml:space="preserve">In this article, the authors use simulation studies to compare block stratified sampling and simple random sampling as methods to allocate clusters in a cluster randomized trial, considering spillover effects and spatial dependence. I was excited to read about this topic, but unfortunately, I was not enthusiastic about the manuscript as presented. It is very long, with a lot of detail about the methods that didn't translate into clear insights. I offer specific comments below.</w:t>
      </w:r>
    </w:p>
    <w:p>
      <w:pPr>
        <w:spacing w:after="0" w:before="0"/>
      </w:pPr>
    </w:p>
    <w:p>
      <w:pPr>
        <w:pBdr>
          <w:bottom w:val="single" w:color="2E75B6" w:sz="8"/>
        </w:pBdr>
        <w:spacing w:after="80" w:before="8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7375E" w:val="clear"/>
            <w:tcMar>
              <w:top w:type="dxa" w:w="100"/>
              <w:left w:type="dxa" w:w="180"/>
              <w:bottom w:type="dxa" w:w="100"/>
              <w:right w:type="dxa" w:w="180"/>
            </w:tcMar>
          </w:tcPr>
          <w:p>
            <w:r>
              <w:rPr>
                <w:rFonts w:ascii="Arial" w:cs="Arial" w:eastAsia="Arial" w:hAnsi="Arial"/>
                <w:b/>
                <w:bCs/>
                <w:color w:val="FFFFFF"/>
                <w:sz w:val="26"/>
                <w:szCs w:val="26"/>
              </w:rPr>
              <w:t xml:space="preserve">MAJOR COMMENTS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R2.1</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Paper Is Too Long — Move Technical Detail to Supplement</w:t>
            </w:r>
          </w:p>
        </w:tc>
        <w:tc>
          <w:tcPr>
            <w:tcW w:type="dxa" w:w="16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I would suggest the authors step back and figure out what can be moved to a supplement to enhance the readability. For example, the authors do need to define a normal density, or what variance is. Candidly, it was a slog to read, and the result is that the most important details get lost. What do you want the reader to take away?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Identify candidates for supplementary material: detailed derivations of spatial weights matrices (Eqs. 5–8), extended simulation procedure algorithm steps, and highly technical subsections of Section 2. Create a supplementary appendix. A separate short proposal document (Supplement_Proposal.docx) outlines specific recommendations for what to move. Review and approve before implementing in the LaTeX revision.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R2.2</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BSS Terminology Unclear — Add References (Line 223)</w:t>
            </w:r>
          </w:p>
        </w:tc>
        <w:tc>
          <w:tcPr>
            <w:tcW w:type="dxa" w:w="16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Relatedly, I think there was so much focus on the toy examples of a perfect 3×3 or 2×4 grid, that how it actually translates to real world circumstances is unclear. In particular, I struggled with the terminology "block stratified sampling." Line 223 could use more references. I'm only familiar with it in the context of blocks being groups (e.g., age, gender) to ensure balance as randomization proceeds. I typically think of it as blocks of a fixed size (e.g., 4 or 6) to ensure balance over time. Stratified random sampling where strata are defined by geography is quite common in CRCTs.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Add 2–3 references to geographic stratification in CRCTs near Line 223. Add an explicit definitional paragraph tying BSS to existing geographic stratification concepts: "This approach is analogous to stratified randomization in standard CRTs, where blocks are defined by geographic location rather than demographic covariates. The added constraint that no two intervention clusters share a common boundary is a spatial isolation condition intended to minimize cross-cluster spillover."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R2.3</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"No Common Edge Boundary" Condition — Novel or Standard?</w:t>
            </w:r>
          </w:p>
        </w:tc>
        <w:tc>
          <w:tcPr>
            <w:tcW w:type="dxa" w:w="16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Per the above, is the added condition of no common edge boundary standard, or added? Can you add references? Important to distinguish what is commonly done, ever done, or what is novel.</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Add a sentence or footnote explicitly stating which aspects of BSS are novel contributions versus adaptations of existing methods. The spatial isolation condition (no shared edges between same-treatment clusters) is a novel contribution. Geographic stratification itself is established. Contrast with McCann et al. (2018) (see R1.1) who address a related problem in a different methodological framework.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R2.4</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Figure 10 (NC Map) Described as BSS but Condition Not Satisfied</w:t>
            </w:r>
          </w:p>
        </w:tc>
        <w:tc>
          <w:tcPr>
            <w:tcW w:type="dxa" w:w="16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Not having a clear definition of block random sampling with regard to the treatment of edges made it difficult to understand the application to North Carolina. Figure 10 is described as block stratified sampling, but the border condition is not satisfied. Maybe I missed something, but this comes back to the text being so long, key concepts can get lost.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Add explicit language in Section 4.4 clarifying that the NC map is a best-effort BSS application in a real-world geography where the no-common-edge condition cannot always be fully satisfied given the non-regular district boundaries. State clearly: "In practice, investigators should minimize shared edges between same-treatment units as much as possible; Figure 10 illustrates this principle applied to NC judicial districts, noting that some adjacencies are unavoidable given the geographic structure." Reference back to the definition in Section 2.4.</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R2.5</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Figure 5 Unusual Appearance — Bias vs. Variance Not Clear</w:t>
            </w:r>
          </w:p>
        </w:tc>
        <w:tc>
          <w:tcPr>
            <w:tcW w:type="dxa" w:w="16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The simulation results in Figure 5 have a funny appearance that I don't think is well described. Which of this is bias, which is variance? Because there are some unusual patterns.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Expand the caption for Figure 5 (and Figures 6–7) to explicitly explain what the box plot elements represent in this context: the box spread represents variance of MSE estimates across treatment combinations; the central line reflects median MSE; outlier points represent SRS combinations with unusually high or low MSE. Add a sentence in Section 3.3 (Simulation Evaluation Metrics) linking MSE components (bias and variance) to their visual representation in the figures.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R2.6</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Missing Covariate Constrained Randomization Literature</w:t>
            </w:r>
          </w:p>
        </w:tc>
        <w:tc>
          <w:tcPr>
            <w:tcW w:type="dxa" w:w="1600"/>
            <w:tcBorders>
              <w:top w:val="none"/>
              <w:left w:val="none"/>
              <w:bottom w:val="none"/>
              <w:right w:val="none"/>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The paper is missing some key background literature. Especially with these small units, why is there no description of covariate constrained randomization? https://journals.sagepub.com/doi/10.1177/17407745231160556 as one example.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Add 2–3 sentences in the Introduction or Section 2.4 discussing covariate constrained randomization (e.g., Li et al. 2023 and related references). Distinguish BSS from covariate-constrained methods: BSS uses spatial position (no shared edges) as the constraint, not covariate balance. Note that covariate constrained randomization is a complementary approach that could in principle be combined with BSS.</w:t>
            </w:r>
          </w:p>
        </w:tc>
      </w:tr>
    </w:tbl>
    <w:p>
      <w:pPr>
        <w:spacing w:after="0" w:before="0"/>
      </w:pPr>
    </w:p>
    <w:p>
      <w:pPr>
        <w:pBdr>
          <w:bottom w:val="single" w:color="2E75B6" w:sz="8"/>
        </w:pBdr>
        <w:spacing w:after="80" w:before="8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100"/>
              <w:left w:type="dxa" w:w="180"/>
              <w:bottom w:type="dxa" w:w="100"/>
              <w:right w:type="dxa" w:w="180"/>
            </w:tcMar>
          </w:tcPr>
          <w:p>
            <w:r>
              <w:rPr>
                <w:rFonts w:ascii="Arial" w:cs="Arial" w:eastAsia="Arial" w:hAnsi="Arial"/>
                <w:b/>
                <w:bCs/>
                <w:color w:val="FFFFFF"/>
                <w:sz w:val="26"/>
                <w:szCs w:val="26"/>
              </w:rPr>
              <w:t xml:space="preserve">MINOR COMMENTS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R2.M1</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Line 143: "Prevention" Should Be "Limitation/Reduction"</w:t>
            </w:r>
          </w:p>
        </w:tc>
        <w:tc>
          <w:tcPr>
            <w:tcW w:type="dxa" w:w="1600"/>
            <w:tcBorders>
              <w:top w:val="none"/>
              <w:left w:val="none"/>
              <w:bottom w:val="none"/>
              <w:right w:val="none"/>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Line 143: Prevention of treatment contamination may be too strong. It limits contamination, but does not prevent (hence the rest of the paper).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Edit Line 143: change "prevention of treatment contamination" to "limitation of treatment contamination" or "reduction of treatment contamination risk."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R2.M2</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Line 184: "Direct Effect" Should Be "Total Effect" per Halloran et al.</w:t>
            </w:r>
          </w:p>
        </w:tc>
        <w:tc>
          <w:tcPr>
            <w:tcW w:type="dxa" w:w="1600"/>
            <w:tcBorders>
              <w:top w:val="none"/>
              <w:left w:val="none"/>
              <w:bottom w:val="none"/>
              <w:right w:val="none"/>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Line 184: A quibble that what the authors call a direct effect is not a proper direct effect. In the vaccine literature of Halloran et al, this is called a total effect because it captures both the direct effect to the treated individual AND the indirect effect to the treated individual by virtue of them being around other treated individuals. CRTs do not directly measure the individual-level direct effect by virtue of being CRTs.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At Line 184, add a parenthetical or footnote: "(Note: following Halloran et al., this is technically a 'total effect' as it captures both the direct effect on the treated individual and the indirect effect from being surrounded by other treated individuals; we use the term 'intervention effect' throughout to avoid conflation.)" Alternatively, adopt Halloran et al. terminology consistently.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R2.M3</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Figure 2b: Missing Arrows from Upper Right Red Block</w:t>
            </w:r>
          </w:p>
        </w:tc>
        <w:tc>
          <w:tcPr>
            <w:tcW w:type="dxa" w:w="1600"/>
            <w:tcBorders>
              <w:top w:val="none"/>
              <w:left w:val="none"/>
              <w:bottom w:val="none"/>
              <w:right w:val="none"/>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Figure 2b is not clear. Why are there not arrows extending from the upper right red block? Consider lengthening the caption to explain.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Update Figure 2b so that arrows extend from the upper-right intervention cell to its neighbors, consistent with the other cells. Lengthen the caption to explain the directionality of spillover arrows and why certain cells may not have outgoing arrows (e.g., no eligible neighbors, or to illustrate a specific spillover scenario).</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R2.M4</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Chessboard Pattern May MAXIMIZE Spillover Exposure</w:t>
            </w:r>
          </w:p>
        </w:tc>
        <w:tc>
          <w:tcPr>
            <w:tcW w:type="dxa" w:w="1600"/>
            <w:tcBorders>
              <w:top w:val="none"/>
              <w:left w:val="none"/>
              <w:bottom w:val="none"/>
              <w:right w:val="none"/>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Doesn't this chess board type pattern MAXIMIZE potential spillover? By ensuring all intervention clusters are surrounded on all sides?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Acknowledge this apparent paradox in the text (likely in Section 2.4 or Section 5): the BSS "checkerboard" pattern does maximize the number of intervention-control borders, but this is intentional — it maximizes geographic separation between intervention clusters (no two intervention clusters share a border), which minimizes inter-intervention spillover amplification and creates a cleaner causal contrast. The TrtSpill vs. TrtNoSpill conditions in the simulation directly explore how this affects MSE.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R2.M5</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Line 272: Y_ik Notation Unclear</w:t>
            </w:r>
          </w:p>
        </w:tc>
        <w:tc>
          <w:tcPr>
            <w:tcW w:type="dxa" w:w="1600"/>
            <w:tcBorders>
              <w:top w:val="none"/>
              <w:left w:val="none"/>
              <w:bottom w:val="none"/>
              <w:right w:val="none"/>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Line 272. Y_ik?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Review Line 272 and clarify the Y_ik notation. Ensure subscript definitions are consistent with the model description in Section 2.5. If the subscript k is introduced here for the first time, define it explicitly: "where y_ik is the outcome for subject i in cluster 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left w:val="none"/>
              <w:bottom w:val="none"/>
              <w:right w:val="none"/>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R2.M6</w:t>
            </w:r>
          </w:p>
        </w:tc>
        <w:tc>
          <w:tcPr>
            <w:tcW w:type="dxa" w:w="6560"/>
            <w:tcBorders>
              <w:top w:val="none"/>
              <w:left w:val="none"/>
              <w:bottom w:val="none"/>
              <w:right w:val="none"/>
            </w:tcBorders>
            <w:shd w:fill="F2F2F2" w:val="clear"/>
            <w:tcMar>
              <w:top w:type="dxa" w:w="80"/>
              <w:left w:type="dxa" w:w="160"/>
              <w:bottom w:type="dxa" w:w="80"/>
              <w:right w:type="dxa" w:w="120"/>
            </w:tcMar>
          </w:tcPr>
          <w:p>
            <w:r>
              <w:rPr>
                <w:rFonts w:ascii="Arial" w:cs="Arial" w:eastAsia="Arial" w:hAnsi="Arial"/>
                <w:b/>
                <w:bCs/>
                <w:color w:val="1F3864"/>
                <w:sz w:val="22"/>
                <w:szCs w:val="22"/>
              </w:rPr>
              <w:t xml:space="preserve">Line 274: How is Z_i Determined?</w:t>
            </w:r>
          </w:p>
        </w:tc>
        <w:tc>
          <w:tcPr>
            <w:tcW w:type="dxa" w:w="1600"/>
            <w:tcBorders>
              <w:top w:val="none"/>
              <w:left w:val="none"/>
              <w:bottom w:val="none"/>
              <w:right w:val="none"/>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MINOR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2E75B6" w:val="clear"/>
          </w:tcPr>
          <w:p/>
        </w:tc>
        <w:tc>
          <w:tcPr>
            <w:tcW w:type="dxa" w:w="9160"/>
            <w:tcBorders>
              <w:top w:val="none"/>
              <w:left w:val="none"/>
              <w:bottom w:val="none"/>
              <w:right w:val="none"/>
            </w:tcBorders>
            <w:shd w:fill="D9E2F3" w:val="clear"/>
            <w:tcMar>
              <w:top w:type="dxa" w:w="100"/>
              <w:left w:type="dxa" w:w="180"/>
              <w:bottom w:type="dxa" w:w="100"/>
              <w:right w:type="dxa" w:w="180"/>
            </w:tcMar>
          </w:tcPr>
          <w:p>
            <w:r>
              <w:rPr>
                <w:rFonts w:ascii="Arial" w:cs="Arial" w:eastAsia="Arial" w:hAnsi="Arial"/>
                <w:i/>
                <w:iCs/>
                <w:color w:val="1F3864"/>
                <w:sz w:val="21"/>
                <w:szCs w:val="21"/>
              </w:rPr>
              <w:t xml:space="preserve">Line 274: How is Zi determined? In plain speech, what does it mean "can experience any spillover effect?"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5623" w:val="clear"/>
          </w:tcPr>
          <w:p/>
        </w:tc>
        <w:tc>
          <w:tcPr>
            <w:tcW w:type="dxa" w:w="9160"/>
            <w:tcBorders>
              <w:top w:val="none"/>
              <w:left w:val="none"/>
              <w:bottom w:val="none"/>
              <w:right w:val="none"/>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ACTION NOTE: </w:t>
            </w:r>
            <w:r>
              <w:rPr>
                <w:rFonts w:ascii="Arial" w:cs="Arial" w:eastAsia="Arial" w:hAnsi="Arial"/>
                <w:color w:val="375623"/>
                <w:sz w:val="21"/>
                <w:szCs w:val="21"/>
              </w:rPr>
              <w:t xml:space="preserve">Add a plain-language explanation at Line 274: "z_i is a binary indicator equal to 1 if subject i is located in a cluster that is a rook neighbor of any intervention cluster [and, for the Control Only spillover type, subject i is in a control cluster], and 0 otherwise. Subjects with z_i = 1 are considered to 'experience' the spillover effect ψ."</w:t>
            </w:r>
          </w:p>
        </w:tc>
      </w:tr>
    </w:tbl>
    <w:p>
      <w:pPr>
        <w:spacing w:after="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2026-03-28T22:15:43.700Z</dcterms:created>
  <dcterms:modified xsi:type="dcterms:W3CDTF">2026-03-28T22:15:43.700Z</dcterms:modified>
</cp:coreProperties>
</file>

<file path=docProps/custom.xml><?xml version="1.0" encoding="utf-8"?>
<Properties xmlns="http://schemas.openxmlformats.org/officeDocument/2006/custom-properties" xmlns:vt="http://schemas.openxmlformats.org/officeDocument/2006/docPropsVTypes"/>
</file>