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5496"/>
          <w:sz w:val="32"/>
          <w:szCs w:val="32"/>
        </w:rPr>
        <w:t xml:space="preserve">Response to Reviewers</w:t>
      </w:r>
    </w:p>
    <w:p>
      <w:pPr>
        <w:spacing w:after="80"/>
        <w:jc w:val="center"/>
      </w:pPr>
      <w:r>
        <w:rPr>
          <w:rFonts w:ascii="Arial" w:cs="Arial" w:eastAsia="Arial" w:hAnsi="Arial"/>
          <w:b/>
          <w:bCs/>
          <w:color w:val="444444"/>
          <w:sz w:val="22"/>
          <w:szCs w:val="22"/>
        </w:rPr>
        <w:t xml:space="preserve">Spatial Cluster Randomized Trials — Sampling Design with Spillover Effects &amp; Spatial Dependence</w:t>
      </w:r>
    </w:p>
    <w:p>
      <w:pPr>
        <w:spacing w:after="80"/>
        <w:jc w:val="center"/>
      </w:pPr>
      <w:r>
        <w:rPr>
          <w:rFonts w:ascii="Arial" w:cs="Arial" w:eastAsia="Arial" w:hAnsi="Arial"/>
          <w:b/>
          <w:bCs/>
          <w:color w:val="555555"/>
          <w:sz w:val="20"/>
          <w:szCs w:val="20"/>
        </w:rPr>
        <w:t xml:space="preserve">BMC Medical Research Methodology — First Revision</w:t>
      </w:r>
    </w:p>
    <w:p>
      <w:pPr>
        <w:spacing w:after="80"/>
        <w:jc w:val="center"/>
      </w:pPr>
      <w:r>
        <w:rPr>
          <w:rFonts w:ascii="Arial" w:cs="Arial" w:eastAsia="Arial" w:hAnsi="Arial"/>
          <w:color w:val="333333"/>
          <w:sz w:val="20"/>
          <w:szCs w:val="20"/>
        </w:rPr>
        <w:t xml:space="preserve">Andrew Walther, Tonya Van Deinse, Feng-Chang Lin</w:t>
      </w:r>
    </w:p>
    <w:p>
      <w:pPr>
        <w:spacing w:after="200"/>
        <w:jc w:val="center"/>
      </w:pPr>
      <w:r>
        <w:rPr>
          <w:rFonts w:ascii="Arial" w:cs="Arial" w:eastAsia="Arial" w:hAnsi="Arial"/>
          <w:color w:val="333333"/>
          <w:sz w:val="20"/>
          <w:szCs w:val="20"/>
        </w:rPr>
        <w:t xml:space="preserve">April 2026</w:t>
      </w:r>
    </w:p>
    <w:p>
      <w:pPr>
        <w:spacing w:after="120"/>
      </w:pPr>
      <w:r>
        <w:rPr>
          <w:rFonts w:ascii="Arial" w:cs="Arial" w:eastAsia="Arial" w:hAnsi="Arial"/>
          <w:sz w:val="20"/>
          <w:szCs w:val="20"/>
        </w:rPr>
        <w:t xml:space="preserve">Dear Editors and Reviewers,</w:t>
      </w:r>
    </w:p>
    <w:p>
      <w:pPr>
        <w:spacing w:after="240"/>
      </w:pPr>
      <w:r>
        <w:rPr>
          <w:rFonts w:ascii="Arial" w:cs="Arial" w:eastAsia="Arial" w:hAnsi="Arial"/>
          <w:sz w:val="20"/>
          <w:szCs w:val="20"/>
        </w:rPr>
        <w:t xml:space="preserve">We sincerely thank the Editor and both Reviewers for their thorough and constructive feedback. The comments have helped us substantially strengthen the manuscript. We have carefully addressed each point below, with all changes implemented in the revised manuscript file (Revisions_V1.tex). The original main.tex has been left unmodified for reference. Below we describe each change in detail, including the section location, line numbers in the revised file, and the opening text of each changed passage to facilitate cross-referencing with the annotated manuscript (Revisions_Annotated_V1.pdf, where all new or revised text is highlighted in red). Further, an “Annotation Reference Guide” is included following the response to each comment to specifically note revision locations (line numbers), the revision made, and strings of text to help with locating revisions in the body of the text (specifically the .tex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2"/>
                <w:szCs w:val="22"/>
              </w:rPr>
              <w:t xml:space="preserve">EDITOR COMMENTS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E1 — Declarations Section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declarations section does not conform to BMC Medical Research Methodology formatting. The journal requires a formal Declarations section with seven subsections: Ethics Approval and Consent to Participate; Consent for Publication; Availability of Data and Materials; Competing Interests; Funding; Authors’ Contributions; Acknowledgements.</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Restructured the entire back-matter under a single Declarations heading with all 7 required BMC subsections: Ethics Approval, Consent for Publication, Data Availability, Competing Interests, Funding, Authors’ Contributions, and Acknowledgements. The previous scattered subsection entries have been consolidated. Note: as part of post-review editorial revisions, the sentence “Summarized findings are included in Tables 1–3.” has also been removed from the Data Availability subsection, as it is redundant with the manuscript body.</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∼1266–1292</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“\section*{Declarations}”</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2"/>
                <w:szCs w:val="22"/>
              </w:rPr>
              <w:t xml:space="preserve">REVIEWER 1 COMMENTS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R1.1 — BSS Literature and McCann et al. (2018)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 key reference is missing: McCann et al. (2018) describes an algorithm for sampling and randomization of clusters to reduce spillover risk in CRTs. Differences and similarities with that work need to be discussed.</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McCann et al. (2018) to the reference list and added a new paragraph contextualizing BSS relative to existing work. The paragraph cites McCann et al. (2018) as an example of spatially stratified allocation in field trials and explicitly states that the formal comparison of SRS vs. BSS under a SAR model with simultaneous spillover effects — and the exhaustive enumeration approach — is a novel contribution not present in prior literature. Note: as part of post-review editorial revisions, these two paragraphs were relocated from Section 2.4 (Methods) to Section 5.1 ‘Relevance of Results’ (Discussion), where they better contextualize the study’s contributions relative to prior work. They appear in red in the annotated manuscript in that location.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Discussion, Section 5.1 ‘Relevance of Results’ (relocated from Section 2.4 in Methods; see Post-Review Editorial Revisions below).</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Now in Discussion §5.1 (relocated)</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“The spatial separation principle underlying BSS has antecedents in spatially balanced experimental designs.”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R1.2 — Distinguishing ρ (nuisance) from ψ (causal spillover)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manuscript does not clearly distinguish between the spatial autocorrelation parameter ρ (a nuisance background parameter) and the spillover effect ψ (a causal design-level estimand). This distinction should be explained and collinearity limitations addressed.</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Two additions were made: (1) A new paragraph was inserted before Section 2.6 explicitly distinguishing ρ as background nuisance spatial correlation from ψ as a causal spillover estimand, including consequences of failing to include both in the model. (2) Section 5.2 (Limitations) expands the collinearity note to clarify the identification challenge when both ρ and ψ are large. Note: as a post-review editorial revision, the sentence opening “Before describing the spatial weights matrix,” has been removed; the paragraph now begins directly with “It is important to clarify the conceptual distinction…”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New paragraph before Section 2.6 (Spatial Dependence); expanded collinearity notes in Section 5.2 (Limitations).</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∼538–553</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“It is important to clarify the conceptual distinction between two spatial quantities in this model…”</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R1.3 — Inferential Scope Clarification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It is unclear how one can have valid frequentist inference for BSS models with only 2 possible allocations. The inferential scope of the simulation needs to be stated clearly.</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new paragraph before Section 3.2 clarifying that: (1) BSS is a design-stage tool evaluated through exhaustive enumeration, not a randomization distribution for permutation inference; (2) model-based inference via SAR MLE (specifically the lagsarlm() R function) is the appropriate framework for practitioners; (3) the simulation characterizes estimator performance across the full design space. An inference constraint note was also added to Section 5.2. Note: as post-review editorial revisions, the sentence “Before describing the simulation procedure, it is important to clarify the inferential scope of this study.” was removed (paragraph now begins “BSS is fundamentally a design-stage tool…”), and “lagsarlm()” was updated to specify “lagsarlm() R function” for clarity.</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New paragraph before Section 3.2 (Simulation Procedure); additional note in Section 5.2 (Limitations).</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∼669–681</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“BSS is fundamentally a design-stage tool: the set of valid BSS allocations is determined prior to data collection…”</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R1.4 — McCann et al. (2018) Discussion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McCann et al. (2018) should be cited and discussed in relation to the BSS approach.</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Addressed as part of R1.1. McCann et al. (2018) is cited in the BSS novelty paragraph relocated to Discussion §5.1. The paragraph notes the connection to spatially stratified allocation and clarifies how the current work extends that framework into SAR modeling with explicit spillover.</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See R1.1. Discussion, Section 5.1 ‘Relevance of Results’.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R1.5 — Risk-Management Framing for Results (Sections 3.4–3.6)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Sections 3.4, 3.5, and 3.6 claim BSS is generally superior in terms of MSE, which is not supported by the data. The framing needs to reflect a balanced risk-management perspective distinguishing average MSE from variance across allocations.</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All three results sections were rewritten. The new framing distinguishes between (a) average MSE across allocations and (b) SD of MSE across allocations. Core message: SRS can achieve a lower average MSE in certain regimes (particularly TrtSpill), but BSS bounds the worst-case allocation risk through near-zero SD (only 2–6 valid allocations). Specific numerical examples from Tables 1–3 are cited in both directions. The 3×4 TrtSpill anomaly (BSS MSE &gt; SRS MSE with ρ=0.01) is explained as the ‘checkerboard paradox’ and cross-referenced to the Discussion.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Sections 3.4, 3.5, and 3.6 (Intervention Effect Estimates: 2×4, 3×3, and 3×4 grids). Cross-reference to Section 5.1.</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∼763–775 (2×4); ∼986–996 (3×4)</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“…reveal a risk-management trade-off between SRS and BSS rather than a uniform advantage for either method…”</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R1.6 — Minor Text Edit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Minor wording issue in the methods section.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Addressed via the ρ vs. ψ distinction added in R1.2. The new paragraph clarifies the conceptual separation of these two spatial quantities throughout Section 2.5–2.6.</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See R1.2. New paragraph before Section 2.6.</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R1.7 — Boundary-Level Spillover Limitation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model applies spillover at the cluster level uniformly. In practice, subjects near cluster boundaries may experience stronger spillover than those near the center. This limitation should be acknowledged.</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new paragraph to Section 5.2 (Limitations) explicitly noting the cluster-level uniformity limitation: all subjects in a cluster receive the same binary spillover indicator regardless of their position within the cluster. Future work exploring boundary-level or subject-level spillover mechanisms is suggested.</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New paragraph in Section 5.2 (Limitations).</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∼1220–1222</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“An additional notable limitation is the rudimentary spillover mechanism (binary effect) applied…”</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R1.8 — Inference Constraint Note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paper should address the inference constraint that arises from the restricted BSS randomization space.</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Addressed as part of R1.3. A brief note on the inference constraint under BSS (very limited randomization space precludes permutation-based testing) was added to Section 5.2 Limitations.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5.2 (Limitations). See R1.3.</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∼1224–1228</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“Because this study evaluates estimator properties through exhaustive enumeration of all possible treatment allocations…”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R1.9 — BSS Variance Across Allocations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The discussion of BSS performance should acknowledge that the very small number of BSS allocations makes variance estimation and interpretation different from SRS.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Addressed as part of the risk-management rewrite in R1.5. Sections 3.4–3.6 now explicitly discuss BSS SD across allocations as a key design consideration, noting that the 2–6 valid BSS allocations produce near-zero allocation variance, which bounds worst-case performance.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See R1.5. Sections 3.4, 3.5, 3.6.</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2"/>
                <w:szCs w:val="22"/>
              </w:rPr>
              <w:t xml:space="preserve">REVIEWER 2 COMMENTS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R2.1 — Move Technical Content to Supplementary Appendix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manuscript is dense with mathematical derivations and procedural detail that impede readability. Consider moving some technical content to a supplementary appendix.</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Five blocks of content were moved to new appendices (Appendices A–E in Revisions_V1.tex), with bridging notes in the main text: (A) Spatial weights matrix equations from §2.6; (B) Full SAR log-likelihood derivation from §2.7; (C) Complete 8-step simulation algorithm from §3.2; (D) Moran’s I and Geary’s C formulas from §2.6; (E) Distance-based neighbor construction from §2.2.2. Each bridging note retains a conceptual description and directs the reader to the appendix.</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Appendices A–E (end of manuscript, after Bibliography). Bridging notes in Sections 2.2, 2.6, 2.7, 3.2.</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∼1298–1453 (Appendices A–E, entirely new)</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“Lines 1298–1453 are entirely new in Revisions_V1.tex (did not exist in main.tex)”</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R2.2 — Additional References for BSS Terminology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term ‘block stratified sampling’ is unfamiliar in the context used. More references are needed and the connection to standard geographic stratification in CRTs should be made explicit.</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Two additions were made. First, a sentence with geographic stratification citations was added at the BSS definition in Section 2.4.1, connecting BSS to the broader literature on geographic stratification in CRTs (McCann et al. 2018; Crisp et al. 2023). The sentence explicitly notes that the spatial isolation condition (no shared Rook edges) is a novel constraint. Second, a novelty paragraph further elaborates on how this work extends prior spatially balanced allocation approaches. Note: these novelty paragraphs were subsequently relocated to Discussion §5.1 (see R1.1 and Post-Review Editorial Revisions).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2.4.1 BSS description (citations added). Novelty paragraphs relocated to Discussion §5.1.</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∼356–372 (BSS description)</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“Block stratified sampling ensures a balanced number of intervention and control cells are selected, with the added condition…”</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R2.3 — Clarify BSS Novelty vs. Established Methods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Is the no-common-edge-boundary condition novel or standard? References and explicit clarification of what is adapted from prior work are needed.</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The BSS novelty paragraph explicitly states that geographic stratification is established in the CRT literature, but that the comparison of SRS vs. BSS under a SAR model with explicit spillover effects — and the exhaustive enumeration of the full design space — is a novel contribution. The spatial isolation condition (no shared edges between same-treatment clusters) is identified as novel. McCann et al. (2018) and Crisp et al. (2023) are cited as related but methodologically distinct work.</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See R1.1/R2.2. Discussion, Section 5.1 (relocated).</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R2.4 — Best-Effort BSS in Real-World NC Application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Figure 10 is described as BSS but the no-common-edge condition is not fully satisfied. The text should clarify that real-world geographies require a best-effort approach.</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explicit language at the end of Section 4.4 clarifying that Figure 10 represents a ‘best-effort’ block stratification for the NC judicial district geography, where irregular shapes and varying numbers of shared borders mean the strict no-common-edge criterion cannot always be satisfied. Investigators are advised to minimize shared borders and document deviations from the ideal. Note: as a post-review editorial revision, ‘Block Stratification sampling’ was corrected to ‘block stratified sampling’ in this paragraph.</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4.4 (Recommendations for Treatment Assignment), end of application paragraph.</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∼1189–1201</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“…represents a ‘best-effort’ block stratification: the assignment minimizes shared borders between same-treatment districts…”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R2.5 — MSE = Bias² + Variance Decomposition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Figure 5 has an unusual appearance. Which patterns reflect bias versus variance? The MSE decomposition should be made explicit.</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sentence to Section 3.3 (Simulation Evaluation Metrics) stating that MSE = Bias² + Variance, so differences in MSE between SRS and BSS can be attributed to either systematic bias or sampling variability across allocations, and that this decomposition is visually apparent in the grouped bar figures throughout the Results section.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3.3 (Simulation Evaluation Metrics).</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∼756–757</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“Since MSE = Bias² + Variance, differences in MSE between SRS and BSS can be attributed to either systematic bias or sampling variability…”</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R2.6 — Covariate-Constrained Randomization Literature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paper is missing key background literature on covariate-constrained randomization. The absence of any description of covariate-constrained randomization is notable. Crisp et al. (2023) is one example.</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paragraph discussing covariate-constrained randomization. The paragraph cites Crisp et al. (2023) and explicitly distinguishes BSS from covariate-constrained approaches: BSS restricts allocations based on spatial adjacency (no shared Rook edges), whereas covariate-constrained randomization restricts based on measured covariate balance. The two approaches are noted as complementary, with covariate-balance extensions suggested as future work. Note: as a post-review editorial revision, this paragraph was relocated to Discussion §5.1 (see R1.1 and Post-Review Editorial Revisions).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Discussion, Section 5.1 ‘Relevance of Results’ (relocated from Methods §2.4).</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Now in Discussion §5.1 (relocated)</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“A related line of work concerns covariate-constrained randomization, in which the set of eligible allocations is restricted to those achieving covariate balance…”</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R2.7 — ‘Prevention’ → ‘Limitation’ of Treatment Contamination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‘Prevention of treatment contamination’ is too strong — CRTs limit contamination, they do not prevent it entirely.</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Changed ‘prevention of treatment contamination’ to ‘limitation of treatment contamination’ in Section 2.1.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2.1 (Cluster Randomized Trials), first substantive paragraph.</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R2.8 — Direct vs. Total Effect Clarification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What the authors call a ‘direct effect’ is technically a ‘total effect’ per Halloran et al., as it captures both direct and indirect effects for treated individuals in CRTs.</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clarifying parenthetical at the end of the intervention effect definition in Section 2.3.1: when spillover propagates back into intervention clusters (TrtSpill), the estimated β captures elements of both direct and indirect effects and is more precisely interpreted as a total treatment effect.</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2.3.1 (Intervention Effect definition).</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∼283</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“…in such scenarios β̂ may capture elements of both the direct intervention effect and the indirect spillover…”</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R2.9 — Figure 2b Arrow Direction and Caption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Figure 2b is not clear. Why are there no arrows from the upper-right red block? The caption should be lengthened to explain spillover directionality.</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Two corrections were made. First, the Figure 2 image was corrected: the top row panel (b) had intervention (red) and control (blue) cells swapped. The colors have been fixed so that panel (b) correctly depicts the TrtSpill pattern. Second, the caption was updated to explicitly describe spillover directionality: panel (a) TrtNoSpill shows arrows flowing only from intervention cells into neighboring control cells; panel (b) TrtSpill shows arrows flowing into both control and intervention neighbors.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Figure 2 image (TrtSpillComparisonV2.png) corrected; Figure 2 caption updated.</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∼347–349</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“(a) TrtNoSpill: spillover arrows flow outward from intervention cells (red) into neighboring control cells (blue) only…”</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R2.10 — Checkerboard Paradox in Discussion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Doesn’t the checkerboard pattern maximize potential spillover by surrounding all intervention clusters on all sides? This apparent paradox should be acknowledged.</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Added a paragraph to Section 5.1 naming and explaining the ‘checkerboard paradox’: BSS’s spatial isolation feature becomes a liability under TrtSpill + ρ &gt; 0 because every intervention cluster is surrounded exclusively by control neighbors, amplifying spillover-induced bias. Recommendation: consider prior knowledge of the spillover mechanism when choosing between SRS and BSS.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Section 5.1 (Relevance of Results), new paragraph.</w:t>
            </w:r>
          </w:p>
          <w:p>
            <w:pPr>
              <w:spacing w:after="80"/>
            </w:pPr>
            <w:r>
              <w:rPr>
                <w:rFonts w:ascii="Arial" w:cs="Arial" w:eastAsia="Arial" w:hAnsi="Arial"/>
                <w:b/>
                <w:bCs/>
                <w:sz w:val="20"/>
                <w:szCs w:val="20"/>
              </w:rPr>
              <w:t xml:space="preserve">Lines: </w:t>
            </w:r>
            <w:r>
              <w:rPr>
                <w:rFonts w:ascii="Arial" w:cs="Arial" w:eastAsia="Arial" w:hAnsi="Arial"/>
                <w:sz w:val="20"/>
                <w:szCs w:val="20"/>
              </w:rPr>
              <w:t xml:space="preserve">Revisions_V1.tex: ∼1212–1218</w:t>
            </w:r>
          </w:p>
          <w:p>
            <w:pPr>
              <w:spacing w:after="80"/>
            </w:pPr>
            <w:r>
              <w:rPr>
                <w:rFonts w:ascii="Arial" w:cs="Arial" w:eastAsia="Arial" w:hAnsi="Arial"/>
                <w:b/>
                <w:bCs/>
                <w:sz w:val="20"/>
                <w:szCs w:val="20"/>
              </w:rPr>
              <w:t xml:space="preserve">Starts with: </w:t>
            </w:r>
            <w:r>
              <w:rPr>
                <w:rFonts w:ascii="Arial" w:cs="Arial" w:eastAsia="Arial" w:hAnsi="Arial"/>
                <w:sz w:val="20"/>
                <w:szCs w:val="20"/>
              </w:rPr>
              <w:t xml:space="preserve">“An important nuance observed in the 3×4 simulation results warrants attention in the context of practical design recommendations…”</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R2.11 — Yᵢₖ Notation Clarification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Yᵢₖ notation uses dual subscripts (i = subject, k = cluster) but the description ‘k and k prime are different cluster indices’ is confusing.</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Revised notation description to: ‘where i indexes individual subjects, k denotes the cluster to which subject i belongs, k’ indexes a neighboring cluster, ρ is the spatial correlation coefficient, and εᵢ is an i.i.d. error term.’</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2.5 (SAR Model), below Equation 1.</w:t>
            </w:r>
          </w:p>
        </w:tc>
      </w:tr>
    </w:tbl>
    <w:p>
      <w:pPr>
        <w:spacing w:after="60"/>
      </w:pPr>
      <w:r>
        <w:rPr>
          <w:rFonts w:ascii="Arial" w:cs="Arial" w:eastAsia="Arial" w:hAnsi="Arial"/>
          <w:sz w:val="20"/>
          <w:szCs w:val="20"/>
        </w:rPr>
        <w:t xml:space="preserve"/>
      </w:r>
    </w:p>
    <w:p>
      <w:pPr>
        <w:spacing w:after="60" w:before="200"/>
      </w:pPr>
      <w:r>
        <w:rPr>
          <w:rFonts w:ascii="Arial" w:cs="Arial" w:eastAsia="Arial" w:hAnsi="Arial"/>
          <w:b/>
          <w:bCs/>
          <w:sz w:val="22"/>
          <w:szCs w:val="22"/>
        </w:rPr>
        <w:t xml:space="preserve">R2.12 — Zᵢ Indicator Explanation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Comment</w:t>
            </w:r>
          </w:p>
        </w:tc>
        <w:tc>
          <w:tcPr>
            <w:tcW w:type="dxa" w:w="45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Author Response</w:t>
            </w:r>
          </w:p>
        </w:tc>
        <w:tc>
          <w:tcPr>
            <w:tcW w:type="dxa" w:w="240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&amp; Evidence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How is zᵢ determined? What does ‘can experience any spillover effect’ mean in plain language?</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Updated the definition to: ‘zᵢ is an indicator of whether subject i belongs to a cluster that is a Rook neighbor of at least one intervention cluster, making that subject eligible to receive spillover.’</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2.5 (SAR Model), paragraph defining all model terms.</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2"/>
                <w:szCs w:val="22"/>
              </w:rPr>
              <w:t xml:space="preserve">POST-REVIEW EDITORIAL REVISIONS</w:t>
            </w:r>
          </w:p>
        </w:tc>
      </w:tr>
    </w:tbl>
    <w:p>
      <w:pPr>
        <w:spacing w:after="60"/>
      </w:pPr>
      <w:r>
        <w:rPr>
          <w:rFonts w:ascii="Arial" w:cs="Arial" w:eastAsia="Arial" w:hAnsi="Arial"/>
          <w:sz w:val="20"/>
          <w:szCs w:val="20"/>
        </w:rPr>
        <w:t xml:space="preserve"/>
      </w:r>
    </w:p>
    <w:p>
      <w:pPr>
        <w:spacing w:after="140"/>
      </w:pPr>
      <w:r>
        <w:rPr>
          <w:rFonts w:ascii="Arial" w:cs="Arial" w:eastAsia="Arial" w:hAnsi="Arial"/>
          <w:sz w:val="20"/>
          <w:szCs w:val="20"/>
        </w:rPr>
        <w:t xml:space="preserve">In addition to the 22 changes described above, the following six editorial improvements were made to the revised manuscript. These changes address clarity, terminology, and document flow issues identified during the revision process. Each is noted in the annotated manuscript (Revisions_Annotated_V1.pdf)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Edit</w:t>
            </w:r>
          </w:p>
        </w:tc>
        <w:tc>
          <w:tcPr>
            <w:tcW w:type="dxa" w:w="5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Description</w:t>
            </w:r>
          </w:p>
        </w:tc>
        <w:tc>
          <w:tcPr>
            <w:tcW w:type="dxa" w:w="32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in Manuscript</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Edit 1</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Relocated the BSS novelty paragraph (McCann et al. 2018) and the covariate-constrained randomization paragraph from the end of Methods §2.4.3 to Discussion §5.1 ‘Relevance of Results’, where they more naturally contextualize the study’s contributions. Both paragraphs remain highlighted in red in the annotated PDF at their new location.</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Removed from: Methods §2.4.3 (3×4 Grid). Added to: Discussion §5.1 (after opening paragraph, before ‘Our findings show…’).</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Edit 2</w:t>
            </w:r>
          </w:p>
        </w:tc>
        <w:tc>
          <w:tcPr>
            <w:tcW w:type="dxa" w:w="54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Removed the forward-referencing opener ‘Before describing the spatial weights matrix,’ from the start of the ρ vs. ψ distinction paragraph (R1.2). Paragraph now begins directly with ‘It is important to clarify the conceptual distinction…’</w:t>
            </w:r>
          </w:p>
        </w:tc>
        <w:tc>
          <w:tcPr>
            <w:tcW w:type="dxa" w:w="32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Before Section 2.6 (Spatial Dependence). R1.2 paragraph.</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Edit 3</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Removed the forward-referencing opening sentence ‘Before describing the simulation procedure, it is important to clarify the inferential scope of this study.’ from the R1.3 paragraph. The paragraph now opens directly with ‘BSS is fundamentally a design-stage tool…’</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Before Section 3.2 (Simulation Procedure). R1.3 paragraph.</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Edit 4</w:t>
            </w:r>
          </w:p>
        </w:tc>
        <w:tc>
          <w:tcPr>
            <w:tcW w:type="dxa" w:w="54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Updated ‘specifically the lagsarlm() function’ to ‘specifically the lagsarlm() R function’ to make clear this is an R package function from the spdep library.</w:t>
            </w:r>
          </w:p>
        </w:tc>
        <w:tc>
          <w:tcPr>
            <w:tcW w:type="dxa" w:w="32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R1.3 paragraph (before Section 3.2).</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20"/>
                <w:szCs w:val="20"/>
              </w:rPr>
              <w:t xml:space="preserve">Edit 5</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Corrected ‘Block Stratification sampling’ to ‘block stratified sampling’ for consistent terminology throughout the manuscript.</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4.4 (Recommendations for Treatment Assignment / NC Application paragraph).</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Edit 6</w:t>
            </w:r>
          </w:p>
        </w:tc>
        <w:tc>
          <w:tcPr>
            <w:tcW w:type="dxa" w:w="54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Removed the sentence ‘Summarized findings are included in Tables 1–3.’ from the Availability of Data and Materials subsection of Declarations. This sentence is redundant with content in the manuscript body.</w:t>
            </w:r>
          </w:p>
        </w:tc>
        <w:tc>
          <w:tcPr>
            <w:tcW w:type="dxa" w:w="32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Declarations › Availability of Data and Materials subsection.</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4"/>
              <w:bottom w:val="single" w:color="2E5496" w:sz="4"/>
              <w:right w:val="single" w:color="2E5496" w:sz="4"/>
            </w:tcBorders>
            <w:shd w:fill="2E5496" w:val="clear"/>
            <w:tcMar>
              <w:top w:type="dxa" w:w="80"/>
              <w:left w:type="dxa" w:w="120"/>
              <w:bottom w:type="dxa" w:w="80"/>
              <w:right w:type="dxa" w:w="120"/>
            </w:tcMar>
            <w:vAlign w:val="top"/>
          </w:tcPr>
          <w:p>
            <w:pPr>
              <w:spacing w:after="80"/>
              <w:jc w:val="center"/>
            </w:pPr>
            <w:r>
              <w:rPr>
                <w:rFonts w:ascii="Arial" w:cs="Arial" w:eastAsia="Arial" w:hAnsi="Arial"/>
                <w:b/>
                <w:bCs/>
                <w:color w:val="FFFFFF"/>
                <w:sz w:val="22"/>
                <w:szCs w:val="22"/>
              </w:rPr>
              <w:t xml:space="preserve">SUMMARY OF ALL CHANGES</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800"/>
        <w:gridCol w:w="3440"/>
        <w:gridCol w:w="332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Item</w:t>
            </w:r>
          </w:p>
        </w:tc>
        <w:tc>
          <w:tcPr>
            <w:tcW w:type="dxa" w:w="11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Source</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Type</w:t>
            </w:r>
          </w:p>
        </w:tc>
        <w:tc>
          <w:tcPr>
            <w:tcW w:type="dxa" w:w="34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Description</w:t>
            </w:r>
          </w:p>
        </w:tc>
        <w:tc>
          <w:tcPr>
            <w:tcW w:type="dxa" w:w="33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Status / Location in Revised MS</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E1</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Editor</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Required</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Restructure Declarations section (7 BMC subsections)</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Declarations section</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R1.1</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BSS literature grounding; add McCann et al. (2018)</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Discussion §5.1 (relocated from §2.4)</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R1.2</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ρ vs. ψ distinction; collinearity limitation</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Before §2.6; §5.2</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R1.3</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Inferential scope clarification for BSS</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Before §3.2; §5.2</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R1.4</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McCann et al. (2018) discussion</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See R1.1</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R1.5</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Rewrite §3.4–3.6 with risk-management framing</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Sections 3.4, 3.5, 3.6</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R1.6</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 text edit (addressed via R1.2)</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See R1.2</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R1.7</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Boundary-level spillover limitation paragraph</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 5.2</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R1.8</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Inference constraint note</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Section 5.2 (see R1.3)</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R1.9</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BSS allocation variance framing (via R1.5)</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Sections 3.4–3.6</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R2.1</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Move 5 technical blocks to Appendices A–E</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Appendices A–E added</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R2.2</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Geographic stratification citations + novelty paragraph</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§2.4.1; novelty paras in Discussion §5.1</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R2.3</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Clarify BSS novelty vs. established methods</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See R1.1/R2.2</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R2.4</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Best-effort BSS note for NC application</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 4.4</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R2.5</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MSE = Bias² + Variance decomposition sentence</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Section 3.3</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R2.6</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Major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Covariate-constrained randomization; cite Crisp et al. (2023)</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Discussion §5.1 (relocated from §2.4)</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R2.7</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‘prevention’ → ‘limitation’ of treatment contamination</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Section 2.1</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R2.8</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Direct vs. total effect clarification</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 2.3.1</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R2.9</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Figure 2b colors corrected + caption updated</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Figure 2 image + caption</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R2.10</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Checkerboard paradox note in Discussion</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 5.1</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R2.11</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Yᵢₖ notation clarification</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Section 2.5</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R2.12</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Minor</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Zᵢ indicator explanation</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Section 2.5</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Edit 1</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Relocated McCann/novelty paragraphs from Methods §2.4.3 to Discussion §5.1</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Discussion §5.1 (red in annotated MS)</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Edit 2</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Removed ‘Before describing the spatial weights matrix,’ opener from R1.2 paragraph</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Before §2.6</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Edit 3</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Removed forward-referencing opening sentence from R1.3 paragraph</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Before §3.2</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Edit 4</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Updated lagsarlm() to lagsarlm() R function for clarity</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Before §3.2</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Edit 5</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Fixed ‘Block Stratification sampling’ → ‘block stratified sampling’</w:t>
            </w:r>
          </w:p>
        </w:tc>
        <w:tc>
          <w:tcPr>
            <w:tcW w:type="dxa" w:w="33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Done — Section 4.4</w:t>
            </w:r>
          </w:p>
        </w:tc>
      </w:tr>
      <w:tr>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Edit 6</w:t>
            </w:r>
          </w:p>
        </w:tc>
        <w:tc>
          <w:tcPr>
            <w:tcW w:type="dxa" w:w="11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Post-review</w:t>
            </w:r>
          </w:p>
        </w:tc>
        <w:tc>
          <w:tcPr>
            <w:tcW w:type="dxa" w:w="8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Editorial</w:t>
            </w:r>
          </w:p>
        </w:tc>
        <w:tc>
          <w:tcPr>
            <w:tcW w:type="dxa" w:w="344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Removed redundant ‘Summarized findings…’ sentence from Declarations</w:t>
            </w:r>
          </w:p>
        </w:tc>
        <w:tc>
          <w:tcPr>
            <w:tcW w:type="dxa" w:w="33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Done — Declarations › Data Availability</w:t>
            </w:r>
          </w:p>
        </w:tc>
      </w:tr>
    </w:tbl>
    <w:p>
      <w:pPr>
        <w:spacing w:after="60"/>
      </w:pPr>
      <w:r>
        <w:rPr>
          <w:rFonts w:ascii="Arial" w:cs="Arial" w:eastAsia="Arial" w:hAnsi="Arial"/>
          <w:sz w:val="20"/>
          <w:szCs w:val="20"/>
        </w:rPr>
        <w:t xml:space="preserve"/>
      </w:r>
    </w:p>
    <w:p>
      <w:pPr>
        <w:spacing w:after="120"/>
      </w:pPr>
      <w:r>
        <w:rPr>
          <w:rFonts w:ascii="Arial" w:cs="Arial" w:eastAsia="Arial" w:hAnsi="Arial"/>
          <w:sz w:val="20"/>
          <w:szCs w:val="20"/>
        </w:rPr>
        <w:t xml:space="preserve">We hope these revisions address all concerns raised by the Editors and Reviewers, and we look forward to hearing the outcome of the review.</w:t>
      </w:r>
    </w:p>
    <w:p>
      <w:pPr>
        <w:spacing w:after="200"/>
      </w:pPr>
      <w:r>
        <w:rPr>
          <w:rFonts w:ascii="Arial" w:cs="Arial" w:eastAsia="Arial" w:hAnsi="Arial"/>
          <w:sz w:val="20"/>
          <w:szCs w:val="20"/>
        </w:rPr>
        <w:t xml:space="preserve">Respectfully submitted,</w:t>
      </w:r>
    </w:p>
    <w:p>
      <w:pPr>
        <w:spacing w:after="80"/>
      </w:pPr>
      <w:r>
        <w:rPr>
          <w:rFonts w:ascii="Arial" w:cs="Arial" w:eastAsia="Arial" w:hAnsi="Arial"/>
          <w:b/>
          <w:bCs/>
          <w:sz w:val="20"/>
          <w:szCs w:val="20"/>
        </w:rPr>
        <w:t xml:space="preserve">Andrew Walther, Tonya Van Deinse, and Feng-Chang Lin</w:t>
      </w:r>
    </w:p>
    <w:p>
      <w:pPr>
        <w:spacing w:after="80"/>
      </w:pPr>
      <w:r>
        <w:rPr>
          <w:rFonts w:ascii="Arial" w:cs="Arial" w:eastAsia="Arial" w:hAnsi="Arial"/>
          <w:sz w:val="20"/>
          <w:szCs w:val="20"/>
        </w:rPr>
        <w:t xml:space="preserve">University of North Carolina at Chapel Hill</w:t>
      </w:r>
    </w:p>
    <w:p>
      <w:pPr>
        <w:spacing w:after="80"/>
      </w:pPr>
      <w:r>
        <w:rPr>
          <w:rFonts w:ascii="Arial" w:cs="Arial" w:eastAsia="Arial" w:hAnsi="Arial"/>
          <w:sz w:val="20"/>
          <w:szCs w:val="20"/>
        </w:rPr>
        <w:t xml:space="preserve">Department of Biostatistics / School of Social Work</w:t>
      </w:r>
    </w:p>
    <w:p>
      <w:pPr>
        <w:spacing w:after="300"/>
      </w:pPr>
      <w:r>
        <w:rPr>
          <w:rFonts w:ascii="Arial" w:cs="Arial" w:eastAsia="Arial" w:hAnsi="Arial"/>
          <w:sz w:val="20"/>
          <w:szCs w:val="20"/>
        </w:rPr>
        <w:t xml:space="preserve">April 2026</w:t>
      </w:r>
    </w:p>
    <w:p>
      <w:r>
        <w:br w:type="page"/>
      </w:r>
    </w:p>
    <w:p>
      <w:pPr>
        <w:spacing w:after="120" w:before="0"/>
        <w:jc w:val="center"/>
      </w:pPr>
      <w:r>
        <w:rPr>
          <w:rFonts w:ascii="Arial" w:cs="Arial" w:eastAsia="Arial" w:hAnsi="Arial"/>
          <w:b/>
          <w:bCs/>
          <w:color w:val="2E5496"/>
          <w:sz w:val="32"/>
          <w:szCs w:val="32"/>
        </w:rPr>
        <w:t xml:space="preserve">Annotation Reference Guide</w:t>
      </w:r>
    </w:p>
    <w:p>
      <w:pPr>
        <w:spacing w:after="80"/>
        <w:jc w:val="center"/>
      </w:pPr>
      <w:r>
        <w:rPr>
          <w:rFonts w:ascii="Arial" w:cs="Arial" w:eastAsia="Arial" w:hAnsi="Arial"/>
          <w:b/>
          <w:bCs/>
          <w:color w:val="444444"/>
          <w:sz w:val="22"/>
          <w:szCs w:val="22"/>
        </w:rPr>
        <w:t xml:space="preserve">Spatial CRT Manuscript — Revisions_V1.tex vs. main.tex</w:t>
      </w:r>
    </w:p>
    <w:p>
      <w:pPr>
        <w:spacing w:after="200"/>
        <w:jc w:val="center"/>
      </w:pPr>
      <w:r>
        <w:rPr>
          <w:rFonts w:ascii="Arial" w:cs="Arial" w:eastAsia="Arial" w:hAnsi="Arial"/>
          <w:b/>
          <w:bCs/>
          <w:color w:val="555555"/>
          <w:sz w:val="20"/>
          <w:szCs w:val="20"/>
        </w:rPr>
        <w:t xml:space="preserve">BMC Medical Research Methodology — Revisions</w:t>
      </w:r>
    </w:p>
    <w:p>
      <w:pPr>
        <w:spacing w:after="240"/>
      </w:pPr>
      <w:r>
        <w:rPr>
          <w:rFonts w:ascii="Arial" w:cs="Arial" w:eastAsia="Arial" w:hAnsi="Arial"/>
          <w:sz w:val="20"/>
          <w:szCs w:val="20"/>
        </w:rPr>
        <w:t xml:space="preserve">This document lists every substantive change made in Revisions_V1.tex relative to the original main.tex. Each entry gives the exact line number(s) in Revisions_V1.tex, the document location, the reviewer comment it addresses, and a description of what was changed. These entries can help with identification of sections that are annotated with red text to illustrate changes between main.tex &amp; Revisions_V1.tex in Revisions_Annotated_V1.tex.</w:t>
      </w:r>
    </w:p>
    <w:p>
      <w:pPr>
        <w:spacing w:after="80" w:before="160"/>
      </w:pPr>
      <w:r>
        <w:rPr>
          <w:rFonts w:ascii="Arial" w:cs="Arial" w:eastAsia="Arial" w:hAnsi="Arial"/>
          <w:b/>
          <w:bCs/>
          <w:sz w:val="26"/>
          <w:szCs w:val="26"/>
        </w:rPr>
        <w:t xml:space="preserve">Summary of All Changed Regions</w:t>
      </w:r>
    </w:p>
    <w:p>
      <w:pPr>
        <w:spacing w:after="120"/>
      </w:pPr>
      <w:r>
        <w:rPr>
          <w:rFonts w:ascii="Arial" w:cs="Arial" w:eastAsia="Arial" w:hAnsi="Arial"/>
          <w:sz w:val="20"/>
          <w:szCs w:val="20"/>
        </w:rPr>
        <w:t xml:space="preserve">‘18 distinct regions changed across 22 revision items. Lines refer to Revisions_V1.tex.’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300"/>
        <w:gridCol w:w="1900"/>
        <w:gridCol w:w="24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Change ID</w:t>
            </w:r>
          </w:p>
        </w:tc>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Lines</w:t>
            </w:r>
          </w:p>
        </w:tc>
        <w:tc>
          <w:tcPr>
            <w:tcW w:type="dxa" w:w="2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Location in Document</w:t>
            </w:r>
          </w:p>
        </w:tc>
        <w:tc>
          <w:tcPr>
            <w:tcW w:type="dxa" w:w="1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Reviewer Tag</w:t>
            </w:r>
          </w:p>
        </w:tc>
        <w:tc>
          <w:tcPr>
            <w:tcW w:type="dxa" w:w="2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jc w:val="center"/>
            </w:pPr>
            <w:r>
              <w:rPr>
                <w:rFonts w:ascii="Arial" w:cs="Arial" w:eastAsia="Arial" w:hAnsi="Arial"/>
                <w:b/>
                <w:bCs/>
                <w:color w:val="FFFFFF"/>
                <w:sz w:val="20"/>
                <w:szCs w:val="20"/>
              </w:rPr>
              <w:t xml:space="preserve">Change Type</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R2.M2</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283</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2.3 — β interpretation paragraph</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#2</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Sentence added</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R2.M3</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347–349</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Figure 2 caption</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#3</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Caption rewritten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R2.M6 / BSS intro</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356–372</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2.4.1 — BSS description paragraph</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#6</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Paragraph rewritten</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R1.1 / R2.2 / R2.3 / R1.4 — para 1</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513–515</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Discussion §5.1 — first new paragraph</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#1 &amp; #4; Reviewer 2 Major #2 &amp; #3</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R1.1 / R2.2 / R2.3 / R1.4 — para 2</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516–522</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Discussion §5.1 — second new paragraph</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#1 &amp; #4; Reviewer 2 Major #2 &amp; #3</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R1.2</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538–553</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Before Section 2.6 (Spatial Weights Matrix)</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#2</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SUPP-1 bridge</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579–582</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2.6 — spatial weights</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(SUPP-1)</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Bridge sentence (equations moved to Appendix A)</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SUPP-2 bridge</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590–597</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2.7 — SAR log-likelihood</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(SUPP-2)</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Bridge sentence (equations moved to Appendix B)</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R1.3</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669–681</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Before Section 3.2 (Simulation Design)</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#3</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SUPP-3 bridge</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676–683</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3.2 — simulation algorithm</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#6 (SUPP-3)</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Bridge paragraph (8-step algorithm moved to Appendix C)</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R2.5</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756–757</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3.3 — MSE decomposition</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#5</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Sentence added</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R1.5 (2×4 grid)</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763–775</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3.4 — 2×4 results</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#5</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rewritten (risk-management framing)</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R1.5 (3×4 grid) + R2.M4</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986–996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3.6 — 3×4 results</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#5; Reviewer 2, Minor #4</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rewritten (risk-management framing + checkerboard paradox)</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R2.4</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1189–1201</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4.4 — Application (North Carolina)</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#4</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Paragraph added to Application section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R2.M4</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1212–1218</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5.1 — Discussion</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#4</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R1.M2</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1220–1222</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5.2 — Limitations</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Reviewer 1, Minor #2</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R1.M3</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1224–1228</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 5.2 — Limitations</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Minor #3</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New paragraph</w:t>
            </w:r>
          </w:p>
        </w:tc>
      </w:tr>
      <w:tr>
        <w:tc>
          <w:tcPr>
            <w:tcW w:type="dxa" w:w="20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b/>
                <w:bCs/>
                <w:sz w:val="18"/>
                <w:szCs w:val="18"/>
              </w:rPr>
              <w:t xml:space="preserve">E1 — Declarations</w:t>
            </w:r>
          </w:p>
        </w:tc>
        <w:tc>
          <w:tcPr>
            <w:tcW w:type="dxa" w:w="7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1266–1292</w:t>
            </w:r>
          </w:p>
        </w:tc>
        <w:tc>
          <w:tcPr>
            <w:tcW w:type="dxa" w:w="23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Declarations (after Conclusion)</w:t>
            </w:r>
          </w:p>
        </w:tc>
        <w:tc>
          <w:tcPr>
            <w:tcW w:type="dxa" w:w="190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Editor Comment 1</w:t>
            </w:r>
          </w:p>
        </w:tc>
        <w:tc>
          <w:tcPr>
            <w:tcW w:type="dxa" w:w="246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restructured</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b/>
                <w:bCs/>
                <w:sz w:val="18"/>
                <w:szCs w:val="18"/>
              </w:rPr>
              <w:t xml:space="preserve">SUPP-1–5 — Appendices A–E</w:t>
            </w:r>
          </w:p>
        </w:tc>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1298–1453</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Appendices A–E (after Bibliography)</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(SUPP-1–5)</w:t>
            </w:r>
          </w:p>
        </w:tc>
        <w:tc>
          <w:tcPr>
            <w:tcW w:type="dxa" w:w="246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Five entirely new appendix sections</w:t>
            </w:r>
          </w:p>
        </w:tc>
      </w:tr>
    </w:tbl>
    <w:p>
      <w:pPr>
        <w:spacing w:after="60"/>
      </w:pPr>
      <w:r>
        <w:rPr>
          <w:rFonts w:ascii="Arial" w:cs="Arial" w:eastAsia="Arial" w:hAnsi="Arial"/>
          <w:sz w:val="20"/>
          <w:szCs w:val="20"/>
        </w:rPr>
        <w:t xml:space="preserve"/>
      </w:r>
    </w:p>
    <w:p>
      <w:pPr>
        <w:spacing w:after="80" w:before="200"/>
      </w:pPr>
      <w:r>
        <w:rPr>
          <w:rFonts w:ascii="Arial" w:cs="Arial" w:eastAsia="Arial" w:hAnsi="Arial"/>
          <w:b/>
          <w:bCs/>
          <w:sz w:val="26"/>
          <w:szCs w:val="26"/>
        </w:rPr>
        <w:t xml:space="preserve">Detailed Change Descriptions</w:t>
      </w:r>
    </w:p>
    <w:p>
      <w:pPr>
        <w:spacing w:after="140"/>
      </w:pPr>
      <w:r>
        <w:rPr>
          <w:rFonts w:ascii="Arial" w:cs="Arial" w:eastAsia="Arial" w:hAnsi="Arial"/>
          <w:sz w:val="20"/>
          <w:szCs w:val="20"/>
        </w:rPr>
        <w:t xml:space="preserve">Each entry below provides the following: line number(s), full location, description of the change, and the first sentence(s) of the changed content.</w:t>
      </w:r>
    </w:p>
    <w:p>
      <w:pPr>
        <w:spacing w:after="60" w:before="180"/>
      </w:pPr>
      <w:r>
        <w:rPr>
          <w:rFonts w:ascii="Arial" w:cs="Arial" w:eastAsia="Arial" w:hAnsi="Arial"/>
          <w:b/>
          <w:bCs/>
          <w:sz w:val="22"/>
          <w:szCs w:val="22"/>
        </w:rPr>
        <w:t xml:space="preserve">1. R2.M2</w:t>
      </w:r>
      <w:r>
        <w:rPr>
          <w:rFonts w:ascii="Arial" w:cs="Arial" w:eastAsia="Arial" w:hAnsi="Arial"/>
          <w:sz w:val="22"/>
          <w:szCs w:val="22"/>
        </w:rPr>
        <w:t xml:space="preserve"> — Sentence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283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2.3 — β interpretation paragraph</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“β̂ is more precisely interpreted as a total treatment effect rather than a pure direct effect” (with citation) at end of paragraph about β estimation.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“…in such scenarios β̂ may capture elements of both the direct intervention effect and the indirect spillover…”</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2. R2.M3</w:t>
      </w:r>
      <w:r>
        <w:rPr>
          <w:rFonts w:ascii="Arial" w:cs="Arial" w:eastAsia="Arial" w:hAnsi="Arial"/>
          <w:sz w:val="22"/>
          <w:szCs w:val="22"/>
        </w:rPr>
        <w:t xml:space="preserve"> — Caption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347–349</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Figure 2 caption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Figure 2 caption updated to explicitly label (a) TrtNoSpill and (b) TrtSpill with directional descriptions of spillover arrows.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 TrtNoSpill: Spillover arrows flow outward from intervention cells (red) into neighboring control cells (blue) only…”</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3. R2.M6 / BSS intro</w:t>
      </w:r>
      <w:r>
        <w:rPr>
          <w:rFonts w:ascii="Arial" w:cs="Arial" w:eastAsia="Arial" w:hAnsi="Arial"/>
          <w:sz w:val="22"/>
          <w:szCs w:val="22"/>
        </w:rPr>
        <w:t xml:space="preserve"> — Paragraph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356–372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2.4.1 — BSS description paragraph</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#6</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BSS described as “analogous to geographically stratified randomization in standard CRTs”. Added McCann et al. and Crisp et al. citations. Explained novel Rook-edge isolation constraint. Addressed odd-dimension relaxation rule.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“Block stratified sampling ensures a balanced number of intervention and control cells are selected, with the added condition…”</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4. R1.1 / R2.2 / R2.3 / R1.4 — para 1</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513–515</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Discussion §5.1 ‘Relevance of Results’ — first new paragraph</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#1 &amp; #4; Reviewer 2 Major #2 &amp; #3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situating BSS within spatially balanced experimental design literature. Cites McCann et al. (2018). Articulates novelty: no prior work has compared SRS vs BSS under SAR + spillover with exhaustive enumeration.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spatial separation principle underlying BSS has antecedents in spatially balanced experimental designs. For example, McCann et al. (2018)…”</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5. R1.1 / R2.2 / R2.3 / R1.4 — para 2</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516–522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Discussion §5.1 ‘Relevance of Results’ — second new paragraph</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#1 &amp; #4; Reviewer 2 Major #2 &amp; #3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distinguishing BSS from covariate-constrained randomization (Crisp et al. 2023). Both restrict allocation space, but on different principles; described as complementary approaches.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 related line of work concerns covariate-constrained randomization, in which the set of eligible allocations is restricted to those…”</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6. R1.2</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538–553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Before Section 2.6 (Spatial Weights Matrix)</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clarifying conceptual distinction between ρ (nuisance background autocorrelation) and ψ (causal design-level spillover). Explains why failing to separate them can produce confounded estimates.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“It is important to clarify the conceptual distinction between two spatial quantities in this model…”</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7. SUPP-1 bridge</w:t>
      </w:r>
      <w:r>
        <w:rPr>
          <w:rFonts w:ascii="Arial" w:cs="Arial" w:eastAsia="Arial" w:hAnsi="Arial"/>
          <w:sz w:val="22"/>
          <w:szCs w:val="22"/>
        </w:rPr>
        <w:t xml:space="preserve"> — Bridge sentence (equations moved to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579–582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2.6 — spatial weights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(SUPP-1)</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Equations for W and wᵢⱼ moved to Appendix A. Main body retains bridge sentence summarizing W construction with pointer to Appendix A.</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spatial weights matrix W encodes the strength of spatial connections between observations; see Appendix A for full formulation.”</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8. SUPP-2 bridge</w:t>
      </w:r>
      <w:r>
        <w:rPr>
          <w:rFonts w:ascii="Arial" w:cs="Arial" w:eastAsia="Arial" w:hAnsi="Arial"/>
          <w:sz w:val="22"/>
          <w:szCs w:val="22"/>
        </w:rPr>
        <w:t xml:space="preserve"> — Bridge sentence (equations moved to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590–597</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2.7 — SAR log-likelihood</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Full SAR log-likelihood formula moved to Appendix B. Subject-level estimating equation retained in main body; full likelihood in Appendix B.</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“Maximum likelihood estimation is utilized to gather parameter estimates from the spatial lag model…”</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9. R1.3</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669–681</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Before Section 3.2 (Simulation Design)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clarifying inferential scope: BSS is a design-stage tool; exhaustive enumeration characterizes design space; model-based inference via SAR MLE is appropriate; simulation findings describe how each design tends to perform across feasible allocations.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“BSS is fundamentally a design-stage tool: the set of valid BSS allocations is determined prior to data collection…”</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10. SUPP-3 bridge</w:t>
      </w:r>
      <w:r>
        <w:rPr>
          <w:rFonts w:ascii="Arial" w:cs="Arial" w:eastAsia="Arial" w:hAnsi="Arial"/>
          <w:sz w:val="22"/>
          <w:szCs w:val="22"/>
        </w:rPr>
        <w:t xml:space="preserve"> — Bridge paragraph (8-step algorithm moved to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676–683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3.2 — simulation algorithm</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#6 (SUPP-3)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8-step simulation algorithm enumeration moved to Appendix C. Main body retains compact summary paragraph with pointer to Appendix C.</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“For each spatial grid geometry and simulation scenario, the complete set of possible treatment combinations was enumerated exhaustively…”</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11. R2.5</w:t>
      </w:r>
      <w:r>
        <w:rPr>
          <w:rFonts w:ascii="Arial" w:cs="Arial" w:eastAsia="Arial" w:hAnsi="Arial"/>
          <w:sz w:val="22"/>
          <w:szCs w:val="22"/>
        </w:rPr>
        <w:t xml:space="preserve"> — Sentence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756–757</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3.3 — MSE decomposition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#5</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“Since MSE = Bias² + Variance, differences in MSE between SRS and BSS can be attributed to either systematic bias or sampling variability across allocations.”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“Since MSE = Bias² + Variance, differences in MSE between SRS and BSS can be attributed to either systematic bias or sampling variability…”</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12. R1.5 (2×4 grid)</w:t>
      </w:r>
      <w:r>
        <w:rPr>
          <w:rFonts w:ascii="Arial" w:cs="Arial" w:eastAsia="Arial" w:hAnsi="Arial"/>
          <w:sz w:val="22"/>
          <w:szCs w:val="22"/>
        </w:rPr>
        <w:t xml:space="preserve"> — Section rewritten (risk-management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763–775</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3.4 — 2×4 results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#5</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3.4 rewritten: introduced risk-management framing. BSS “bounds the worst-case outcome”; SRS is a “lottery” offering lower average MSE but with high variance across 70 allocations. SD comparison emphasized throughout.</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“…reveal a risk-management trade-off between SRS and BSS rather than a uniform advantage for either method…”</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13. R1.5 (3×4 grid) + R2.M4</w:t>
      </w:r>
      <w:r>
        <w:rPr>
          <w:rFonts w:ascii="Arial" w:cs="Arial" w:eastAsia="Arial" w:hAnsi="Arial"/>
          <w:sz w:val="22"/>
          <w:szCs w:val="22"/>
        </w:rPr>
        <w:t xml:space="preserve"> — Section rewritten (risk-management framing + checkerboard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986–996</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3.6 — 3×4 results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Major #5; Reviewer 2, Minor #4</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3.6 rewritten. Introduced “checkerboard paradox”: under TrtSpill + ρ=0.01, BSS MSE (≈0.223) substantially exceeds SRS MSE (0.112) because checkerboard surrounds every intervention cluster exclusively with controls, amplifying spillover bias.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“…reveal both the typical strengths of BSS and a notable exception that illuminates the limits of the checkerboard design…”</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14. R2.4</w:t>
      </w:r>
      <w:r>
        <w:rPr>
          <w:rFonts w:ascii="Arial" w:cs="Arial" w:eastAsia="Arial" w:hAnsi="Arial"/>
          <w:sz w:val="22"/>
          <w:szCs w:val="22"/>
        </w:rPr>
        <w:t xml:space="preserve"> — Paragraph added to Application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1189–1201</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4.4 — Application (North Carolina)</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#4</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noting that real-world BSS is “best-effort”: irregular district shapes prevent perfect spatial separation, and investigators should document the degree to which their chosen allocation approximates the strict criterion.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“…the allocation depicted therefore represents a best-effort block stratification: the assignment minimizes shared borders…”</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15. R2.M4</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1212–1218</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5.1 — Discussion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Minor #4</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paragraph in Discussion explaining the checkerboard paradox: BSS’s spatial isolation feature becomes a liability under TrtSpill + ρ &gt; 0. Recommendation: consider prior knowledge of spillover mechanism when selecting SRS vs BSS.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“An important nuance observed in the 3×4 simulation results warrants attention in the context of practical design recommendations…”</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16. R1.M2</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1220–1222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5.2 — Limitations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Minor #2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limitation paragraph: spillover modeled as binary (full effect or none, contiguity-based only). Does not capture distance decay, additive effects from multiple treated neighbors, or non-linear patterns.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“An additional notable limitation is the rudimentary spillover mechanism (binary effect) applied…”</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17. R1.M3</w:t>
      </w:r>
      <w:r>
        <w:rPr>
          <w:rFonts w:ascii="Arial" w:cs="Arial" w:eastAsia="Arial" w:hAnsi="Arial"/>
          <w:sz w:val="22"/>
          <w:szCs w:val="22"/>
        </w:rPr>
        <w:t xml:space="preserve"> — New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1224–1228</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Section 5.2 — Limitations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1, Minor #3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Added limitation paragraph: findings characterize design-space performance via exhaustive enumeration, not a sampling distribution from a single randomization. Simulation is not designed to support permutation inference under BSS.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“Because this study evaluates estimator properties through exhaustive enumeration of all possible treatment allocations…”</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18. E1 — Declarations</w:t>
      </w:r>
      <w:r>
        <w:rPr>
          <w:rFonts w:ascii="Arial" w:cs="Arial" w:eastAsia="Arial" w:hAnsi="Arial"/>
          <w:sz w:val="22"/>
          <w:szCs w:val="22"/>
        </w:rPr>
        <w:t xml:space="preserve"> — Section restructured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1266–1292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Declarations (after Conclusion)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Editor Comment 1</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Entire Declarations section rebuilt with 7 BMC-standard subsections: Ethics Approval, Consent for Publication, Data Availability, Competing Interests, Funding, Authors’ Contributions, Acknowledgements.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“\section*{Declarations} → 7 \subsection* entries per BMC Medical Research Methodology style”</w:t>
            </w:r>
          </w:p>
        </w:tc>
      </w:tr>
    </w:tbl>
    <w:p>
      <w:pPr>
        <w:spacing w:after="60"/>
      </w:pPr>
      <w:r>
        <w:rPr>
          <w:rFonts w:ascii="Arial" w:cs="Arial" w:eastAsia="Arial" w:hAnsi="Arial"/>
          <w:sz w:val="20"/>
          <w:szCs w:val="20"/>
        </w:rPr>
        <w:t xml:space="preserve"/>
      </w:r>
    </w:p>
    <w:p>
      <w:pPr>
        <w:spacing w:after="60" w:before="180"/>
      </w:pPr>
      <w:r>
        <w:rPr>
          <w:rFonts w:ascii="Arial" w:cs="Arial" w:eastAsia="Arial" w:hAnsi="Arial"/>
          <w:b/>
          <w:bCs/>
          <w:sz w:val="22"/>
          <w:szCs w:val="22"/>
        </w:rPr>
        <w:t xml:space="preserve">19. SUPP-1–5 — Appendices A–E</w:t>
      </w:r>
      <w:r>
        <w:rPr>
          <w:rFonts w:ascii="Arial" w:cs="Arial" w:eastAsia="Arial" w:hAnsi="Arial"/>
          <w:sz w:val="22"/>
          <w:szCs w:val="22"/>
        </w:rPr>
        <w:t xml:space="preserve"> — Five entirely new appendix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Lines:</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1298–1453</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Location:</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Appendices A–E (after Bibliography)</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Reviewer:</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Reviewer 2, Major #1 (SUPP-1–5)</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Change:</w:t>
            </w:r>
          </w:p>
        </w:tc>
        <w:tc>
          <w:tcPr>
            <w:tcW w:type="dxa" w:w="7920"/>
            <w:tcBorders>
              <w:top w:val="single" w:color="AAAAAA" w:sz="4"/>
              <w:left w:val="single" w:color="AAAAAA" w:sz="4"/>
              <w:bottom w:val="single" w:color="AAAAAA" w:sz="4"/>
              <w:right w:val="single" w:color="AAAAAA" w:sz="4"/>
            </w:tcBorders>
            <w:shd w:fill="EEF3FB" w:val="clear"/>
            <w:tcMar>
              <w:top w:type="dxa" w:w="80"/>
              <w:left w:type="dxa" w:w="120"/>
              <w:bottom w:type="dxa" w:w="80"/>
              <w:right w:type="dxa" w:w="120"/>
            </w:tcMar>
            <w:vAlign w:val="top"/>
          </w:tcPr>
          <w:p>
            <w:pPr>
              <w:spacing w:after="80"/>
            </w:pPr>
            <w:r>
              <w:rPr>
                <w:rFonts w:ascii="Arial" w:cs="Arial" w:eastAsia="Arial" w:hAnsi="Arial"/>
                <w:sz w:val="20"/>
                <w:szCs w:val="20"/>
              </w:rPr>
              <w:t xml:space="preserve">Appendix A: Spatial Weights Matrix (from §2.6). Appendix B: SAR Full Likelihood (from §2.7). Appendix C: Simulation Algorithm (from §3.2). Appendix D: Moran’s I and Geary’s C (from §2.6). Appendix E: Distance-Based Neighbor Construction (from §2.2.2).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80"/>
            </w:pPr>
            <w:r>
              <w:rPr>
                <w:rFonts w:ascii="Arial" w:cs="Arial" w:eastAsia="Arial" w:hAnsi="Arial"/>
                <w:b/>
                <w:bCs/>
                <w:sz w:val="20"/>
                <w:szCs w:val="20"/>
              </w:rPr>
              <w:t xml:space="preserve">Starts with:</w:t>
            </w:r>
          </w:p>
        </w:tc>
        <w:tc>
          <w:tcPr>
            <w:tcW w:type="dxa" w:w="79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80"/>
            </w:pPr>
            <w:r>
              <w:rPr>
                <w:rFonts w:ascii="Arial" w:cs="Arial" w:eastAsia="Arial" w:hAnsi="Arial"/>
                <w:sz w:val="20"/>
                <w:szCs w:val="20"/>
              </w:rPr>
              <w:t xml:space="preserve">“Lines 1298–1453 are entirely new in Revisions_V1.tex (did not exist in main.tex)”</w:t>
            </w:r>
          </w:p>
        </w:tc>
      </w:tr>
    </w:tbl>
    <w:p>
      <w:pPr>
        <w:spacing w:after="60"/>
      </w:pPr>
      <w:r>
        <w:rPr>
          <w:rFonts w:ascii="Arial" w:cs="Arial" w:eastAsia="Arial" w:hAnsi="Arial"/>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spacing w:after="80"/>
    </w:pPr>
    <w:r>
      <w:rPr>
        <w:rFonts w:ascii="Arial" w:cs="Arial" w:eastAsia="Arial" w:hAnsi="Arial"/>
        <w:color w:val="888888"/>
        <w:sz w:val="16"/>
        <w:szCs w:val="16"/>
      </w:rPr>
      <w:t xml:space="preserve">Response to Reviewers — Walther, Van Deinse &amp; Lin | BMC Medical Research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2026-04-14T23:55:06.687Z</dcterms:created>
  <dcterms:modified xsi:type="dcterms:W3CDTF">2026-04-14T23:55:06.687Z</dcterms:modified>
</cp:coreProperties>
</file>

<file path=docProps/custom.xml><?xml version="1.0" encoding="utf-8"?>
<Properties xmlns="http://schemas.openxmlformats.org/officeDocument/2006/custom-properties" xmlns:vt="http://schemas.openxmlformats.org/officeDocument/2006/docPropsVTypes"/>
</file>