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356F" w14:paraId="48EA3203" w14:textId="77777777">
        <w:tc>
          <w:tcPr>
            <w:tcW w:w="9360" w:type="dxa"/>
            <w:shd w:val="clear" w:color="auto" w:fill="1F3864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8EA3201" w14:textId="77777777" w:rsidR="0039356F" w:rsidRDefault="00611851">
            <w:r>
              <w:rPr>
                <w:b/>
                <w:bCs/>
                <w:color w:val="FFFFFF"/>
                <w:sz w:val="36"/>
                <w:szCs w:val="36"/>
              </w:rPr>
              <w:t>Supplement Proposal — Content Relocation Candidates</w:t>
            </w:r>
          </w:p>
          <w:p w14:paraId="48EA3202" w14:textId="77777777" w:rsidR="0039356F" w:rsidRDefault="00611851">
            <w:r>
              <w:rPr>
                <w:color w:val="BDD7EE"/>
                <w:sz w:val="22"/>
                <w:szCs w:val="22"/>
              </w:rPr>
              <w:t>Addressing Reviewer 2 Comment R2.1 — Manuscript Length &amp; Readability</w:t>
            </w:r>
          </w:p>
        </w:tc>
      </w:tr>
    </w:tbl>
    <w:p w14:paraId="48EA3204" w14:textId="77777777" w:rsidR="0039356F" w:rsidRDefault="0039356F"/>
    <w:p w14:paraId="48EA3205" w14:textId="77777777" w:rsidR="0039356F" w:rsidRDefault="00611851">
      <w:pPr>
        <w:spacing w:before="60" w:after="60"/>
      </w:pPr>
      <w:r>
        <w:t>This document lists specific sections, paragraphs, and content blocks that are candidates for relocation to a supplementary appendix. Items are grouped by recommendation strength. Please review and indicate which items should be moved before implementing changes in the LaTeX revision.</w:t>
      </w:r>
    </w:p>
    <w:p w14:paraId="48EA3206" w14:textId="77777777" w:rsidR="0039356F" w:rsidRDefault="0039356F"/>
    <w:p w14:paraId="48EA3207" w14:textId="77777777" w:rsidR="0039356F" w:rsidRDefault="0039356F">
      <w:pPr>
        <w:pBdr>
          <w:bottom w:val="single" w:sz="6" w:space="0" w:color="2E75B6"/>
        </w:pBdr>
        <w:spacing w:before="100" w:after="100"/>
      </w:pPr>
    </w:p>
    <w:p w14:paraId="48EA3208" w14:textId="77777777" w:rsidR="0039356F" w:rsidRDefault="0039356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356F" w14:paraId="48EA320A" w14:textId="77777777">
        <w:tc>
          <w:tcPr>
            <w:tcW w:w="9360" w:type="dxa"/>
            <w:shd w:val="clear" w:color="auto" w:fill="C0000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EA3209" w14:textId="77777777" w:rsidR="0039356F" w:rsidRDefault="00611851">
            <w:r>
              <w:rPr>
                <w:b/>
                <w:bCs/>
                <w:color w:val="FFFFFF"/>
                <w:sz w:val="26"/>
                <w:szCs w:val="26"/>
              </w:rPr>
              <w:t>STRONG CANDIDATES — Recommend Moving to Supplement</w:t>
            </w:r>
          </w:p>
        </w:tc>
      </w:tr>
    </w:tbl>
    <w:p w14:paraId="48EA320B" w14:textId="77777777" w:rsidR="0039356F" w:rsidRDefault="0039356F"/>
    <w:p w14:paraId="48EA320C" w14:textId="77777777" w:rsidR="0039356F" w:rsidRDefault="00611851">
      <w:pPr>
        <w:spacing w:before="60" w:after="60"/>
      </w:pPr>
      <w:r>
        <w:t>These items are technical derivations or detailed enumeration that most readers of a methodology journal would expect in supplementary material. Moving them will not reduce the paper's intellectual contribution.</w:t>
      </w:r>
    </w:p>
    <w:p w14:paraId="48EA320D" w14:textId="77777777" w:rsidR="0039356F" w:rsidRDefault="0039356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356F" w14:paraId="48EA3211" w14:textId="77777777">
        <w:tc>
          <w:tcPr>
            <w:tcW w:w="9360" w:type="dxa"/>
            <w:tcBorders>
              <w:top w:val="single" w:sz="4" w:space="0" w:color="C00000"/>
              <w:left w:val="single" w:sz="8" w:space="0" w:color="C00000"/>
              <w:bottom w:val="single" w:sz="4" w:space="0" w:color="C00000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EA320E" w14:textId="77777777" w:rsidR="0039356F" w:rsidRDefault="00611851">
            <w:r>
              <w:rPr>
                <w:b/>
                <w:bCs/>
                <w:color w:val="C00000"/>
                <w:sz w:val="22"/>
                <w:szCs w:val="22"/>
              </w:rPr>
              <w:t>[SUPP-1</w:t>
            </w:r>
            <w:proofErr w:type="gramStart"/>
            <w:r>
              <w:rPr>
                <w:b/>
                <w:bCs/>
                <w:color w:val="C00000"/>
                <w:sz w:val="22"/>
                <w:szCs w:val="22"/>
              </w:rPr>
              <w:t>]  Spatial</w:t>
            </w:r>
            <w:proofErr w:type="gramEnd"/>
            <w:r>
              <w:rPr>
                <w:b/>
                <w:bCs/>
                <w:color w:val="C00000"/>
                <w:sz w:val="22"/>
                <w:szCs w:val="22"/>
              </w:rPr>
              <w:t xml:space="preserve"> Weights Matrix Derivation — Section 2.6, Equations 5–8</w:t>
            </w:r>
          </w:p>
          <w:p w14:paraId="48EA320F" w14:textId="77777777" w:rsidR="0039356F" w:rsidRDefault="00611851">
            <w:pPr>
              <w:spacing w:before="60"/>
            </w:pPr>
            <w:r>
              <w:rPr>
                <w:sz w:val="20"/>
                <w:szCs w:val="20"/>
              </w:rPr>
              <w:t xml:space="preserve">Currently: Full derivation of both indicator-based and distance-based weights with normalized forms (4 equations). These equations are well-known </w:t>
            </w:r>
            <w:proofErr w:type="gramStart"/>
            <w:r>
              <w:rPr>
                <w:sz w:val="20"/>
                <w:szCs w:val="20"/>
              </w:rPr>
              <w:t>results</w:t>
            </w:r>
            <w:proofErr w:type="gramEnd"/>
            <w:r>
              <w:rPr>
                <w:sz w:val="20"/>
                <w:szCs w:val="20"/>
              </w:rPr>
              <w:t xml:space="preserve"> and the methodology paper adds no novel content here.</w:t>
            </w:r>
          </w:p>
          <w:p w14:paraId="48EA3210" w14:textId="77777777" w:rsidR="0039356F" w:rsidRDefault="00611851">
            <w:pPr>
              <w:spacing w:before="40"/>
            </w:pPr>
            <w:r>
              <w:rPr>
                <w:i/>
                <w:iCs/>
                <w:sz w:val="20"/>
                <w:szCs w:val="20"/>
              </w:rPr>
              <w:t xml:space="preserve">Proposed action: Keep a 2-sentence summary of the weights in the main text (e.g., "Indicator-based weights </w:t>
            </w:r>
            <w:proofErr w:type="spellStart"/>
            <w:r>
              <w:rPr>
                <w:i/>
                <w:iCs/>
                <w:sz w:val="20"/>
                <w:szCs w:val="20"/>
              </w:rPr>
              <w:t>w_ij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= 1 if neighbors, 0 otherwise, normalized by row sum. Distance-based weights use inverse-distance, normalized similarly — see Supplementary Appendix A for full derivations."). Move </w:t>
            </w:r>
            <w:proofErr w:type="spellStart"/>
            <w:r>
              <w:rPr>
                <w:i/>
                <w:iCs/>
                <w:sz w:val="20"/>
                <w:szCs w:val="20"/>
              </w:rPr>
              <w:t>Eqs</w:t>
            </w:r>
            <w:proofErr w:type="spellEnd"/>
            <w:r>
              <w:rPr>
                <w:i/>
                <w:iCs/>
                <w:sz w:val="20"/>
                <w:szCs w:val="20"/>
              </w:rPr>
              <w:t>. 5–8 and surrounding text to Appendix A.</w:t>
            </w:r>
          </w:p>
        </w:tc>
      </w:tr>
    </w:tbl>
    <w:p w14:paraId="48EA3212" w14:textId="77777777" w:rsidR="0039356F" w:rsidRDefault="0039356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356F" w14:paraId="48EA3216" w14:textId="77777777">
        <w:tc>
          <w:tcPr>
            <w:tcW w:w="9360" w:type="dxa"/>
            <w:tcBorders>
              <w:top w:val="single" w:sz="4" w:space="0" w:color="C00000"/>
              <w:left w:val="single" w:sz="8" w:space="0" w:color="C00000"/>
              <w:bottom w:val="single" w:sz="4" w:space="0" w:color="C00000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EA3213" w14:textId="77777777" w:rsidR="0039356F" w:rsidRDefault="00611851">
            <w:r>
              <w:rPr>
                <w:b/>
                <w:bCs/>
                <w:color w:val="C00000"/>
                <w:sz w:val="22"/>
                <w:szCs w:val="22"/>
              </w:rPr>
              <w:t>[SUPP-2</w:t>
            </w:r>
            <w:proofErr w:type="gramStart"/>
            <w:r>
              <w:rPr>
                <w:b/>
                <w:bCs/>
                <w:color w:val="C00000"/>
                <w:sz w:val="22"/>
                <w:szCs w:val="22"/>
              </w:rPr>
              <w:t>]  SAR</w:t>
            </w:r>
            <w:proofErr w:type="gramEnd"/>
            <w:r>
              <w:rPr>
                <w:b/>
                <w:bCs/>
                <w:color w:val="C00000"/>
                <w:sz w:val="22"/>
                <w:szCs w:val="22"/>
              </w:rPr>
              <w:t xml:space="preserve"> Likelihood Derivation — Section 2.7, Equations 11–12</w:t>
            </w:r>
          </w:p>
          <w:p w14:paraId="48EA3214" w14:textId="77777777" w:rsidR="0039356F" w:rsidRDefault="00611851">
            <w:pPr>
              <w:spacing w:before="60"/>
            </w:pPr>
            <w:r>
              <w:rPr>
                <w:sz w:val="20"/>
                <w:szCs w:val="20"/>
              </w:rPr>
              <w:t>Currently: Full likelihood function and log-likelihood derivation for the SAR model. Standard textbook material. Adds length without novel contribution.</w:t>
            </w:r>
          </w:p>
          <w:p w14:paraId="48EA3215" w14:textId="77777777" w:rsidR="0039356F" w:rsidRDefault="00611851">
            <w:pPr>
              <w:spacing w:before="40"/>
            </w:pPr>
            <w:r>
              <w:rPr>
                <w:i/>
                <w:iCs/>
                <w:sz w:val="20"/>
                <w:szCs w:val="20"/>
              </w:rPr>
              <w:t xml:space="preserve">Proposed action: In main text, retain the model equation (Eq. 9) and note that MLE estimation is used via </w:t>
            </w:r>
            <w:proofErr w:type="spellStart"/>
            <w:proofErr w:type="gramStart"/>
            <w:r>
              <w:rPr>
                <w:i/>
                <w:iCs/>
                <w:sz w:val="20"/>
                <w:szCs w:val="20"/>
              </w:rPr>
              <w:t>lagsarlm</w:t>
            </w:r>
            <w:proofErr w:type="spellEnd"/>
            <w:r>
              <w:rPr>
                <w:i/>
                <w:iCs/>
                <w:sz w:val="20"/>
                <w:szCs w:val="20"/>
              </w:rPr>
              <w:t>(</w:t>
            </w:r>
            <w:proofErr w:type="gramEnd"/>
            <w:r>
              <w:rPr>
                <w:i/>
                <w:iCs/>
                <w:sz w:val="20"/>
                <w:szCs w:val="20"/>
              </w:rPr>
              <w:t>) in R. Move likelihood function (Eq. 11) and log-likelihood (Eq. 12) to Appendix B with a pointer: "Full likelihood derivation is provided in Supplementary Appendix B."</w:t>
            </w:r>
          </w:p>
        </w:tc>
      </w:tr>
    </w:tbl>
    <w:p w14:paraId="48EA3217" w14:textId="77777777" w:rsidR="0039356F" w:rsidRDefault="0039356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356F" w14:paraId="48EA321B" w14:textId="77777777">
        <w:tc>
          <w:tcPr>
            <w:tcW w:w="9360" w:type="dxa"/>
            <w:tcBorders>
              <w:top w:val="single" w:sz="4" w:space="0" w:color="C00000"/>
              <w:left w:val="single" w:sz="8" w:space="0" w:color="C00000"/>
              <w:bottom w:val="single" w:sz="4" w:space="0" w:color="C00000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EA3218" w14:textId="77777777" w:rsidR="0039356F" w:rsidRDefault="00611851">
            <w:r>
              <w:rPr>
                <w:b/>
                <w:bCs/>
                <w:color w:val="C00000"/>
                <w:sz w:val="22"/>
                <w:szCs w:val="22"/>
              </w:rPr>
              <w:t>[SUPP-3</w:t>
            </w:r>
            <w:proofErr w:type="gramStart"/>
            <w:r>
              <w:rPr>
                <w:b/>
                <w:bCs/>
                <w:color w:val="C00000"/>
                <w:sz w:val="22"/>
                <w:szCs w:val="22"/>
              </w:rPr>
              <w:t>]  Detailed</w:t>
            </w:r>
            <w:proofErr w:type="gramEnd"/>
            <w:r>
              <w:rPr>
                <w:b/>
                <w:bCs/>
                <w:color w:val="C00000"/>
                <w:sz w:val="22"/>
                <w:szCs w:val="22"/>
              </w:rPr>
              <w:t xml:space="preserve"> Simulation Step Enumeration — Section 3.2, Steps 1–8</w:t>
            </w:r>
          </w:p>
          <w:p w14:paraId="48EA3219" w14:textId="77777777" w:rsidR="0039356F" w:rsidRDefault="00611851">
            <w:pPr>
              <w:spacing w:before="60"/>
            </w:pPr>
            <w:r>
              <w:rPr>
                <w:sz w:val="20"/>
                <w:szCs w:val="20"/>
              </w:rPr>
              <w:t>Currently: Eight numbered steps (some with sub-steps a–f) describing the simulation procedure in granular detail. This level of detail is appropriate for a methods appendix, not the main body.</w:t>
            </w:r>
          </w:p>
          <w:p w14:paraId="48EA321A" w14:textId="77777777" w:rsidR="0039356F" w:rsidRDefault="00611851">
            <w:pPr>
              <w:spacing w:before="40"/>
            </w:pPr>
            <w:r>
              <w:rPr>
                <w:i/>
                <w:iCs/>
                <w:sz w:val="20"/>
                <w:szCs w:val="20"/>
              </w:rPr>
              <w:t>Proposed action: Condense Section 3.2 in the main text to a 3–4 sentence summary of the simulation logic. Move the full step-by-step algorithm to Appendix C with a reference: "The complete simulation algorithm is described in Supplementary Appendix C."</w:t>
            </w:r>
          </w:p>
        </w:tc>
      </w:tr>
    </w:tbl>
    <w:p w14:paraId="48EA321C" w14:textId="77777777" w:rsidR="0039356F" w:rsidRDefault="0039356F"/>
    <w:p w14:paraId="48EA321D" w14:textId="77777777" w:rsidR="0039356F" w:rsidRDefault="0039356F">
      <w:pPr>
        <w:pBdr>
          <w:bottom w:val="single" w:sz="6" w:space="0" w:color="2E75B6"/>
        </w:pBdr>
        <w:spacing w:before="100" w:after="100"/>
      </w:pPr>
    </w:p>
    <w:p w14:paraId="48EA321E" w14:textId="77777777" w:rsidR="0039356F" w:rsidRDefault="0039356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356F" w14:paraId="48EA3220" w14:textId="77777777">
        <w:tc>
          <w:tcPr>
            <w:tcW w:w="9360" w:type="dxa"/>
            <w:shd w:val="clear" w:color="auto" w:fill="ED7D3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EA321F" w14:textId="77777777" w:rsidR="0039356F" w:rsidRDefault="00611851">
            <w:r>
              <w:rPr>
                <w:b/>
                <w:bCs/>
                <w:color w:val="FFFFFF"/>
                <w:sz w:val="26"/>
                <w:szCs w:val="26"/>
              </w:rPr>
              <w:t>MODERATE CANDIDATES — Consider Moving (Lower Priority)</w:t>
            </w:r>
          </w:p>
        </w:tc>
      </w:tr>
    </w:tbl>
    <w:p w14:paraId="48EA3221" w14:textId="77777777" w:rsidR="0039356F" w:rsidRDefault="0039356F"/>
    <w:p w14:paraId="48EA3222" w14:textId="77777777" w:rsidR="0039356F" w:rsidRDefault="00611851">
      <w:pPr>
        <w:spacing w:before="60" w:after="60"/>
      </w:pPr>
      <w:r>
        <w:lastRenderedPageBreak/>
        <w:t>These items add detail but their removal from the main text is somewhat more discretionary. Moving them would further shorten the paper but might reduce some accessibility.</w:t>
      </w:r>
    </w:p>
    <w:p w14:paraId="48EA3223" w14:textId="77777777" w:rsidR="0039356F" w:rsidRDefault="0039356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356F" w14:paraId="48EA3227" w14:textId="77777777">
        <w:tc>
          <w:tcPr>
            <w:tcW w:w="9360" w:type="dxa"/>
            <w:tcBorders>
              <w:top w:val="single" w:sz="4" w:space="0" w:color="ED7D31"/>
              <w:left w:val="single" w:sz="8" w:space="0" w:color="ED7D31"/>
              <w:bottom w:val="single" w:sz="4" w:space="0" w:color="ED7D31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EA3224" w14:textId="77777777" w:rsidR="0039356F" w:rsidRDefault="00611851">
            <w:r>
              <w:rPr>
                <w:b/>
                <w:bCs/>
                <w:color w:val="ED7D31"/>
                <w:sz w:val="22"/>
                <w:szCs w:val="22"/>
              </w:rPr>
              <w:t>[SUPP-4</w:t>
            </w:r>
            <w:proofErr w:type="gramStart"/>
            <w:r>
              <w:rPr>
                <w:b/>
                <w:bCs/>
                <w:color w:val="ED7D31"/>
                <w:sz w:val="22"/>
                <w:szCs w:val="22"/>
              </w:rPr>
              <w:t>]  Section</w:t>
            </w:r>
            <w:proofErr w:type="gramEnd"/>
            <w:r>
              <w:rPr>
                <w:b/>
                <w:bCs/>
                <w:color w:val="ED7D31"/>
                <w:sz w:val="22"/>
                <w:szCs w:val="22"/>
              </w:rPr>
              <w:t xml:space="preserve"> 2.6 — Moran's I and Geary's C Definitions</w:t>
            </w:r>
          </w:p>
          <w:p w14:paraId="48EA3225" w14:textId="77777777" w:rsidR="0039356F" w:rsidRDefault="00611851">
            <w:pPr>
              <w:spacing w:before="60"/>
            </w:pPr>
            <w:r>
              <w:rPr>
                <w:sz w:val="20"/>
                <w:szCs w:val="20"/>
              </w:rPr>
              <w:t>Currently: Definitions and formulas for Moran's I and Geary's C. These are standard spatial statistics metrics mentioned but not used analytically in the paper.</w:t>
            </w:r>
          </w:p>
          <w:p w14:paraId="48EA3226" w14:textId="77777777" w:rsidR="0039356F" w:rsidRDefault="00611851">
            <w:pPr>
              <w:spacing w:before="40"/>
            </w:pPr>
            <w:r>
              <w:rPr>
                <w:i/>
                <w:iCs/>
                <w:sz w:val="20"/>
                <w:szCs w:val="20"/>
              </w:rPr>
              <w:t xml:space="preserve">Proposed action: Either remove entirely (just cite standard references) or move to supplement. Keep one sentence: "Spatial autocorrelation can be </w:t>
            </w:r>
            <w:proofErr w:type="spellStart"/>
            <w:r>
              <w:rPr>
                <w:i/>
                <w:iCs/>
                <w:sz w:val="20"/>
                <w:szCs w:val="20"/>
              </w:rPr>
              <w:t>assessed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via Moran's I and Geary's C [refs]; we use the spatial weights matrix W in the SAR model to account for spatial dependence."</w:t>
            </w:r>
          </w:p>
        </w:tc>
      </w:tr>
    </w:tbl>
    <w:p w14:paraId="48EA3228" w14:textId="77777777" w:rsidR="0039356F" w:rsidRDefault="0039356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356F" w14:paraId="48EA322C" w14:textId="77777777">
        <w:tc>
          <w:tcPr>
            <w:tcW w:w="9360" w:type="dxa"/>
            <w:tcBorders>
              <w:top w:val="single" w:sz="4" w:space="0" w:color="ED7D31"/>
              <w:left w:val="single" w:sz="8" w:space="0" w:color="ED7D31"/>
              <w:bottom w:val="single" w:sz="4" w:space="0" w:color="ED7D31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EA3229" w14:textId="77777777" w:rsidR="0039356F" w:rsidRDefault="00611851">
            <w:r>
              <w:rPr>
                <w:b/>
                <w:bCs/>
                <w:color w:val="ED7D31"/>
                <w:sz w:val="22"/>
                <w:szCs w:val="22"/>
              </w:rPr>
              <w:t>[SUPP-5</w:t>
            </w:r>
            <w:proofErr w:type="gramStart"/>
            <w:r>
              <w:rPr>
                <w:b/>
                <w:bCs/>
                <w:color w:val="ED7D31"/>
                <w:sz w:val="22"/>
                <w:szCs w:val="22"/>
              </w:rPr>
              <w:t>]  Section</w:t>
            </w:r>
            <w:proofErr w:type="gramEnd"/>
            <w:r>
              <w:rPr>
                <w:b/>
                <w:bCs/>
                <w:color w:val="ED7D31"/>
                <w:sz w:val="22"/>
                <w:szCs w:val="22"/>
              </w:rPr>
              <w:t xml:space="preserve"> 2.2 — Distance-Based Neighbor Subsection</w:t>
            </w:r>
          </w:p>
          <w:p w14:paraId="48EA322A" w14:textId="77777777" w:rsidR="0039356F" w:rsidRDefault="00611851">
            <w:pPr>
              <w:spacing w:before="60"/>
            </w:pPr>
            <w:r>
              <w:rPr>
                <w:sz w:val="20"/>
                <w:szCs w:val="20"/>
              </w:rPr>
              <w:t>Currently: Full subsection (2.2.2) defining distance-based neighbors with the circumscribed boundary explanation. This neighbor type is not actually used in the main simulation (Rook/Queen is used), which makes this feel out of place.</w:t>
            </w:r>
          </w:p>
          <w:p w14:paraId="48EA322B" w14:textId="77777777" w:rsidR="0039356F" w:rsidRDefault="00611851">
            <w:pPr>
              <w:spacing w:before="40"/>
            </w:pPr>
            <w:r>
              <w:rPr>
                <w:i/>
                <w:iCs/>
                <w:sz w:val="20"/>
                <w:szCs w:val="20"/>
              </w:rPr>
              <w:t>Proposed action: Either remove Section 2.2.2 entirely (mention briefly in 1 sentence as an alternative not explored here) or move to supplement as background material. The simulation uses Rook neighbors; distance-based neighbors are a future direction.</w:t>
            </w:r>
          </w:p>
        </w:tc>
      </w:tr>
    </w:tbl>
    <w:p w14:paraId="48EA322D" w14:textId="77777777" w:rsidR="0039356F" w:rsidRDefault="0039356F"/>
    <w:p w14:paraId="48EA322E" w14:textId="77777777" w:rsidR="0039356F" w:rsidRDefault="0039356F">
      <w:pPr>
        <w:pBdr>
          <w:bottom w:val="single" w:sz="6" w:space="0" w:color="2E75B6"/>
        </w:pBdr>
        <w:spacing w:before="100" w:after="100"/>
      </w:pPr>
    </w:p>
    <w:p w14:paraId="48EA322F" w14:textId="77777777" w:rsidR="0039356F" w:rsidRDefault="0039356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356F" w14:paraId="48EA3231" w14:textId="77777777">
        <w:tc>
          <w:tcPr>
            <w:tcW w:w="9360" w:type="dxa"/>
            <w:shd w:val="clear" w:color="auto" w:fill="37562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EA3230" w14:textId="77777777" w:rsidR="0039356F" w:rsidRDefault="00611851">
            <w:r>
              <w:rPr>
                <w:b/>
                <w:bCs/>
                <w:color w:val="FFFFFF"/>
                <w:sz w:val="26"/>
                <w:szCs w:val="26"/>
              </w:rPr>
              <w:t>KEEP IN MAIN TEXT — Do Not Move</w:t>
            </w:r>
          </w:p>
        </w:tc>
      </w:tr>
    </w:tbl>
    <w:p w14:paraId="48EA3232" w14:textId="77777777" w:rsidR="0039356F" w:rsidRDefault="0039356F"/>
    <w:p w14:paraId="48EA3233" w14:textId="77777777" w:rsidR="0039356F" w:rsidRDefault="00611851">
      <w:pPr>
        <w:spacing w:before="60" w:after="60"/>
      </w:pPr>
      <w:r>
        <w:t>These items should remain in the main manuscript body as they are central to understanding the paper's contribution:</w:t>
      </w:r>
    </w:p>
    <w:p w14:paraId="48EA3234" w14:textId="77777777" w:rsidR="0039356F" w:rsidRDefault="0039356F"/>
    <w:p w14:paraId="48EA3235" w14:textId="77777777" w:rsidR="0039356F" w:rsidRDefault="00611851">
      <w:pPr>
        <w:pStyle w:val="ListParagraph"/>
        <w:numPr>
          <w:ilvl w:val="0"/>
          <w:numId w:val="2"/>
        </w:numPr>
        <w:spacing w:before="40" w:after="20"/>
      </w:pPr>
      <w:r>
        <w:t>Section 2.3 — Intervention &amp; Spillover Effects: core conceptual framework, must stay.</w:t>
      </w:r>
    </w:p>
    <w:p w14:paraId="48EA3236" w14:textId="77777777" w:rsidR="0039356F" w:rsidRDefault="00611851">
      <w:pPr>
        <w:pStyle w:val="ListParagraph"/>
        <w:numPr>
          <w:ilvl w:val="0"/>
          <w:numId w:val="2"/>
        </w:numPr>
        <w:spacing w:before="40" w:after="20"/>
      </w:pPr>
      <w:r>
        <w:t>Section 2.4 — Simple Random vs. Block Stratified Sampling (definition &amp; grid examples): central contribution, must stay. Can trim grid subsections if space needed.</w:t>
      </w:r>
    </w:p>
    <w:p w14:paraId="48EA3237" w14:textId="77777777" w:rsidR="0039356F" w:rsidRDefault="00611851">
      <w:pPr>
        <w:pStyle w:val="ListParagraph"/>
        <w:numPr>
          <w:ilvl w:val="0"/>
          <w:numId w:val="2"/>
        </w:numPr>
        <w:spacing w:before="40" w:after="20"/>
      </w:pPr>
      <w:r>
        <w:t>Section 2.5 — SAR Model (Equations 1–3): main modeling framework, keep.</w:t>
      </w:r>
    </w:p>
    <w:p w14:paraId="48EA3238" w14:textId="77777777" w:rsidR="0039356F" w:rsidRDefault="00611851">
      <w:pPr>
        <w:pStyle w:val="ListParagraph"/>
        <w:numPr>
          <w:ilvl w:val="0"/>
          <w:numId w:val="2"/>
        </w:numPr>
        <w:spacing w:before="40" w:after="20"/>
      </w:pPr>
      <w:r>
        <w:t>Section 3.1 — Simulation Scenarios &amp; Response: parameter table, keep (can trim narrative).</w:t>
      </w:r>
    </w:p>
    <w:p w14:paraId="48EA3239" w14:textId="77777777" w:rsidR="0039356F" w:rsidRDefault="00611851">
      <w:pPr>
        <w:pStyle w:val="ListParagraph"/>
        <w:numPr>
          <w:ilvl w:val="0"/>
          <w:numId w:val="2"/>
        </w:numPr>
        <w:spacing w:before="40" w:after="20"/>
      </w:pPr>
      <w:r>
        <w:t>Sections 3.4–3.6 — Results by grid size: keep but rewrite per R1.5.</w:t>
      </w:r>
    </w:p>
    <w:p w14:paraId="48EA323A" w14:textId="77777777" w:rsidR="0039356F" w:rsidRDefault="00611851">
      <w:pPr>
        <w:pStyle w:val="ListParagraph"/>
        <w:numPr>
          <w:ilvl w:val="0"/>
          <w:numId w:val="2"/>
        </w:numPr>
        <w:spacing w:before="40" w:after="20"/>
      </w:pPr>
      <w:r>
        <w:t>Section 4 — Application (NC case studies): key practical contribution, keep.</w:t>
      </w:r>
    </w:p>
    <w:p w14:paraId="48EA323B" w14:textId="77777777" w:rsidR="0039356F" w:rsidRDefault="00611851">
      <w:pPr>
        <w:pStyle w:val="ListParagraph"/>
        <w:numPr>
          <w:ilvl w:val="0"/>
          <w:numId w:val="2"/>
        </w:numPr>
        <w:spacing w:before="40" w:after="20"/>
      </w:pPr>
      <w:r>
        <w:t>Section 5 — Discussion, Limitations, Future Directions: keep; expand per R1.2 and R1.3.</w:t>
      </w:r>
    </w:p>
    <w:p w14:paraId="48EA323C" w14:textId="77777777" w:rsidR="0039356F" w:rsidRDefault="0039356F"/>
    <w:p w14:paraId="48EA323D" w14:textId="77777777" w:rsidR="0039356F" w:rsidRDefault="0039356F">
      <w:pPr>
        <w:pBdr>
          <w:bottom w:val="single" w:sz="6" w:space="0" w:color="2E75B6"/>
        </w:pBdr>
        <w:spacing w:before="100" w:after="100"/>
      </w:pPr>
    </w:p>
    <w:p w14:paraId="48EA323E" w14:textId="77777777" w:rsidR="0039356F" w:rsidRDefault="0039356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356F" w14:paraId="48EA3240" w14:textId="77777777">
        <w:tc>
          <w:tcPr>
            <w:tcW w:w="9360" w:type="dxa"/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EA323F" w14:textId="77777777" w:rsidR="0039356F" w:rsidRDefault="00611851">
            <w:r>
              <w:rPr>
                <w:b/>
                <w:bCs/>
                <w:color w:val="FFFFFF"/>
                <w:sz w:val="26"/>
                <w:szCs w:val="26"/>
              </w:rPr>
              <w:t>REVIEW &amp; APPROVAL CHECKPOINT</w:t>
            </w:r>
          </w:p>
        </w:tc>
      </w:tr>
    </w:tbl>
    <w:p w14:paraId="48EA3241" w14:textId="77777777" w:rsidR="0039356F" w:rsidRDefault="0039356F"/>
    <w:p w14:paraId="48EA3242" w14:textId="77777777" w:rsidR="0039356F" w:rsidRDefault="00611851">
      <w:pPr>
        <w:spacing w:before="60" w:after="60"/>
      </w:pPr>
      <w:r>
        <w:t>Please review the candidates above and indicate your decisions before the LaTeX revision begins. Suggested decisions:</w:t>
      </w:r>
    </w:p>
    <w:p w14:paraId="48EA3243" w14:textId="77777777" w:rsidR="0039356F" w:rsidRDefault="0039356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60"/>
        <w:gridCol w:w="2400"/>
        <w:gridCol w:w="1400"/>
      </w:tblGrid>
      <w:tr w:rsidR="0039356F" w14:paraId="48EA3248" w14:textId="77777777">
        <w:tc>
          <w:tcPr>
            <w:tcW w:w="1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A3244" w14:textId="77777777" w:rsidR="0039356F" w:rsidRDefault="00611851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5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A3245" w14:textId="77777777" w:rsidR="0039356F" w:rsidRDefault="00611851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A3246" w14:textId="77777777" w:rsidR="0039356F" w:rsidRDefault="00611851">
            <w:r>
              <w:rPr>
                <w:b/>
                <w:bCs/>
                <w:color w:val="FFFFFF"/>
                <w:sz w:val="20"/>
                <w:szCs w:val="20"/>
              </w:rPr>
              <w:t>Default Recommendation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A3247" w14:textId="77777777" w:rsidR="0039356F" w:rsidRDefault="00611851">
            <w:r>
              <w:rPr>
                <w:b/>
                <w:bCs/>
                <w:color w:val="FFFFFF"/>
                <w:sz w:val="20"/>
                <w:szCs w:val="20"/>
              </w:rPr>
              <w:t>Your Decision</w:t>
            </w:r>
          </w:p>
        </w:tc>
      </w:tr>
      <w:tr w:rsidR="0039356F" w14:paraId="48EA324D" w14:textId="77777777"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A3249" w14:textId="77777777" w:rsidR="0039356F" w:rsidRDefault="00611851">
            <w:r>
              <w:rPr>
                <w:sz w:val="20"/>
                <w:szCs w:val="20"/>
              </w:rPr>
              <w:t>SUPP-1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A324A" w14:textId="77777777" w:rsidR="0039356F" w:rsidRDefault="00611851">
            <w:r>
              <w:rPr>
                <w:sz w:val="20"/>
                <w:szCs w:val="20"/>
              </w:rPr>
              <w:t xml:space="preserve">Spatial weights </w:t>
            </w:r>
            <w:proofErr w:type="spellStart"/>
            <w:r>
              <w:rPr>
                <w:sz w:val="20"/>
                <w:szCs w:val="20"/>
              </w:rPr>
              <w:t>Eqs</w:t>
            </w:r>
            <w:proofErr w:type="spellEnd"/>
            <w:r>
              <w:rPr>
                <w:sz w:val="20"/>
                <w:szCs w:val="20"/>
              </w:rPr>
              <w:t>. 5–8 (Section 2.6)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A324B" w14:textId="77777777" w:rsidR="0039356F" w:rsidRDefault="00611851">
            <w:r>
              <w:rPr>
                <w:sz w:val="20"/>
                <w:szCs w:val="20"/>
              </w:rPr>
              <w:t>Move to Supplement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A324C" w14:textId="6FF7BCB5" w:rsidR="0039356F" w:rsidRDefault="006A447A">
            <w:r>
              <w:t>Yes</w:t>
            </w:r>
          </w:p>
        </w:tc>
      </w:tr>
      <w:tr w:rsidR="0039356F" w14:paraId="48EA3252" w14:textId="77777777"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A324E" w14:textId="77777777" w:rsidR="0039356F" w:rsidRDefault="00611851">
            <w:r>
              <w:rPr>
                <w:sz w:val="20"/>
                <w:szCs w:val="20"/>
              </w:rPr>
              <w:t>SUPP-2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A324F" w14:textId="77777777" w:rsidR="0039356F" w:rsidRDefault="00611851">
            <w:r>
              <w:rPr>
                <w:sz w:val="20"/>
                <w:szCs w:val="20"/>
              </w:rPr>
              <w:t xml:space="preserve">SAR likelihood </w:t>
            </w:r>
            <w:proofErr w:type="spellStart"/>
            <w:r>
              <w:rPr>
                <w:sz w:val="20"/>
                <w:szCs w:val="20"/>
              </w:rPr>
              <w:t>Eqs</w:t>
            </w:r>
            <w:proofErr w:type="spellEnd"/>
            <w:r>
              <w:rPr>
                <w:sz w:val="20"/>
                <w:szCs w:val="20"/>
              </w:rPr>
              <w:t>. 11–12 (Section 2.7)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A3250" w14:textId="77777777" w:rsidR="0039356F" w:rsidRDefault="00611851">
            <w:r>
              <w:rPr>
                <w:sz w:val="20"/>
                <w:szCs w:val="20"/>
              </w:rPr>
              <w:t>Move to Supplement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A3251" w14:textId="3B7DEEFE" w:rsidR="0039356F" w:rsidRDefault="006A447A">
            <w:r>
              <w:t>Yes</w:t>
            </w:r>
          </w:p>
        </w:tc>
      </w:tr>
      <w:tr w:rsidR="0039356F" w14:paraId="48EA3257" w14:textId="77777777"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A3253" w14:textId="77777777" w:rsidR="0039356F" w:rsidRDefault="00611851">
            <w:r>
              <w:rPr>
                <w:sz w:val="20"/>
                <w:szCs w:val="20"/>
              </w:rPr>
              <w:lastRenderedPageBreak/>
              <w:t>SUPP-3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A3254" w14:textId="77777777" w:rsidR="0039356F" w:rsidRDefault="00611851">
            <w:r>
              <w:rPr>
                <w:sz w:val="20"/>
                <w:szCs w:val="20"/>
              </w:rPr>
              <w:t>Full simulation step list (Section 3.2)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A3255" w14:textId="77777777" w:rsidR="0039356F" w:rsidRDefault="00611851">
            <w:r>
              <w:rPr>
                <w:sz w:val="20"/>
                <w:szCs w:val="20"/>
              </w:rPr>
              <w:t>Move to Supplement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A3256" w14:textId="4FD15C6A" w:rsidR="0039356F" w:rsidRDefault="006A447A">
            <w:r>
              <w:t>Yes</w:t>
            </w:r>
          </w:p>
        </w:tc>
      </w:tr>
      <w:tr w:rsidR="0039356F" w14:paraId="48EA325C" w14:textId="77777777"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A3258" w14:textId="77777777" w:rsidR="0039356F" w:rsidRDefault="00611851">
            <w:r>
              <w:rPr>
                <w:sz w:val="20"/>
                <w:szCs w:val="20"/>
              </w:rPr>
              <w:t>SUPP-4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A3259" w14:textId="77777777" w:rsidR="0039356F" w:rsidRDefault="00611851">
            <w:r>
              <w:rPr>
                <w:sz w:val="20"/>
                <w:szCs w:val="20"/>
              </w:rPr>
              <w:t>Moran's I &amp; Geary's C definitions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A325A" w14:textId="77777777" w:rsidR="0039356F" w:rsidRDefault="00611851">
            <w:r>
              <w:rPr>
                <w:sz w:val="20"/>
                <w:szCs w:val="20"/>
              </w:rPr>
              <w:t xml:space="preserve">Move or </w:t>
            </w:r>
            <w:proofErr w:type="gramStart"/>
            <w:r>
              <w:rPr>
                <w:sz w:val="20"/>
                <w:szCs w:val="20"/>
              </w:rPr>
              <w:t>Remove</w:t>
            </w:r>
            <w:proofErr w:type="gram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A325B" w14:textId="209D2E44" w:rsidR="0039356F" w:rsidRDefault="004728D2">
            <w:r>
              <w:t>Move</w:t>
            </w:r>
          </w:p>
        </w:tc>
      </w:tr>
      <w:tr w:rsidR="0039356F" w14:paraId="48EA3261" w14:textId="77777777"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A325D" w14:textId="77777777" w:rsidR="0039356F" w:rsidRDefault="00611851">
            <w:r>
              <w:rPr>
                <w:sz w:val="20"/>
                <w:szCs w:val="20"/>
              </w:rPr>
              <w:t>SUPP-5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A325E" w14:textId="77777777" w:rsidR="0039356F" w:rsidRDefault="00611851">
            <w:r>
              <w:rPr>
                <w:sz w:val="20"/>
                <w:szCs w:val="20"/>
              </w:rPr>
              <w:t>Distance-based neighbor subsection (2.2.2)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A325F" w14:textId="77777777" w:rsidR="0039356F" w:rsidRDefault="00611851">
            <w:r>
              <w:rPr>
                <w:sz w:val="20"/>
                <w:szCs w:val="20"/>
              </w:rPr>
              <w:t xml:space="preserve">Remove or </w:t>
            </w:r>
            <w:proofErr w:type="gramStart"/>
            <w:r>
              <w:rPr>
                <w:sz w:val="20"/>
                <w:szCs w:val="20"/>
              </w:rPr>
              <w:t>Move</w:t>
            </w:r>
            <w:proofErr w:type="gram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A3260" w14:textId="5FFDCA54" w:rsidR="0039356F" w:rsidRDefault="0022074F">
            <w:r>
              <w:t>Move</w:t>
            </w:r>
          </w:p>
        </w:tc>
      </w:tr>
    </w:tbl>
    <w:p w14:paraId="48EA3262" w14:textId="77777777" w:rsidR="0039356F" w:rsidRDefault="0039356F"/>
    <w:p w14:paraId="4CF8A9D8" w14:textId="700C7992" w:rsidR="008B2B91" w:rsidRDefault="008B2B91" w:rsidP="008B2B91">
      <w:pPr>
        <w:pStyle w:val="ListParagraph"/>
        <w:numPr>
          <w:ilvl w:val="0"/>
          <w:numId w:val="3"/>
        </w:numPr>
      </w:pPr>
      <w:r>
        <w:t xml:space="preserve">Review the decisions regarding the suggestions. For any content that is moved to an appendix/supplemental material, ensure that the </w:t>
      </w:r>
      <w:r w:rsidR="009142F3">
        <w:t>surrounding context/flow of the manuscript is maintained (not just cut &amp; paste)</w:t>
      </w:r>
    </w:p>
    <w:p w14:paraId="177C1A66" w14:textId="04123C74" w:rsidR="009142F3" w:rsidRDefault="009142F3" w:rsidP="008B2B91">
      <w:pPr>
        <w:pStyle w:val="ListParagraph"/>
        <w:numPr>
          <w:ilvl w:val="0"/>
          <w:numId w:val="3"/>
        </w:numPr>
      </w:pPr>
      <w:r>
        <w:t>In general, it seems that the larger “chunks” can be moved to the appendix while replacing their spot in the main text with a brief comment/note</w:t>
      </w:r>
    </w:p>
    <w:sectPr w:rsidR="009142F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A08DA"/>
    <w:multiLevelType w:val="hybridMultilevel"/>
    <w:tmpl w:val="7C9A9EDA"/>
    <w:lvl w:ilvl="0" w:tplc="818A347A">
      <w:start w:val="1"/>
      <w:numFmt w:val="decimal"/>
      <w:lvlText w:val="%1."/>
      <w:lvlJc w:val="left"/>
      <w:pPr>
        <w:ind w:left="720" w:hanging="360"/>
      </w:pPr>
    </w:lvl>
    <w:lvl w:ilvl="1" w:tplc="B6D46A36">
      <w:numFmt w:val="decimal"/>
      <w:lvlText w:val=""/>
      <w:lvlJc w:val="left"/>
    </w:lvl>
    <w:lvl w:ilvl="2" w:tplc="3064E426">
      <w:numFmt w:val="decimal"/>
      <w:lvlText w:val=""/>
      <w:lvlJc w:val="left"/>
    </w:lvl>
    <w:lvl w:ilvl="3" w:tplc="324E53B2">
      <w:numFmt w:val="decimal"/>
      <w:lvlText w:val=""/>
      <w:lvlJc w:val="left"/>
    </w:lvl>
    <w:lvl w:ilvl="4" w:tplc="6ADE4FF8">
      <w:numFmt w:val="decimal"/>
      <w:lvlText w:val=""/>
      <w:lvlJc w:val="left"/>
    </w:lvl>
    <w:lvl w:ilvl="5" w:tplc="4A6EBFA6">
      <w:numFmt w:val="decimal"/>
      <w:lvlText w:val=""/>
      <w:lvlJc w:val="left"/>
    </w:lvl>
    <w:lvl w:ilvl="6" w:tplc="C3DAFA4A">
      <w:numFmt w:val="decimal"/>
      <w:lvlText w:val=""/>
      <w:lvlJc w:val="left"/>
    </w:lvl>
    <w:lvl w:ilvl="7" w:tplc="6B3A32BE">
      <w:numFmt w:val="decimal"/>
      <w:lvlText w:val=""/>
      <w:lvlJc w:val="left"/>
    </w:lvl>
    <w:lvl w:ilvl="8" w:tplc="170C9BD2">
      <w:numFmt w:val="decimal"/>
      <w:lvlText w:val=""/>
      <w:lvlJc w:val="left"/>
    </w:lvl>
  </w:abstractNum>
  <w:abstractNum w:abstractNumId="1" w15:restartNumberingAfterBreak="0">
    <w:nsid w:val="49480395"/>
    <w:multiLevelType w:val="hybridMultilevel"/>
    <w:tmpl w:val="3C3AF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8C4FFD"/>
    <w:multiLevelType w:val="hybridMultilevel"/>
    <w:tmpl w:val="AE929444"/>
    <w:lvl w:ilvl="0" w:tplc="6E6A7884">
      <w:start w:val="1"/>
      <w:numFmt w:val="bullet"/>
      <w:lvlText w:val="●"/>
      <w:lvlJc w:val="left"/>
      <w:pPr>
        <w:ind w:left="720" w:hanging="360"/>
      </w:pPr>
    </w:lvl>
    <w:lvl w:ilvl="1" w:tplc="D6A4D990">
      <w:start w:val="1"/>
      <w:numFmt w:val="bullet"/>
      <w:lvlText w:val="○"/>
      <w:lvlJc w:val="left"/>
      <w:pPr>
        <w:ind w:left="1440" w:hanging="360"/>
      </w:pPr>
    </w:lvl>
    <w:lvl w:ilvl="2" w:tplc="F3386D24">
      <w:start w:val="1"/>
      <w:numFmt w:val="bullet"/>
      <w:lvlText w:val="■"/>
      <w:lvlJc w:val="left"/>
      <w:pPr>
        <w:ind w:left="2160" w:hanging="360"/>
      </w:pPr>
    </w:lvl>
    <w:lvl w:ilvl="3" w:tplc="582608B2">
      <w:start w:val="1"/>
      <w:numFmt w:val="bullet"/>
      <w:lvlText w:val="●"/>
      <w:lvlJc w:val="left"/>
      <w:pPr>
        <w:ind w:left="2880" w:hanging="360"/>
      </w:pPr>
    </w:lvl>
    <w:lvl w:ilvl="4" w:tplc="14A0B9A2">
      <w:start w:val="1"/>
      <w:numFmt w:val="bullet"/>
      <w:lvlText w:val="○"/>
      <w:lvlJc w:val="left"/>
      <w:pPr>
        <w:ind w:left="3600" w:hanging="360"/>
      </w:pPr>
    </w:lvl>
    <w:lvl w:ilvl="5" w:tplc="FE081182">
      <w:start w:val="1"/>
      <w:numFmt w:val="bullet"/>
      <w:lvlText w:val="■"/>
      <w:lvlJc w:val="left"/>
      <w:pPr>
        <w:ind w:left="4320" w:hanging="360"/>
      </w:pPr>
    </w:lvl>
    <w:lvl w:ilvl="6" w:tplc="23BAF8FC">
      <w:start w:val="1"/>
      <w:numFmt w:val="bullet"/>
      <w:lvlText w:val="●"/>
      <w:lvlJc w:val="left"/>
      <w:pPr>
        <w:ind w:left="5040" w:hanging="360"/>
      </w:pPr>
    </w:lvl>
    <w:lvl w:ilvl="7" w:tplc="8C5C0C02">
      <w:start w:val="1"/>
      <w:numFmt w:val="bullet"/>
      <w:lvlText w:val="●"/>
      <w:lvlJc w:val="left"/>
      <w:pPr>
        <w:ind w:left="5760" w:hanging="360"/>
      </w:pPr>
    </w:lvl>
    <w:lvl w:ilvl="8" w:tplc="E3BC376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330492"/>
    <w:multiLevelType w:val="hybridMultilevel"/>
    <w:tmpl w:val="F64AF5E2"/>
    <w:lvl w:ilvl="0" w:tplc="7DA0D46C">
      <w:start w:val="1"/>
      <w:numFmt w:val="bullet"/>
      <w:lvlText w:val="•"/>
      <w:lvlJc w:val="left"/>
      <w:pPr>
        <w:ind w:left="720" w:hanging="360"/>
      </w:pPr>
    </w:lvl>
    <w:lvl w:ilvl="1" w:tplc="D30C259C">
      <w:numFmt w:val="decimal"/>
      <w:lvlText w:val=""/>
      <w:lvlJc w:val="left"/>
    </w:lvl>
    <w:lvl w:ilvl="2" w:tplc="1B2487C2">
      <w:numFmt w:val="decimal"/>
      <w:lvlText w:val=""/>
      <w:lvlJc w:val="left"/>
    </w:lvl>
    <w:lvl w:ilvl="3" w:tplc="93409904">
      <w:numFmt w:val="decimal"/>
      <w:lvlText w:val=""/>
      <w:lvlJc w:val="left"/>
    </w:lvl>
    <w:lvl w:ilvl="4" w:tplc="A6A471F0">
      <w:numFmt w:val="decimal"/>
      <w:lvlText w:val=""/>
      <w:lvlJc w:val="left"/>
    </w:lvl>
    <w:lvl w:ilvl="5" w:tplc="61A67DDE">
      <w:numFmt w:val="decimal"/>
      <w:lvlText w:val=""/>
      <w:lvlJc w:val="left"/>
    </w:lvl>
    <w:lvl w:ilvl="6" w:tplc="2E062B14">
      <w:numFmt w:val="decimal"/>
      <w:lvlText w:val=""/>
      <w:lvlJc w:val="left"/>
    </w:lvl>
    <w:lvl w:ilvl="7" w:tplc="E3EC7268">
      <w:numFmt w:val="decimal"/>
      <w:lvlText w:val=""/>
      <w:lvlJc w:val="left"/>
    </w:lvl>
    <w:lvl w:ilvl="8" w:tplc="9208E7A0">
      <w:numFmt w:val="decimal"/>
      <w:lvlText w:val=""/>
      <w:lvlJc w:val="left"/>
    </w:lvl>
  </w:abstractNum>
  <w:num w:numId="1" w16cid:durableId="1205018125">
    <w:abstractNumId w:val="2"/>
    <w:lvlOverride w:ilvl="0">
      <w:startOverride w:val="1"/>
    </w:lvlOverride>
  </w:num>
  <w:num w:numId="2" w16cid:durableId="1035425195">
    <w:abstractNumId w:val="3"/>
    <w:lvlOverride w:ilvl="0">
      <w:startOverride w:val="1"/>
    </w:lvlOverride>
  </w:num>
  <w:num w:numId="3" w16cid:durableId="1116094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56F"/>
    <w:rsid w:val="0022074F"/>
    <w:rsid w:val="00392DA4"/>
    <w:rsid w:val="0039356F"/>
    <w:rsid w:val="004728D2"/>
    <w:rsid w:val="004D61A5"/>
    <w:rsid w:val="00611851"/>
    <w:rsid w:val="006A447A"/>
    <w:rsid w:val="008B2B91"/>
    <w:rsid w:val="009142F3"/>
    <w:rsid w:val="00B8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EA3201"/>
  <w15:docId w15:val="{7CEFF665-2009-6246-8191-030DD3FEE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793</Words>
  <Characters>4523</Characters>
  <Application>Microsoft Office Word</Application>
  <DocSecurity>0</DocSecurity>
  <Lines>37</Lines>
  <Paragraphs>10</Paragraphs>
  <ScaleCrop>false</ScaleCrop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Walther, Andrew Joseph</cp:lastModifiedBy>
  <cp:revision>7</cp:revision>
  <dcterms:created xsi:type="dcterms:W3CDTF">2026-03-28T22:19:00Z</dcterms:created>
  <dcterms:modified xsi:type="dcterms:W3CDTF">2026-04-01T03:26:00Z</dcterms:modified>
</cp:coreProperties>
</file>