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E5090"/>
          <w:sz w:val="36"/>
          <w:szCs w:val="36"/>
        </w:rPr>
        <w:t xml:space="preserve">Revision Plan — Item by Item (Round 2)</w:t>
      </w:r>
    </w:p>
    <w:p>
      <w:pPr>
        <w:spacing w:after="80"/>
      </w:pPr>
      <w:r>
        <w:rPr>
          <w:sz w:val="22"/>
          <w:szCs w:val="22"/>
        </w:rPr>
        <w:t xml:space="preserve">Manuscript: Spatial Cluster Randomized Trials — Sampling Design with Spillover Effects &amp; Spatial Dependence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Journal: BMC Medical Research Methodology   |   Revision 2, May 2026   |   Reviewer: Michael Grayling</w:t>
      </w:r>
    </w:p>
    <w:p>
      <w:pPr>
        <w:spacing w:after="300"/>
      </w:pPr>
      <w:r>
        <w:rPr>
          <w:i/>
          <w:iCs/>
          <w:color w:val="AA2222"/>
          <w:sz w:val="22"/>
          <w:szCs w:val="22"/>
        </w:rPr>
        <w:t xml:space="preserve">All 6 major comments addressed. See Revisions_V2.tex for changes. Resubmission deadline: June 10, 2026.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000"/>
        <w:gridCol w:w="9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Reviewer Concern (Summarized)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Taken in Revisions_V2.tex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C1 | Major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Estimands: beta (intervention effect) described as 'total treatment effect' in Section 2.3.1. In the SAR model beta is the direct effect only; indirect (spillover) effect is captured by psi. Total effect involves both components.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Changed 'total treatment effect' -&gt; 'direct effect' for beta. Added clarification that in TrtSpill scenarios the structural model ensures psi captures the spillover contribution separately; total effect on treated+spill cluster = beta-hat + psi-hat.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6B1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C2 | Major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Spillover notation: psi(d_i) written as a function of distance from 'nearest intervention source' but (a) source is undefined, (b) model uses binary Rook indicator (not distance), (c) psi becomes a scalar in model (6).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Replaced psi(d_i) with psi (scalar). Defined 'treated cluster' (cluster assigned to receive the intervention) as the source of spillover. Clarified z_i is a binary Rook-neighbor indicator, not a distance function. Added cross-ref to Appendix E for distance-based neighbor extension.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6B1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C3 | Major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Notation issues: w_ij not defined at Equation (1); inconsistent indexing (y uses i,k but x and epsilon do not); Equations (4)-(6) drop cluster index without explanation; W definition unclear (cluster vs. individual level).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Added inline definition of w_ij immediately after Eq (1) with pointer to Appendix A. Added clarifying note: i indexes clusters, k indexes individuals within cluster. Added statement that x_i and z_i are cluster-level quantities constant for all k within cluster i. Clarified W is n x n cluster-level adjacency matrix.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6B1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C4 | Major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Simulation study does not explicitly state what model is estimated. If spillover indicator is omitted from the estimation model this must be stated. If included, near-collinearity between x_i and z_i creates identification issues.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Added a new paragraph after the DGP equation explicitly stating that the estimation model (Eq. EstModel) has the same structural form as the DGP. Clarified that bias arises from (1) collinearity between x_i and z_i varying by SRS vs BSS allocation, and (2) interaction of rho with spatial treatment structure. Cross-referenced Appendix B (likelihood).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6B1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C5 | Major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Inference: BSS has only 2-6 valid allocations (nearly deterministic). If BSS is a 'design-stage tool' only, what practical value does it have? Permutation test under BSS would have near-zero power.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Expanded the design-stage inference paragraph (Sec 3.1) to explicitly address BSS determinism: BSS is a design-selection criterion, not a randomization distribution. Model-based SAR MLE is the recommended inferential framework. Added a sentence to the Limitations section noting that permutation-based inference under BSS is infeasible and investigators should use model-based methods.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6B1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C6 | Major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Interpretation: results may imply 'catastrophic bias' making none of these designs usable. 'Fried egg' / buffer zone designs should be preferred, especially when TrtSpill is expected.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Added buffer zone ('fried-egg') designs as a key future direction, noting they represent a complementary analysis-stage approach to BSS's design-stage spatial separation. Defended paper's contribution: characterizing the bias landscape across spillover regimes is novel and actionable. Also noted in response letter that the paper's recommendation is conditional on the spillover regime.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6B1A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80" w:before="400"/>
      </w:pPr>
      <w:r>
        <w:rPr>
          <w:b/>
          <w:bCs/>
          <w:color w:val="2E5090"/>
          <w:sz w:val="28"/>
          <w:szCs w:val="28"/>
        </w:rPr>
        <w:t xml:space="preserve">Summary of Changes by File Location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  <w:gridCol w:w="368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LaTeX Location (Revisions_V2.tex)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C1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Section 2.3.1 (~line 283): beta description and TrtSpill note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Terminology fix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C2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Section 2.4 SAR model (~line 529): psi notation, z_i definition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Notation fix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C3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After Eq (1) (~line 520) and model description (~line 527)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Notation / indexing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C4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Section 3.1 after Eq DataGen (~line 607): new paragraph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New clarifying text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C5a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Section 3.1 inference paragraph (~line 663): expanded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Expanded paragraph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C5b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Limitations (~line 1224): BSS permutation note added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New sentence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C6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Future Considerations (~line 1263): new paragraph on buffer zones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New paragraph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2026-05-28T04:45:35.239Z</dcterms:created>
  <dcterms:modified xsi:type="dcterms:W3CDTF">2026-05-28T04:45:35.244Z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