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Our project begins with a simple question: how can architecture create overlap in a neighborhood where people are constantly moving through, but rarely engaging with each other?</w:t>
      </w:r>
    </w:p>
    <w:p w:rsidR="00000000" w:rsidDel="00000000" w:rsidP="00000000" w:rsidRDefault="00000000" w:rsidRPr="00000000" w14:paraId="00000002">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Through our site research, we came to understand Hunters Point as a transitory environment. It is largely high-income and young, but more importantly, living and working are spatially separated. Most people that live there commute to work in Manhattan, while many of the people working in Hunters Point live in Astoria. Because of this, the area remains active throughout the day, but there is little sustained overlap between these groups.</w:t>
      </w:r>
    </w:p>
    <w:p w:rsidR="00000000" w:rsidDel="00000000" w:rsidP="00000000" w:rsidRDefault="00000000" w:rsidRPr="00000000" w14:paraId="00000004">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5">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This condition becomes more legible when looking at the history of the site. Hunters Point was once a space of heavy production, with rail lines running directly across it, making the site itself a corridor. That linear condition still exists today, but it has been reinterpreted as a green corridor connecting the neighborhood to the waterfront. At the same time, the area has shifted toward a consumption-based economy, with amenities distributed across the site but rarely shared in a meaningful way. The result is a lack of convergence rather than a lack of activity.</w:t>
      </w:r>
    </w:p>
    <w:p w:rsidR="00000000" w:rsidDel="00000000" w:rsidP="00000000" w:rsidRDefault="00000000" w:rsidRPr="00000000" w14:paraId="00000006">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7">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Our proposal responds by reintroducing that convergence, embedding production and consumption, as well as living and working, directly within the site.</w:t>
      </w:r>
    </w:p>
    <w:p w:rsidR="00000000" w:rsidDel="00000000" w:rsidP="00000000" w:rsidRDefault="00000000" w:rsidRPr="00000000" w14:paraId="00000008">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9">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We began by looking at two existing systems: the linearity of the former rail lines and the current urban grid. Instead of choosing one over the other, the project weaves them together into a composite parti that operates at both the scale of the corridor and the neighborhood.</w:t>
      </w:r>
    </w:p>
    <w:p w:rsidR="00000000" w:rsidDel="00000000" w:rsidP="00000000" w:rsidRDefault="00000000" w:rsidRPr="00000000" w14:paraId="0000000A">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B">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Where these systems intersect, the project thickens into programmatic nodes, including workshops, community services, a library, a gym, vendor stalls, green space, and a central plaza. These are not treated as isolated amenities, but as shared spaces intended to bring different groups into contact.</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Building on this, the design targets a specific gap in the neighborhood by anchoring small-scale, often informal craft production within the project, particularly for workers who currently operate out of apartments or lack access to shared space. Communal workshops act as permanent programmatic elements, embedded within the housing and extending into the public edge of the site, particularly along the north where there is greater commercial visibility. Rather than separating living and working, the project deliberately interweaves them.</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At the ground level, the building operates less as a boundary and more as a mediator. The plan is not organized as a linear corridor, but as a field condition shaped by the plaza, which acts more like an eddy than a path. Movement slows, thickens, and overlaps. This is reinforced through the layering of programs, from public-facing workshops and vendor spaces to semi-private shared functions like kitchens and laundries.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This logic continues in section. The building is organized through a series of split levels that create visual connections across floors, allowing activity to register beyond a single plane. Circulation is not treated as residual space, but as social space. In this sense, the corridor becomes the primary architectural element of the project, not just a means of access but the main site of encounter. Stair landings widen into mezzanine conditions, creating moments where brief, informal interactions can occur. Angled geometries introduce porch-like thresholds along the units, extending the zone of inhabitation into circulation. Together, landings, porches, and stairs are treated as a continuous system that supports pause, visibility, and unplanned use.Voids and apertures within the floor plates allow light and air to move through the section, reinforcing these visual connections and preventing the depth of the building from becoming isolating. </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Flexibility becomes critical within this framework. The same transitory conditions that define the neighborhood also suggest long-term shifts in use, particularly as craft-based industries evolve. In response, the units are designed as adaptable frameworks rather than fixed layouts.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This is supported structurally through a regular column system that allows partitions to be added, removed, or shifted over time. A single unit can expand into a double, or subdivide further, by modifying interior walls. Exterior envelope elements, such as enclosed sunrooms, can also be adjusted to support additional programs. This system of plug-in walls maintains a consistent spatial order while allowing for variation in occupancy and use, including the integration of shared functions like kitchens or laundry.</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Though the site is a straight line, the paths people move through aren't, and at their intersections, a common thread emerges.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