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 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8"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w:t>
      </w:r>
    </w:p>
    <w:bookmarkEnd w:id="27"/>
    <w:bookmarkStart w:id="37" w:name="Xef9155cd8e68d0489de91672a4758b0f3cfd053"/>
    <w:p>
      <w:pPr>
        <w:pStyle w:val="Heading2"/>
      </w:pPr>
      <w:r>
        <w:t xml:space="preserve">Common shortcomings of reference data design</w:t>
      </w:r>
    </w:p>
    <w:p>
      <w:pPr>
        <w:pStyle w:val="FirstParagraph"/>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Commonly observed shortcomings of this process include: 1) measurement biases in the annotations collected</w:t>
      </w:r>
      <w:r>
        <w:t xml:space="preserve"> </w:t>
      </w:r>
      <w:r>
        <w:t xml:space="preserve">(Beck et al., 2022; Hullman et al., 2022; Jacobs &amp; Wallach, 2021)</w:t>
      </w:r>
      <w:r>
        <w:t xml:space="preserve">, 2) a fallacious assumption of a single canonical</w:t>
      </w:r>
      <w:r>
        <w:t xml:space="preserve"> </w:t>
      </w:r>
      <w:r>
        <w:t xml:space="preserve">‘ground-truth’</w:t>
      </w:r>
      <w:r>
        <w:t xml:space="preserve"> </w:t>
      </w:r>
      <w:r>
        <w:t xml:space="preserve">(Aroyo &amp; Welty, 2015; Cabitza et al., 2023)</w:t>
      </w:r>
      <w:r>
        <w:t xml:space="preserve">, 3) representational biases in the content sampled for inclusion in training/evaluation datasets</w:t>
      </w:r>
      <w:r>
        <w:t xml:space="preserve"> </w:t>
      </w:r>
      <w:r>
        <w:t xml:space="preserve">(Hullman et al., 2022)</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w:t>
      </w:r>
      <w:r>
        <w:rPr>
          <w:b/>
          <w:bCs/>
        </w:rPr>
        <w:t xml:space="preserve">cabitza2023?</w:t>
      </w:r>
      <w:r>
        <w:t xml:space="preserve">)</w:t>
      </w:r>
      <w:r>
        <w:t xml:space="preserve">, based on the range of reasonable interpretations of that target in that media</w:t>
      </w:r>
      <w:r>
        <w:t xml:space="preserve"> </w:t>
      </w:r>
      <w:r>
        <w:t xml:space="preserve">(</w:t>
      </w:r>
      <w:r>
        <w:rPr>
          <w:b/>
          <w:bCs/>
        </w:rPr>
        <w:t xml:space="preserve">arroyo2015truth?</w:t>
      </w:r>
      <w:r>
        <w:t xml:space="preserve">)</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29"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which then may see years of re-use. The quality of annotations is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which forms a target to which we align our automated systems.</w:t>
      </w:r>
    </w:p>
    <w:p>
      <w:pPr>
        <w:pStyle w:val="BodyText"/>
      </w:pPr>
      <w:r>
        <w:t xml:space="preserve">However, disagreement is common.</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extend to tasks thought to be far less so, e.g. medical cases</w:t>
      </w:r>
      <w:r>
        <w:t xml:space="preserve"> </w:t>
      </w:r>
      <w:r>
        <w:t xml:space="preserve">(Cabitza et al., 2019)</w:t>
      </w:r>
      <w:r>
        <w:t xml:space="preserve">. In both scenarios, disagreement, observable as variance in the human input is often removed via 1) adjusting annotator training and instruction so as to reduce variance in the human inputs at the time of collection, 2) adjusting annotations via discussion post-collection, thus allowing annotators to re-think their responses, or 3) completely post-hoc at the time of modeling, via methods like majority voting, without input from the annotators. Clearly, the data generated from a process that may result from e.g. thorough training for crowd-sourced workers, may vary from one in which annotators meet regularly to resolve disagreements.</w:t>
      </w:r>
    </w:p>
    <w:p>
      <w:pPr>
        <w:pStyle w:val="BodyText"/>
      </w:pPr>
      <w:r>
        <w:t xml:space="preserve">Further, some portion of variance in observed disagreement is signal rather than noise. People’s backgrounds may determine how they interpret content, such as hate speech.</w:t>
      </w:r>
      <w:r>
        <w:t xml:space="preserve"> </w:t>
      </w:r>
      <w:r>
        <w:t xml:space="preserve">Beck et al. (2022)</w:t>
      </w:r>
      <w:r>
        <w:t xml:space="preserve">. suggest we should expect more variance to the degree that tasks measure opinion. Thus, although we expect hate speech exists, people’s perceptions of what constitutes hate speech may vary. Should perceptions vary by identifiable characteristics, e.g. gender identity, ethnicity etc., variance in perceptions may help unearth bias. Tasks may further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w:t>
      </w:r>
    </w:p>
    <w:p>
      <w:pPr>
        <w:pStyle w:val="BodyText"/>
      </w:pPr>
      <w:r>
        <w:t xml:space="preserve">Cabitza et al. (2023)</w:t>
      </w:r>
      <w:r>
        <w:t xml:space="preserve">: whether the target of the annotation is a subjective phenomenon or not, disagreement is always irreducible. Yet ML typically assumes there is a single</w:t>
      </w:r>
      <w:r>
        <w:t xml:space="preserve"> </w:t>
      </w:r>
      <w:r>
        <w:t xml:space="preserve">‘ground truth’</w:t>
      </w:r>
      <w:r>
        <w:t xml:space="preserve">, and its best indicator is inter-annotator agreement. But taking the perspectives of the annotators into account, both in the data annotation but also the modelling phase of ML projects has recently been shown to benefit ML modelling in a number of contexts.</w:t>
      </w:r>
    </w:p>
    <w:p>
      <w:pPr>
        <w:pStyle w:val="BodyText"/>
      </w:pPr>
      <w:r>
        <w:t xml:space="preserve">Weak perspectivist approach: taking perspectives into account while designing and collecting annotations, but ultimately reducing annotations to a single label or rating. Strong perspectivist approach: taking perspectives into account for ground truthing and modelling phases.</w:t>
      </w:r>
    </w:p>
    <w:p>
      <w:pPr>
        <w:pStyle w:val="BodyText"/>
      </w:pPr>
      <w:r>
        <w:t xml:space="preserve">benefits of this approach:</w:t>
      </w:r>
    </w:p>
    <w:p>
      <w:pPr>
        <w:pStyle w:val="Compact"/>
        <w:numPr>
          <w:ilvl w:val="0"/>
          <w:numId w:val="1001"/>
        </w:numPr>
      </w:pPr>
      <w:r>
        <w:t xml:space="preserve">is congruent with the reality of collecting annotations</w:t>
      </w:r>
    </w:p>
    <w:p>
      <w:pPr>
        <w:pStyle w:val="Compact"/>
        <w:numPr>
          <w:ilvl w:val="0"/>
          <w:numId w:val="1001"/>
        </w:numPr>
      </w:pPr>
      <w:r>
        <w:t xml:space="preserve">includes the signal in the variance of labels or ratings</w:t>
      </w:r>
    </w:p>
    <w:p>
      <w:pPr>
        <w:pStyle w:val="Compact"/>
        <w:numPr>
          <w:ilvl w:val="0"/>
          <w:numId w:val="1001"/>
        </w:numPr>
      </w:pPr>
      <w:r>
        <w:t xml:space="preserve">avoids majority group perspective appearing to be</w:t>
      </w:r>
      <w:r>
        <w:t xml:space="preserve"> </w:t>
      </w:r>
      <w:r>
        <w:t xml:space="preserve">‘objective’</w:t>
      </w:r>
    </w:p>
    <w:p>
      <w:pPr>
        <w:pStyle w:val="Compact"/>
        <w:numPr>
          <w:ilvl w:val="0"/>
          <w:numId w:val="1001"/>
        </w:numPr>
      </w:pPr>
      <w:r>
        <w:t xml:space="preserve">allows for the modelling of human errors and variances</w:t>
      </w:r>
    </w:p>
    <w:p>
      <w:pPr>
        <w:pStyle w:val="Compact"/>
        <w:numPr>
          <w:ilvl w:val="0"/>
          <w:numId w:val="1001"/>
        </w:numPr>
      </w:pPr>
      <w:r>
        <w:t xml:space="preserve">allows for uncertain, fuzzy, or soft model development</w:t>
      </w:r>
    </w:p>
    <w:p>
      <w:pPr>
        <w:pStyle w:val="Compact"/>
        <w:numPr>
          <w:ilvl w:val="0"/>
          <w:numId w:val="1001"/>
        </w:numPr>
      </w:pPr>
      <w:r>
        <w:t xml:space="preserve">more complete report of the data generating process, as it also reports uncertainty</w:t>
      </w:r>
    </w:p>
    <w:p>
      <w:pPr>
        <w:pStyle w:val="FirstParagraph"/>
      </w:pPr>
      <w:r>
        <w:t xml:space="preserve">downsides:</w:t>
      </w:r>
    </w:p>
    <w:p>
      <w:pPr>
        <w:pStyle w:val="Compact"/>
        <w:numPr>
          <w:ilvl w:val="0"/>
          <w:numId w:val="1002"/>
        </w:numPr>
      </w:pPr>
      <w:r>
        <w:t xml:space="preserve">multiple raters, and therefore costs/time/rater availability are issues</w:t>
      </w:r>
    </w:p>
    <w:p>
      <w:pPr>
        <w:pStyle w:val="Compact"/>
        <w:numPr>
          <w:ilvl w:val="0"/>
          <w:numId w:val="1002"/>
        </w:numPr>
      </w:pPr>
      <w:r>
        <w:t xml:space="preserve">need for perspectivist ML approaches</w:t>
      </w:r>
    </w:p>
    <w:p>
      <w:pPr>
        <w:pStyle w:val="Compact"/>
        <w:numPr>
          <w:ilvl w:val="0"/>
          <w:numId w:val="1002"/>
        </w:numPr>
      </w:pPr>
      <w:r>
        <w:t xml:space="preserve">validation becomes more challenging</w:t>
      </w:r>
    </w:p>
    <w:p>
      <w:pPr>
        <w:pStyle w:val="FirstParagraph"/>
      </w:pPr>
      <w:r>
        <w:t xml:space="preserve">recommendations:</w:t>
      </w:r>
      <w:r>
        <w:t xml:space="preserve"> </w:t>
      </w:r>
      <w:r>
        <w:t xml:space="preserve">- 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pStyle w:val="Compact"/>
        <w:numPr>
          <w:ilvl w:val="0"/>
          <w:numId w:val="1003"/>
        </w:numPr>
      </w:pPr>
      <w:r>
        <w:t xml:space="preserve">enough raters</w:t>
      </w:r>
    </w:p>
    <w:p>
      <w:pPr>
        <w:pStyle w:val="Compact"/>
        <w:numPr>
          <w:ilvl w:val="0"/>
          <w:numId w:val="1003"/>
        </w:numPr>
      </w:pPr>
      <w:r>
        <w:t xml:space="preserve">heterogenous raters</w:t>
      </w:r>
    </w:p>
    <w:p>
      <w:pPr>
        <w:pStyle w:val="Compact"/>
        <w:numPr>
          <w:ilvl w:val="0"/>
          <w:numId w:val="1003"/>
        </w:numPr>
      </w:pPr>
      <w:r>
        <w:t xml:space="preserve">adequate reporting:</w:t>
      </w:r>
    </w:p>
    <w:p>
      <w:pPr>
        <w:pStyle w:val="Compact"/>
        <w:numPr>
          <w:ilvl w:val="1"/>
          <w:numId w:val="1004"/>
        </w:numPr>
      </w:pPr>
      <w:r>
        <w:t xml:space="preserve">number of raters,</w:t>
      </w:r>
    </w:p>
    <w:p>
      <w:pPr>
        <w:pStyle w:val="Compact"/>
        <w:numPr>
          <w:ilvl w:val="1"/>
          <w:numId w:val="1004"/>
        </w:numPr>
      </w:pPr>
      <w:r>
        <w:t xml:space="preserve">rater expertise</w:t>
      </w:r>
    </w:p>
    <w:p>
      <w:pPr>
        <w:pStyle w:val="Compact"/>
        <w:numPr>
          <w:ilvl w:val="1"/>
          <w:numId w:val="1004"/>
        </w:numPr>
      </w:pPr>
      <w:r>
        <w:t xml:space="preserve">incentive</w:t>
      </w:r>
    </w:p>
    <w:p>
      <w:pPr>
        <w:pStyle w:val="Compact"/>
        <w:numPr>
          <w:ilvl w:val="1"/>
          <w:numId w:val="1004"/>
        </w:numPr>
      </w:pPr>
      <w:r>
        <w:t xml:space="preserve">instructions</w:t>
      </w:r>
    </w:p>
    <w:p>
      <w:pPr>
        <w:pStyle w:val="Compact"/>
        <w:numPr>
          <w:ilvl w:val="1"/>
          <w:numId w:val="1004"/>
        </w:numPr>
      </w:pPr>
      <w:r>
        <w:t xml:space="preserve">length of time for labelling</w:t>
      </w:r>
    </w:p>
    <w:p>
      <w:pPr>
        <w:pStyle w:val="Compact"/>
        <w:numPr>
          <w:ilvl w:val="1"/>
          <w:numId w:val="1004"/>
        </w:numPr>
      </w:pPr>
      <w:r>
        <w:t xml:space="preserve">inter rater agreement</w:t>
      </w:r>
    </w:p>
    <w:p>
      <w:pPr>
        <w:pStyle w:val="Compact"/>
        <w:numPr>
          <w:ilvl w:val="1"/>
          <w:numId w:val="1004"/>
        </w:numPr>
      </w:pPr>
      <w:r>
        <w:t xml:space="preserve">aggregation method</w:t>
      </w:r>
    </w:p>
    <w:p>
      <w:pPr>
        <w:pStyle w:val="Compact"/>
        <w:numPr>
          <w:ilvl w:val="1"/>
          <w:numId w:val="1004"/>
        </w:numPr>
      </w:pPr>
      <w:r>
        <w:t xml:space="preserve">confidence</w:t>
      </w:r>
    </w:p>
    <w:p>
      <w:pPr>
        <w:pStyle w:val="FirstParagraph"/>
      </w:pPr>
      <w:r>
        <w:t xml:space="preserve">Beyond errors in judgment are questions about the target for the annotations. For at least some phenomena, the assumption that there is a single ground-truth to approximate with annotations doesn’t hold</w:t>
      </w:r>
      <w:r>
        <w:t xml:space="preserve"> </w:t>
      </w:r>
      <w:r>
        <w:t xml:space="preserve">Aroyo &amp; Welty (2015)</w:t>
      </w:r>
      <w:r>
        <w:t xml:space="preserve">.</w:t>
      </w:r>
    </w:p>
    <w:p>
      <w:pPr>
        <w:pStyle w:val="BodyText"/>
      </w:pPr>
      <w:r>
        <w:t xml:space="preserve">Aroyo &amp; Welty (2015)</w:t>
      </w:r>
    </w:p>
    <w:p>
      <w:pPr>
        <w:pStyle w:val="BodyText"/>
      </w:pPr>
      <w:r>
        <w:t xml:space="preserve">7</w:t>
      </w:r>
      <w:r>
        <w:t xml:space="preserve"> </w:t>
      </w:r>
      <w:r>
        <w:t xml:space="preserve">‘myths’</w:t>
      </w:r>
      <w:r>
        <w:t xml:space="preserve"> </w:t>
      </w:r>
      <w:r>
        <w:t xml:space="preserve">of human annotation:</w:t>
      </w:r>
    </w:p>
    <w:p>
      <w:pPr>
        <w:pStyle w:val="Compact"/>
        <w:numPr>
          <w:ilvl w:val="0"/>
          <w:numId w:val="1005"/>
        </w:numPr>
      </w:pPr>
      <w:r>
        <w:t xml:space="preserve">there is one truth</w:t>
      </w:r>
    </w:p>
    <w:p>
      <w:pPr>
        <w:pStyle w:val="Compact"/>
        <w:numPr>
          <w:ilvl w:val="0"/>
          <w:numId w:val="1005"/>
        </w:numPr>
      </w:pPr>
      <w:r>
        <w:t xml:space="preserve">disagreement is bad</w:t>
      </w:r>
    </w:p>
    <w:p>
      <w:pPr>
        <w:pStyle w:val="Compact"/>
        <w:numPr>
          <w:ilvl w:val="0"/>
          <w:numId w:val="1005"/>
        </w:numPr>
      </w:pPr>
      <w:r>
        <w:t xml:space="preserve">detailed guidelines help</w:t>
      </w:r>
    </w:p>
    <w:p>
      <w:pPr>
        <w:pStyle w:val="Compact"/>
        <w:numPr>
          <w:ilvl w:val="0"/>
          <w:numId w:val="1005"/>
        </w:numPr>
      </w:pPr>
      <w:r>
        <w:t xml:space="preserve">experts are better</w:t>
      </w:r>
    </w:p>
    <w:p>
      <w:pPr>
        <w:pStyle w:val="Compact"/>
        <w:numPr>
          <w:ilvl w:val="0"/>
          <w:numId w:val="1005"/>
        </w:numPr>
      </w:pPr>
      <w:r>
        <w:t xml:space="preserve">one annotator is enough</w:t>
      </w:r>
    </w:p>
    <w:p>
      <w:pPr>
        <w:pStyle w:val="Compact"/>
        <w:numPr>
          <w:ilvl w:val="0"/>
          <w:numId w:val="1005"/>
        </w:numPr>
      </w:pPr>
      <w:r>
        <w:t xml:space="preserve">all items are created equal</w:t>
      </w:r>
    </w:p>
    <w:p>
      <w:pPr>
        <w:pStyle w:val="Compact"/>
        <w:numPr>
          <w:ilvl w:val="0"/>
          <w:numId w:val="1005"/>
        </w:numPr>
      </w:pPr>
      <w:r>
        <w:t xml:space="preserve">once done, forever valid</w:t>
      </w:r>
    </w:p>
    <w:p>
      <w:pPr>
        <w:pStyle w:val="FirstParagraph"/>
      </w:pPr>
      <w:r>
        <w:t xml:space="preserve">For myths 1 and 2:</w:t>
      </w:r>
    </w:p>
    <w:p>
      <w:pPr>
        <w:pStyle w:val="Compact"/>
        <w:numPr>
          <w:ilvl w:val="0"/>
          <w:numId w:val="1006"/>
        </w:numPr>
      </w:pPr>
      <w:r>
        <w:t xml:space="preserve">list examples from NLP where the disagreement from annotators is</w:t>
      </w:r>
      <w:r>
        <w:t xml:space="preserve"> </w:t>
      </w:r>
      <w:r>
        <w:t xml:space="preserve">sensible</w:t>
      </w:r>
    </w:p>
    <w:p>
      <w:pPr>
        <w:pStyle w:val="Compact"/>
        <w:numPr>
          <w:ilvl w:val="0"/>
          <w:numId w:val="1006"/>
        </w:numPr>
      </w:pPr>
      <w:r>
        <w:t xml:space="preserve">they argue that the assumptions of a single ground truth, and that</w:t>
      </w:r>
      <w:r>
        <w:t xml:space="preserve"> </w:t>
      </w:r>
      <w:r>
        <w:t xml:space="preserve">disagreement is indicative of poor annotations are both false.</w:t>
      </w:r>
    </w:p>
    <w:bookmarkEnd w:id="29"/>
    <w:bookmarkStart w:id="35" w:name="measurement-bias"/>
    <w:p>
      <w:pPr>
        <w:pStyle w:val="Heading3"/>
      </w:pPr>
      <w:r>
        <w:t xml:space="preserve">Measurement bias</w:t>
      </w:r>
    </w:p>
    <w:p>
      <w:pPr>
        <w:pStyle w:val="FirstParagraph"/>
      </w:pPr>
      <w:r>
        <w:t xml:space="preserve">Recent trends in Machine Learning (ML)—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ignores attempts to model the process that gives rise to the data, and aims instead at predictive models whose outputs fall within some accepted estimated error bounds</w:t>
      </w:r>
      <w:r>
        <w:t xml:space="preserve"> </w:t>
      </w:r>
      <w:r>
        <w:t xml:space="preserve">(Hullman et al., 2022)</w:t>
      </w:r>
      <w:r>
        <w:t xml:space="preserve">. This is problematic as this kind of optimization doesn’t resemble real world deployment.</w:t>
      </w:r>
    </w:p>
    <w:bookmarkStart w:id="33" w:name="modelling-the-data-generating-process"/>
    <w:p>
      <w:pPr>
        <w:pStyle w:val="Heading4"/>
      </w:pPr>
      <w:r>
        <w:t xml:space="preserve">Modelling the data-generating process</w:t>
      </w:r>
    </w:p>
    <w:p>
      <w:pPr>
        <w:pStyle w:val="FirstParagraph"/>
      </w:pPr>
      <w:r>
        <w:drawing>
          <wp:inline>
            <wp:extent cx="5334000" cy="6484841"/>
            <wp:effectExtent b="0" l="0" r="0" t="0"/>
            <wp:docPr descr="" title="" id="31" name="Picture"/>
            <a:graphic>
              <a:graphicData uri="http://schemas.openxmlformats.org/drawingml/2006/picture">
                <pic:pic>
                  <pic:nvPicPr>
                    <pic:cNvPr descr="images/Liem_2018_figure_1.png" id="32" name="Picture"/>
                    <pic:cNvPicPr>
                      <a:picLocks noChangeArrowheads="1" noChangeAspect="1"/>
                    </pic:cNvPicPr>
                  </pic:nvPicPr>
                  <pic:blipFill>
                    <a:blip r:embed="rId30"/>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The social sciences treat data from people as imperfect observations of a latent variable called a</w:t>
      </w:r>
      <w:r>
        <w:t xml:space="preserve"> </w:t>
      </w:r>
      <w:r>
        <w:rPr>
          <w:i/>
          <w:iCs/>
        </w:rPr>
        <w:t xml:space="preserve">construct</w:t>
      </w:r>
      <w:r>
        <w:t xml:space="preserve"> </w:t>
      </w:r>
      <w:r>
        <w:t xml:space="preserve">- among the more well-known are Personality from the field of Psychology. Social and computational sciences traditionally have different focci: where the social sciences emphasize an interpretable meaning of x and y, where x and y are not always directly observable, the computational sciences instead focus on the statistical procedure that correlates x in terms of y (see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but instead are imperfect indications that can be used to estimate the ground truth.</w:t>
      </w:r>
    </w:p>
    <w:p>
      <w:pPr>
        <w:pStyle w:val="BodyText"/>
      </w:pPr>
      <w:r>
        <w:t xml:space="preserve">More concretely,</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bookmarkEnd w:id="33"/>
    <w:bookmarkStart w:id="34" w:name="X2df7c4c2993a693a086bd013952fd634c6c3e23"/>
    <w:p>
      <w:pPr>
        <w:pStyle w:val="Heading4"/>
      </w:pPr>
      <w:r>
        <w:t xml:space="preserve">Treat annotation generating process as an instrument</w:t>
      </w:r>
    </w:p>
    <w:p>
      <w:pPr>
        <w:pStyle w:val="FirstParagraph"/>
      </w:pPr>
      <w:r>
        <w:t xml:space="preserve">To measure constructs, the social sciences create instruments, often in the form of surveys to measure variables defined as latent, or indirectly observable, like the effectiveness of a teacher, or recidivism, the risk that someone will repeat a crime. 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w:t>
      </w:r>
    </w:p>
    <w:p>
      <w:pPr>
        <w:pStyle w:val="BodyText"/>
      </w:pPr>
      <w:r>
        <w:t xml:space="preserve">Similar to the ruler being an instrument to measure height, survey science treats the survey - the standardized process of collecting data from human input - like a measurement instrument. It thus seeks to minimize the influence of sources of</w:t>
      </w:r>
      <w:r>
        <w:t xml:space="preserve"> </w:t>
      </w:r>
      <w:r>
        <w:t xml:space="preserve">‘noise’</w:t>
      </w:r>
      <w:r>
        <w:t xml:space="preserve">:</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Jacobs &amp; Wallach (2021)</w:t>
      </w:r>
    </w:p>
    <w:p>
      <w:pPr>
        <w:pStyle w:val="Compact"/>
        <w:numPr>
          <w:ilvl w:val="0"/>
          <w:numId w:val="1007"/>
        </w:numPr>
      </w:pPr>
      <w:r>
        <w:t xml:space="preserve">reliability: do similar inputs to a measurement model present</w:t>
      </w:r>
      <w:r>
        <w:t xml:space="preserve"> </w:t>
      </w:r>
      <w:r>
        <w:t xml:space="preserve">similar outputs?</w:t>
      </w:r>
    </w:p>
    <w:p>
      <w:pPr>
        <w:pStyle w:val="FirstParagraph"/>
      </w:pPr>
      <w:r>
        <w:t xml:space="preserve">test-retest: are measurements of an unobservable latent construct taken</w:t>
      </w:r>
      <w:r>
        <w:t xml:space="preserve"> </w:t>
      </w:r>
      <w:r>
        <w:t xml:space="preserve">at different times via a measurement model similar, assuming the</w:t>
      </w:r>
      <w:r>
        <w:t xml:space="preserve"> </w:t>
      </w:r>
      <w:r>
        <w:t xml:space="preserve">construct hasn’t changed?</w:t>
      </w:r>
    </w:p>
    <w:p>
      <w:pPr>
        <w:pStyle w:val="Compact"/>
        <w:numPr>
          <w:ilvl w:val="0"/>
          <w:numId w:val="1008"/>
        </w:numPr>
      </w:pPr>
      <w:r>
        <w:t xml:space="preserve">validity: is it</w:t>
      </w:r>
      <w:r>
        <w:t xml:space="preserve"> </w:t>
      </w:r>
      <w:r>
        <w:t xml:space="preserve">‘right’</w:t>
      </w:r>
      <w:r>
        <w:t xml:space="preserve">?</w:t>
      </w:r>
    </w:p>
    <w:p>
      <w:pPr>
        <w:pStyle w:val="FirstParagraph"/>
      </w:pPr>
      <w:r>
        <w:t xml:space="preserve">no single test for validity on purpose, because it requires thinking. do</w:t>
      </w:r>
      <w:r>
        <w:t xml:space="preserve"> </w:t>
      </w:r>
      <w:r>
        <w:t xml:space="preserve">our measurements:</w:t>
      </w:r>
    </w:p>
    <w:p>
      <w:pPr>
        <w:pStyle w:val="Compact"/>
        <w:numPr>
          <w:ilvl w:val="0"/>
          <w:numId w:val="1009"/>
        </w:numPr>
      </w:pPr>
      <w:r>
        <w:t xml:space="preserve">face validity: look plausible/ sensible?</w:t>
      </w:r>
    </w:p>
    <w:p>
      <w:pPr>
        <w:pStyle w:val="Compact"/>
        <w:numPr>
          <w:ilvl w:val="0"/>
          <w:numId w:val="1009"/>
        </w:numPr>
      </w:pPr>
      <w:r>
        <w:t xml:space="preserve">content validity: capture the construct?</w:t>
      </w:r>
    </w:p>
    <w:p>
      <w:pPr>
        <w:pStyle w:val="Compact"/>
        <w:numPr>
          <w:ilvl w:val="1"/>
          <w:numId w:val="1010"/>
        </w:numPr>
      </w:pPr>
      <w:r>
        <w:t xml:space="preserve">structural validity: show the inter-correlations we expect?</w:t>
      </w:r>
    </w:p>
    <w:p>
      <w:pPr>
        <w:pStyle w:val="Compact"/>
        <w:numPr>
          <w:ilvl w:val="1"/>
          <w:numId w:val="1010"/>
        </w:numPr>
      </w:pPr>
      <w:r>
        <w:t xml:space="preserve">substantive validity: capture only observable properties thought</w:t>
      </w:r>
      <w:r>
        <w:t xml:space="preserve"> </w:t>
      </w:r>
      <w:r>
        <w:t xml:space="preserve">to be related to the construct?</w:t>
      </w:r>
    </w:p>
    <w:p>
      <w:pPr>
        <w:pStyle w:val="Compact"/>
        <w:numPr>
          <w:ilvl w:val="0"/>
          <w:numId w:val="1009"/>
        </w:numPr>
      </w:pPr>
      <w:r>
        <w:t xml:space="preserve">convergent validity: show correlations with other validated methods?</w:t>
      </w:r>
    </w:p>
    <w:p>
      <w:pPr>
        <w:pStyle w:val="Compact"/>
        <w:numPr>
          <w:ilvl w:val="0"/>
          <w:numId w:val="1009"/>
        </w:numPr>
      </w:pPr>
      <w:r>
        <w:t xml:space="preserve">discriminant validity: show correlations with other</w:t>
      </w:r>
      <w:r>
        <w:t xml:space="preserve"> </w:t>
      </w:r>
      <w:r>
        <w:t xml:space="preserve">construct/properties thought not to be related to the construct?</w:t>
      </w:r>
    </w:p>
    <w:p>
      <w:pPr>
        <w:pStyle w:val="Compact"/>
        <w:numPr>
          <w:ilvl w:val="0"/>
          <w:numId w:val="1009"/>
        </w:numPr>
      </w:pPr>
      <w:r>
        <w:t xml:space="preserve">predictive validity: show correlations with constructs/properties</w:t>
      </w:r>
      <w:r>
        <w:t xml:space="preserve"> </w:t>
      </w:r>
      <w:r>
        <w:t xml:space="preserve">thought to be related, but not in the operationalization?</w:t>
      </w:r>
    </w:p>
    <w:p>
      <w:pPr>
        <w:pStyle w:val="Compact"/>
        <w:numPr>
          <w:ilvl w:val="0"/>
          <w:numId w:val="1009"/>
        </w:numPr>
      </w:pPr>
      <w:r>
        <w:t xml:space="preserve">hypothesis validity: shed light on relevant hypotheses about the</w:t>
      </w:r>
      <w:r>
        <w:t xml:space="preserve"> </w:t>
      </w:r>
      <w:r>
        <w:t xml:space="preserve">construct being measured?</w:t>
      </w:r>
    </w:p>
    <w:p>
      <w:pPr>
        <w:pStyle w:val="Compact"/>
        <w:numPr>
          <w:ilvl w:val="0"/>
          <w:numId w:val="1009"/>
        </w:numPr>
      </w:pPr>
      <w:r>
        <w:t xml:space="preserve">consequential validity: allow for the consequences obtained from the</w:t>
      </w:r>
      <w:r>
        <w:t xml:space="preserve"> </w:t>
      </w:r>
      <w:r>
        <w:t xml:space="preserve">measurement model to be assessed?</w:t>
      </w:r>
    </w:p>
    <w:p>
      <w:pPr>
        <w:pStyle w:val="FirstParagraph"/>
      </w:pPr>
      <w:r>
        <w:t xml:space="preserve">metrology, standard deviation of standard deviations etc.</w:t>
      </w:r>
    </w:p>
    <w:bookmarkEnd w:id="34"/>
    <w:bookmarkEnd w:id="35"/>
    <w:bookmarkStart w:id="36" w:name="inadequate-reporting"/>
    <w:p>
      <w:pPr>
        <w:pStyle w:val="Heading3"/>
      </w:pPr>
      <w:r>
        <w:t xml:space="preserve">Inadequate reporting</w:t>
      </w:r>
    </w:p>
    <w:p>
      <w:pPr>
        <w:pStyle w:val="FirstParagraph"/>
      </w:pPr>
      <w:r>
        <w:t xml:space="preserve">Geiger et al. (2021)</w:t>
      </w:r>
      <w:r>
        <w:t xml:space="preserve"> </w:t>
      </w:r>
      <w:r>
        <w:t xml:space="preserve">ML science studies inadequately report</w:t>
      </w:r>
      <w:r>
        <w:t xml:space="preserve"> </w:t>
      </w:r>
      <w:r>
        <w:t xml:space="preserve">‘ground truth’</w:t>
      </w:r>
    </w:p>
    <w:p>
      <w:pPr>
        <w:pStyle w:val="BodyText"/>
      </w:pPr>
      <w:r>
        <w:t xml:space="preserve">Hullman et al. (2022)</w:t>
      </w:r>
      <w:r>
        <w:t xml:space="preserve"> </w:t>
      </w:r>
      <w:r>
        <w:t xml:space="preserve">thus we cannot know what data generating process the</w:t>
      </w:r>
      <w:r>
        <w:t xml:space="preserve"> </w:t>
      </w:r>
      <w:r>
        <w:t xml:space="preserve">resulting model represents</w:t>
      </w:r>
    </w:p>
    <w:p>
      <w:pPr>
        <w:pStyle w:val="BodyText"/>
      </w:pPr>
      <w:r>
        <w:t xml:space="preserve">[perhaps cat image parable here?]</w:t>
      </w:r>
    </w:p>
    <w:p>
      <w:pPr>
        <w:pStyle w:val="BodyText"/>
      </w:pPr>
      <w:r>
        <w:t xml:space="preserve">An investigation of 15 data science workers,</w:t>
      </w:r>
      <w:r>
        <w:t xml:space="preserve"> </w:t>
      </w:r>
      <w:r>
        <w:t xml:space="preserve">Muller et al. (2021)</w:t>
      </w:r>
      <w:r>
        <w:t xml:space="preserve"> </w:t>
      </w:r>
      <w:r>
        <w:t xml:space="preserve">observed common phases, which include determining the annotation scheme - all possible labels that can be attributed to digital representations of objects along with any relevant guidelines, the actual process of collecting labels, and the process by which the annotations are then aggregated into a single label. They note the difficulty of this work: issues in the annotation schemes are often discovered as annotation projects progress, requiring varying degrees of improvised adjustment.</w:t>
      </w:r>
    </w:p>
    <w:bookmarkEnd w:id="36"/>
    <w:bookmarkEnd w:id="37"/>
    <w:bookmarkEnd w:id="38"/>
    <w:bookmarkStart w:id="66" w:name="present-work-1"/>
    <w:p>
      <w:pPr>
        <w:pStyle w:val="Heading1"/>
      </w:pPr>
      <w:r>
        <w:t xml:space="preserve">Present Work</w:t>
      </w:r>
    </w:p>
    <w:p>
      <w:pPr>
        <w:pStyle w:val="FirstParagraph"/>
      </w:pPr>
      <w:r>
        <w:t xml:space="preserve">We incorporate these considerations in the design of our study, and</w:t>
      </w:r>
      <w:r>
        <w:t xml:space="preserve"> </w:t>
      </w:r>
      <w:r>
        <w:t xml:space="preserve">attempt to further the field in the following ways:</w:t>
      </w:r>
    </w:p>
    <w:p>
      <w:pPr>
        <w:pStyle w:val="Compact"/>
        <w:numPr>
          <w:ilvl w:val="0"/>
          <w:numId w:val="1011"/>
        </w:numPr>
      </w:pPr>
      <w:r>
        <w:t xml:space="preserve">we attempt representative sampling of both media and respondents</w:t>
      </w:r>
    </w:p>
    <w:p>
      <w:pPr>
        <w:pStyle w:val="Compact"/>
        <w:numPr>
          <w:ilvl w:val="0"/>
          <w:numId w:val="1011"/>
        </w:numPr>
      </w:pPr>
      <w:r>
        <w:t xml:space="preserve">we aim to estimate 10-dimensional psychological construct</w:t>
      </w:r>
    </w:p>
    <w:p>
      <w:pPr>
        <w:pStyle w:val="Compact"/>
        <w:numPr>
          <w:ilvl w:val="0"/>
          <w:numId w:val="1011"/>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11"/>
        </w:numPr>
      </w:pPr>
      <w:r>
        <w:t xml:space="preserve">we estimate a-priori the number of ratings necessary rather than</w:t>
      </w:r>
      <w:r>
        <w:t xml:space="preserve"> </w:t>
      </w:r>
      <w:r>
        <w:t xml:space="preserve">assuming</w:t>
      </w:r>
    </w:p>
    <w:p>
      <w:pPr>
        <w:pStyle w:val="Compact"/>
        <w:numPr>
          <w:ilvl w:val="0"/>
          <w:numId w:val="1011"/>
        </w:numPr>
      </w:pPr>
      <w:r>
        <w:t xml:space="preserve">we take into account perspectives</w:t>
      </w:r>
    </w:p>
    <w:p>
      <w:pPr>
        <w:pStyle w:val="FirstParagraph"/>
      </w:pPr>
      <w:r>
        <w:t xml:space="preserve">case study of this thesis works towards path (b) in</w:t>
      </w:r>
      <w:r>
        <w:t xml:space="preserve"> </w:t>
      </w:r>
      <w:r>
        <w:t xml:space="preserve">Liem et al. (2018)</w:t>
      </w:r>
      <w:r>
        <w:t xml:space="preserve"> </w:t>
      </w:r>
      <w:r>
        <w:t xml:space="preserve">shown in:</w:t>
      </w:r>
      <w:r>
        <w:t xml:space="preserve"> </w:t>
      </w:r>
      <w:r>
        <w:drawing>
          <wp:inline>
            <wp:extent cx="5334000" cy="4508040"/>
            <wp:effectExtent b="0" l="0" r="0" t="0"/>
            <wp:docPr descr="" title="" id="40" name="Picture"/>
            <a:graphic>
              <a:graphicData uri="http://schemas.openxmlformats.org/drawingml/2006/picture">
                <pic:pic>
                  <pic:nvPicPr>
                    <pic:cNvPr descr="images/Liem_2018_figure_2.png" id="41" name="Picture"/>
                    <pic:cNvPicPr>
                      <a:picLocks noChangeArrowheads="1" noChangeAspect="1"/>
                    </pic:cNvPicPr>
                  </pic:nvPicPr>
                  <pic:blipFill>
                    <a:blip r:embed="rId39"/>
                    <a:stretch>
                      <a:fillRect/>
                    </a:stretch>
                  </pic:blipFill>
                  <pic:spPr bwMode="auto">
                    <a:xfrm>
                      <a:off x="0" y="0"/>
                      <a:ext cx="5334000" cy="4508040"/>
                    </a:xfrm>
                    <a:prstGeom prst="rect">
                      <a:avLst/>
                    </a:prstGeom>
                    <a:noFill/>
                    <a:ln w="9525">
                      <a:noFill/>
                      <a:headEnd/>
                      <a:tailEnd/>
                    </a:ln>
                  </pic:spPr>
                </pic:pic>
              </a:graphicData>
            </a:graphic>
          </wp:inline>
        </w:drawing>
      </w:r>
    </w:p>
    <w:p>
      <w:pPr>
        <w:pStyle w:val="BodyText"/>
      </w:pPr>
      <w:r>
        <w:t xml:space="preserve">This thesis incorporates techniques and considerations from the social</w:t>
      </w:r>
      <w:r>
        <w:t xml:space="preserve"> </w:t>
      </w:r>
      <w:r>
        <w:t xml:space="preserve">sciences to address the aforementioned shortcomings.</w:t>
      </w:r>
    </w:p>
    <w:p>
      <w:pPr>
        <w:pStyle w:val="BodyText"/>
      </w:pPr>
      <w:r>
        <w:t xml:space="preserve">showcases a design for a challenging ground-truthing project, in terms</w:t>
      </w:r>
      <w:r>
        <w:t xml:space="preserve"> </w:t>
      </w:r>
      <w:r>
        <w:t xml:space="preserve">of the complexity of the phenomenon of interest, ambiguity in the media</w:t>
      </w:r>
      <w:r>
        <w:t xml:space="preserve"> </w:t>
      </w:r>
      <w:r>
        <w:t xml:space="preserve">that selected and annotated. It incorporates design choices to address</w:t>
      </w:r>
      <w:r>
        <w:t xml:space="preserve"> </w:t>
      </w:r>
      <w:r>
        <w:t xml:space="preserve">the aforementioned shortcomings into a singular framework, guided by</w:t>
      </w:r>
      <w:r>
        <w:t xml:space="preserve"> </w:t>
      </w:r>
      <w:r>
        <w:t xml:space="preserve">best practices in the social sciences, which it then extends. It focuses</w:t>
      </w:r>
      <w:r>
        <w:t xml:space="preserve"> </w:t>
      </w:r>
      <w:r>
        <w:t xml:space="preserve">unambiguously on the aspect most relevant to the</w:t>
      </w:r>
    </w:p>
    <w:p>
      <w:pPr>
        <w:pStyle w:val="BodyText"/>
      </w:pPr>
      <w:r>
        <w:t xml:space="preserve">Specifically:</w:t>
      </w:r>
    </w:p>
    <w:p>
      <w:pPr>
        <w:pStyle w:val="Compact"/>
        <w:numPr>
          <w:ilvl w:val="0"/>
          <w:numId w:val="1012"/>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12"/>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12"/>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12"/>
        </w:numPr>
      </w:pPr>
      <w:r>
        <w:t xml:space="preserve">We report the details of the annotation collection process, and</w:t>
      </w:r>
      <w:r>
        <w:t xml:space="preserve"> </w:t>
      </w:r>
      <w:r>
        <w:t xml:space="preserve">share the disaggregated dataset of the annotations</w:t>
      </w:r>
    </w:p>
    <w:p>
      <w:pPr>
        <w:pStyle w:val="Compact"/>
        <w:numPr>
          <w:ilvl w:val="0"/>
          <w:numId w:val="1012"/>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w:t>
      </w:r>
      <w:r>
        <w:t xml:space="preserve"> </w:t>
      </w:r>
      <w:r>
        <w:t xml:space="preserve">perfectly represent the deployment environment, the typical leaderboard</w:t>
      </w:r>
      <w:r>
        <w:t xml:space="preserve"> </w:t>
      </w:r>
      <w:r>
        <w:t xml:space="preserve">approach has shown evidence that progress can be made towards a target.</w:t>
      </w:r>
      <w:r>
        <w:t xml:space="preserve"> </w:t>
      </w:r>
      <w:r>
        <w:t xml:space="preserve">This thesis thus represents an attempt to define the target better.</w:t>
      </w:r>
    </w:p>
    <w:bookmarkStart w:id="65" w:name="references"/>
    <w:p>
      <w:pPr>
        <w:pStyle w:val="Heading2"/>
      </w:pPr>
      <w:r>
        <w:t xml:space="preserve">References</w:t>
      </w:r>
    </w:p>
    <w:bookmarkStart w:id="64" w:name="refs"/>
    <w:bookmarkStart w:id="42"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2"/>
    <w:bookmarkStart w:id="43"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3"/>
    <w:bookmarkStart w:id="44"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4"/>
    <w:bookmarkStart w:id="45"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5"/>
    <w:bookmarkStart w:id="46"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6"/>
    <w:bookmarkStart w:id="47"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7"/>
    <w:bookmarkStart w:id="48"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8"/>
    <w:bookmarkStart w:id="49"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49"/>
    <w:bookmarkStart w:id="50"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0"/>
    <w:bookmarkStart w:id="51"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1"/>
    <w:bookmarkStart w:id="52"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2"/>
    <w:bookmarkStart w:id="53"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3"/>
    <w:bookmarkStart w:id="5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4"/>
    <w:bookmarkStart w:id="55"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5"/>
    <w:bookmarkStart w:id="56"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56"/>
    <w:bookmarkStart w:id="57"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57"/>
    <w:bookmarkStart w:id="58"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58"/>
    <w:bookmarkStart w:id="59"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59"/>
    <w:bookmarkStart w:id="60"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0"/>
    <w:bookmarkStart w:id="61"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1"/>
    <w:bookmarkStart w:id="62"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2"/>
    <w:bookmarkStart w:id="63"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2025-04-20T16:08:50Z</dcterms:created>
  <dcterms:modified xsi:type="dcterms:W3CDTF">2025-04-20T16:08:50Z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