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 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37"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w:t>
      </w:r>
    </w:p>
    <w:bookmarkEnd w:id="27"/>
    <w:bookmarkStart w:id="36" w:name="Xef9155cd8e68d0489de91672a4758b0f3cfd053"/>
    <w:p>
      <w:pPr>
        <w:pStyle w:val="Heading2"/>
      </w:pPr>
      <w:r>
        <w:t xml:space="preserve">Common shortcomings of reference data design</w:t>
      </w:r>
    </w:p>
    <w:p>
      <w:pPr>
        <w:pStyle w:val="FirstParagraph"/>
      </w:pPr>
      <w:r>
        <w:t xml:space="preserve">Recent trends in Machine Learning (ML)— especially in deep learning — prioritize empirical performance over theoretical assumptions about the data generating process. A systematic analysis of highly cited ML works shows what is valued most: Performance, Generalization, Quantitative evidence, Efficiency, Building on past work, and Novelty</w:t>
      </w:r>
      <w:r>
        <w:t xml:space="preserve"> </w:t>
      </w:r>
      <w:r>
        <w:t xml:space="preserve">Birhane et al. (2022)</w:t>
      </w:r>
      <w:r>
        <w:t xml:space="preserve">. Unlike the social sciences (e.g. psychology), ML work ignores attempts to model the process that gives rise to the data, and aims instead at predictive models whose outputs fall within some accepted estimated error bounds, resulting in poor or even biased reference data design</w:t>
      </w:r>
      <w:r>
        <w:t xml:space="preserve"> </w:t>
      </w:r>
      <w:r>
        <w:t xml:space="preserve">(Hullman et al., 2022)</w:t>
      </w:r>
      <w:r>
        <w:t xml:space="preserve">.</w:t>
      </w:r>
    </w:p>
    <w:p>
      <w:pPr>
        <w:pStyle w:val="BodyText"/>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Further, an investigation of 15 data science workers,</w:t>
      </w:r>
      <w:r>
        <w:t xml:space="preserve"> </w:t>
      </w:r>
      <w:r>
        <w:t xml:space="preserve">Muller et al. (2021)</w:t>
      </w:r>
      <w:r>
        <w:t xml:space="preserve"> </w:t>
      </w:r>
      <w:r>
        <w:t xml:space="preserve">observed common phases, which include determining the annotation scheme - a) all possible labels that can be attributed to digital representations of objects along with any relevant guidelines, b) the actual process of collecting labels, and c) the process by which the annotations are then aggregated into a single label. They note the difficulty of this work: issues in the annotation schemes are often discovered as annotation projects progress, requiring varying degrees of improvised adjustment. For any of these components, decisions are made that impact the resulting reference data, whether or not they are being made by design.</w:t>
      </w:r>
    </w:p>
    <w:p>
      <w:pPr>
        <w:pStyle w:val="BodyText"/>
      </w:pPr>
      <w:r>
        <w:t xml:space="preserve">Commonly observed shortcomings of refernce data include: 1) representational biases in the content sampled for inclusion in training/evaluation datasets</w:t>
      </w:r>
      <w:r>
        <w:t xml:space="preserve"> </w:t>
      </w:r>
      <w:r>
        <w:t xml:space="preserve">(Hullman et al., 2022)</w:t>
      </w:r>
      <w:r>
        <w:t xml:space="preserve">, 2) a fallacious assumption of a single canonical</w:t>
      </w:r>
      <w:r>
        <w:t xml:space="preserve"> </w:t>
      </w:r>
      <w:r>
        <w:t xml:space="preserve">‘ground-truth’</w:t>
      </w:r>
      <w:r>
        <w:t xml:space="preserve"> </w:t>
      </w:r>
      <w:r>
        <w:t xml:space="preserve">when there are a range of reasonable interpretations</w:t>
      </w:r>
      <w:r>
        <w:t xml:space="preserve"> </w:t>
      </w:r>
      <w:r>
        <w:t xml:space="preserve">(Aroyo &amp; Welty, 2015; Cabitza et al., 2023)</w:t>
      </w:r>
      <w:r>
        <w:t xml:space="preserve">, 3) measurement biases in the annotations collected</w:t>
      </w:r>
      <w:r>
        <w:t xml:space="preserve"> </w:t>
      </w:r>
      <w:r>
        <w:t xml:space="preserve">(Beck et al., 2022; Hullman et al., 2022; Jacobs &amp; Wallach, 2021)</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(Cabitza et al., 2023)</w:t>
      </w:r>
      <w:r>
        <w:t xml:space="preserve">, based on the range of reasonable interpretations of that target in that media</w:t>
      </w:r>
      <w:r>
        <w:t xml:space="preserve"> </w:t>
      </w:r>
      <w:r>
        <w:t xml:space="preserve">(Aroyo &amp; Welty, 2015)</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as reference and/or training data resemble distributions in the environment to which a system is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If content is selected without appropriate design aimed at representing the population from which samples are drawn, the overall distribution will not represent the population it was drawn from. Thus, optimizing for predictive accuracy using very large datasets does not</w:t>
      </w:r>
      <w:r>
        <w:t xml:space="preserve"> </w:t>
      </w:r>
      <w:r>
        <w:t xml:space="preserve">‘absolve’</w:t>
      </w:r>
      <w:r>
        <w:t xml:space="preserve"> </w:t>
      </w:r>
      <w:r>
        <w:t xml:space="preserve">researchers from having to consider the data generating process, and this includes sampling pieces of content to be annotated.</w:t>
      </w:r>
    </w:p>
    <w:p>
      <w:pPr>
        <w:pStyle w:val="BodyText"/>
      </w:pPr>
      <w:r>
        <w:t xml:space="preserve">Approaches to representation problems can come from Sampling Theory, which frames the problem as one of selecting elements of a population, from which a sample must be drawn, and where the aim is that measurements of interest in the sample resemble measurements of interest in the population</w:t>
      </w:r>
      <w:r>
        <w:t xml:space="preserve"> </w:t>
      </w:r>
      <w:r>
        <w:t xml:space="preserve">(Groves et al., 2009)</w:t>
      </w:r>
      <w:r>
        <w:t xml:space="preserve">. This framework is typically applied to selecting people for inclusion in survey studies, whereby their responses to questions lend themselves to inference about a target population. Although there is no</w:t>
      </w:r>
      <w:r>
        <w:t xml:space="preserve"> </w:t>
      </w:r>
      <w:r>
        <w:t xml:space="preserve">‘one-size-fits-all’</w:t>
      </w:r>
      <w:r>
        <w:t xml:space="preserve"> </w:t>
      </w:r>
      <w:r>
        <w:t xml:space="preserve">solution to sampling, this thesis makes use of</w:t>
      </w:r>
      <w:r>
        <w:t xml:space="preserve"> </w:t>
      </w:r>
      <w:r>
        <w:rPr>
          <w:i/>
          <w:iCs/>
        </w:rPr>
        <w:t xml:space="preserve">stratified random sampling</w:t>
      </w:r>
      <w:r>
        <w:t xml:space="preserve"> </w:t>
      </w:r>
      <w:r>
        <w:t xml:space="preserve">as a general strategy: namely, the identification of groups of elements within a population that may affect the measurements in question, and the random sampling of elements within the groups, with approximately equal observations. In principle, this allows for the representation of the groups in population, on the measurement of interest, with some margin of error</w:t>
      </w:r>
      <w:r>
        <w:t xml:space="preserve"> </w:t>
      </w:r>
      <w:r>
        <w:t xml:space="preserve">(Groves et al., 2009)</w:t>
      </w:r>
      <w:r>
        <w:t xml:space="preserve">.</w:t>
      </w:r>
    </w:p>
    <w:bookmarkEnd w:id="28"/>
    <w:bookmarkStart w:id="30" w:name="the-perspectives-of-annotators"/>
    <w:p>
      <w:pPr>
        <w:pStyle w:val="Heading3"/>
      </w:pPr>
      <w:r>
        <w:t xml:space="preserve">The perspectives of annotators</w:t>
      </w:r>
    </w:p>
    <w:p>
      <w:pPr>
        <w:pStyle w:val="FirstParagraph"/>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The quality of annotations is typically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which forms a target to which we align our automated systems.</w:t>
      </w:r>
    </w:p>
    <w:p>
      <w:pPr>
        <w:pStyle w:val="BodyText"/>
      </w:pPr>
      <w:r>
        <w:t xml:space="preserve">However, disagreement is common and never fully reducible</w:t>
      </w:r>
      <w:r>
        <w:t xml:space="preserve"> </w:t>
      </w:r>
      <w:r>
        <w:t xml:space="preserve">(Cabitza et al., 2019)</w:t>
      </w:r>
      <w:r>
        <w:t xml:space="preserve">.</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in tasks thought to be far less so, e.g. medical cases</w:t>
      </w:r>
      <w:r>
        <w:t xml:space="preserve"> </w:t>
      </w:r>
      <w:r>
        <w:t xml:space="preserve">(Cabitza et al., 2019)</w:t>
      </w:r>
      <w:r>
        <w:t xml:space="preserve">. Disagreement, observable as variance in the human input, is often removed via 1) adjusting annotator training and instruction so as to reduce variance in the human inputs at the time of collection, 2) adjusting annotations via discussion post-collection, thus allowing annotators to establish conventions, discuss views, and re-think their responses, or 3) completely post-hoc at the time of modeling, via methods like majority voting, without input from the annotators. Each method of reducing variance - e.g. thorough training for crowd-sourced workers, regular annotator meetings to resolve disagreements, or taking a mean of ratings or majority vote - may result in different data independent of content, or the phenomenon of interest being annotated in the content.</w:t>
      </w:r>
    </w:p>
    <w:p>
      <w:pPr>
        <w:pStyle w:val="BodyText"/>
      </w:pPr>
      <w:r>
        <w:t xml:space="preserve">Further, variance in observed disagreement can be signal rather than noise. This signal may help to better understand the content being annotated: annotations may vary based on the ambiguity of the stimuli themselves, both in terms of the mode (audio vs. image vs. video vs. text), specific medium (Tweet vs. podcast transcript), or even the specific piece of content being annotated</w:t>
      </w:r>
      <w:r>
        <w:t xml:space="preserve"> </w:t>
      </w:r>
      <w:r>
        <w:t xml:space="preserve">(Aroyo &amp; Welty, 2015)</w:t>
      </w:r>
      <w:r>
        <w:t xml:space="preserve">. Thus, not all pieces of content are equally unambiguous, and more ambiguous content is likely to result in greater variances in human input. This signal may help better understand the phenomenon of interest being annotated in the content: for at least some phenomena, the assumption that there is a single ground-truth to approximate with annotations doesn’t hold</w:t>
      </w:r>
      <w:r>
        <w:t xml:space="preserve"> </w:t>
      </w:r>
      <w:r>
        <w:t xml:space="preserve">(Aroyo &amp; Welty, 2015; Beck et al., 2022; Cabitza et al., 2023)</w:t>
      </w:r>
      <w:r>
        <w:t xml:space="preserve">. More broadly, variances in the ratings may inform a finite</w:t>
      </w:r>
      <w:r>
        <w:t xml:space="preserve"> </w:t>
      </w:r>
      <w:r>
        <w:t xml:space="preserve">“range of reasonable interpretations”</w:t>
      </w:r>
      <w:r>
        <w:t xml:space="preserve"> </w:t>
      </w:r>
      <w:r>
        <w:t xml:space="preserve">of the phenomenon of interest being annotated in each piece of content, rather than a singular point. This signal may also help to better understand the background of annotators: people’s ethnic and/or cultural backgrounds may determine how they interpret content, and thus characteristics of the annotators may explain variance in the annotations. For example, although we expect hate speech exists, people’s perceptions of what constitutes hate speech may vary</w:t>
      </w:r>
      <w:r>
        <w:t xml:space="preserve"> </w:t>
      </w:r>
      <w:r>
        <w:t xml:space="preserve">Beck et al. (2022)</w:t>
      </w:r>
      <w:r>
        <w:t xml:space="preserve">. Showing that perceptions vary by identifiable characteristics, e.g. gender identity, ethnicity etc. may help unearth biases, whereby a single group perspective appears</w:t>
      </w:r>
      <w:r>
        <w:t xml:space="preserve"> </w:t>
      </w:r>
      <w:r>
        <w:t xml:space="preserve">‘objective’</w:t>
      </w:r>
      <w:r>
        <w:t xml:space="preserve"> </w:t>
      </w:r>
      <w:r>
        <w:t xml:space="preserve">(Cabitza et al., 2023)</w:t>
      </w:r>
      <w:r>
        <w:t xml:space="preserve">.</w:t>
      </w:r>
    </w:p>
    <w:p>
      <w:pPr>
        <w:pStyle w:val="BodyText"/>
      </w:pPr>
      <w:r>
        <w:t xml:space="preserve">Taking an approach to gathering reference data that attempts to account for the perspectives of the annotators is referred to as the</w:t>
      </w:r>
      <w:r>
        <w:t xml:space="preserve"> </w:t>
      </w:r>
      <w:r>
        <w:rPr>
          <w:i/>
          <w:iCs/>
        </w:rPr>
        <w:t xml:space="preserve">perspectivist</w:t>
      </w:r>
      <w:r>
        <w:rPr>
          <w:rStyle w:val="FootnoteReference"/>
        </w:rPr>
        <w:footnoteReference w:id="29"/>
      </w:r>
      <w:r>
        <w:t xml:space="preserve"> </w:t>
      </w:r>
      <w:r>
        <w:t xml:space="preserve">approach. It can apply to both the data annotation but also the modelling phase of ML projects, where benefits to ML models has been shown in a number of contexts</w:t>
      </w:r>
      <w:r>
        <w:t xml:space="preserve"> </w:t>
      </w:r>
      <w:r>
        <w:t xml:space="preserve">(Cabitza et al., 2023)</w:t>
      </w:r>
      <w:r>
        <w:t xml:space="preserve">. Although typically focused on the annotation of language data, perspectivist approaches can be broadly applied to annotations in reference data:</w:t>
      </w:r>
      <w:r>
        <w:t xml:space="preserve"> </w:t>
      </w:r>
      <w:r>
        <w:rPr>
          <w:i/>
          <w:iCs/>
        </w:rPr>
        <w:t xml:space="preserve">weak</w:t>
      </w:r>
      <w:r>
        <w:t xml:space="preserve"> </w:t>
      </w:r>
      <w:r>
        <w:t xml:space="preserve">perspectivist approaches involve taking perspectives into account while designing and collecting annotations e.g. by ensuring heterogenous raters and gathering enough ratings, as well as sharing and reporting the disaggregated data, but ultimately reducing annotations to a single label or rating for modeling.</w:t>
      </w:r>
      <w:r>
        <w:t xml:space="preserve"> </w:t>
      </w:r>
      <w:r>
        <w:rPr>
          <w:i/>
          <w:iCs/>
        </w:rPr>
        <w:t xml:space="preserve">Strong</w:t>
      </w:r>
      <w:r>
        <w:t xml:space="preserve"> </w:t>
      </w:r>
      <w:r>
        <w:t xml:space="preserve">perspectivist approaches involve taking perspectives into account for ground truthing and modelling phases.</w:t>
      </w:r>
    </w:p>
    <w:p>
      <w:pPr>
        <w:pStyle w:val="BodyText"/>
      </w:pPr>
      <w:r>
        <w:t xml:space="preserve">Taking the perspectivist approach has a number of clear benefits, but also costs. It involves substantially more effort required to design the process that will result in annotations, higher costs in terms of the number of annotations and annotators needed in order to examine sources of variance, and challenges validating the data. In addition there are thus far few perspectivist modelling approaches that make full use of the variance in inputs</w:t>
      </w:r>
      <w:r>
        <w:t xml:space="preserve"> </w:t>
      </w:r>
      <w:r>
        <w:t xml:space="preserve">(Cabitza et al., 2023)</w:t>
      </w:r>
      <w:r>
        <w:t xml:space="preserve">. However, the perspectivist approach better reflects the reality that collecting annotations is a process that generates data with a number of relevant components</w:t>
      </w:r>
      <w:r>
        <w:t xml:space="preserve"> </w:t>
      </w:r>
      <w:r>
        <w:t xml:space="preserve">(Hullman et al., 2022; Jacobs &amp; Wallach, 2021)</w:t>
      </w:r>
      <w:r>
        <w:t xml:space="preserve">. Further, it is a more complete report of the data resulting from the annotation process: the inclusion of the varying inputs in turn allows for better understanding of the content being annotated, the annotators annotating it, and the phenomenon of interest being annotated, which in turn allows for the development of models that make use of this information</w:t>
      </w:r>
      <w:r>
        <w:t xml:space="preserve"> </w:t>
      </w:r>
      <w:r>
        <w:t xml:space="preserve">(Cabitza et al., 2023)</w:t>
      </w:r>
      <w:r>
        <w:t xml:space="preserve">. This thesis makes use of stratified sampling among annotators in order to account for multiple perspectives.</w:t>
      </w:r>
    </w:p>
    <w:bookmarkEnd w:id="30"/>
    <w:bookmarkStart w:id="34" w:name="measurement-bias"/>
    <w:p>
      <w:pPr>
        <w:pStyle w:val="Heading3"/>
      </w:pPr>
      <w:r>
        <w:t xml:space="preserve">Measurement bias</w:t>
      </w:r>
    </w:p>
    <w:p>
      <w:pPr>
        <w:pStyle w:val="FirstParagraph"/>
      </w:pPr>
      <w:r>
        <w:t xml:space="preserve">The social sciences treat data from people as imperfect observations of a latent variable called a</w:t>
      </w:r>
      <w:r>
        <w:t xml:space="preserve"> </w:t>
      </w:r>
      <w:r>
        <w:rPr>
          <w:i/>
          <w:iCs/>
        </w:rPr>
        <w:t xml:space="preserve">construct</w:t>
      </w:r>
      <w:r>
        <w:t xml:space="preserve"> </w:t>
      </w:r>
      <w:r>
        <w:t xml:space="preserve">- among the more well-known are Personality from the field of Psychology. Social and computational sciences traditionally have different focci: where the social sciences emphasize an interpretable meaning of x and y, where x and y are not always directly observable, the computational sciences instead focus on the statistical procedure that correlates x in terms of y (see Fig 1.). Applying the latent variable approach to the gathering of annotations,</w:t>
      </w:r>
      <w:r>
        <w:t xml:space="preserve"> </w:t>
      </w:r>
      <w:r>
        <w:t xml:space="preserve">Jacobs &amp; Wallach (2021)</w:t>
      </w:r>
      <w:r>
        <w:t xml:space="preserve"> </w:t>
      </w:r>
      <w:r>
        <w:t xml:space="preserve">suggest there is a</w:t>
      </w:r>
      <w:r>
        <w:t xml:space="preserve"> </w:t>
      </w:r>
      <w:r>
        <w:t xml:space="preserve">‘measurement error model’</w:t>
      </w:r>
      <w:r>
        <w:t xml:space="preserve"> </w:t>
      </w:r>
      <w:r>
        <w:t xml:space="preserve">(a term they borrow from the field of Economics), that links the unobservable latent variable, and properties that we can observe - in our case, the data produced when people label or annotate. Thus, the annotations we observe can not be the</w:t>
      </w:r>
      <w:r>
        <w:t xml:space="preserve"> </w:t>
      </w:r>
      <w:r>
        <w:t xml:space="preserve">‘ground truth’</w:t>
      </w:r>
      <w:r>
        <w:t xml:space="preserve"> </w:t>
      </w:r>
      <w:r>
        <w:t xml:space="preserve">as such a thing is unknowable. Rather, each annotation is an imperfect indication that can be used to estimate the ground truth.</w:t>
      </w:r>
    </w:p>
    <w:p>
      <w:pPr>
        <w:pStyle w:val="BodyText"/>
      </w:pPr>
      <w:r>
        <w:drawing>
          <wp:inline>
            <wp:extent cx="5334000" cy="6484841"/>
            <wp:effectExtent b="0" l="0" r="0" t="0"/>
            <wp:docPr descr="" title="" id="32" name="Picture"/>
            <a:graphic>
              <a:graphicData uri="http://schemas.openxmlformats.org/drawingml/2006/picture">
                <pic:pic>
                  <pic:nvPicPr>
                    <pic:cNvPr descr="images/Liem_2018_figure_1.png" id="33" name="Picture"/>
                    <pic:cNvPicPr>
                      <a:picLocks noChangeArrowheads="1" noChangeAspect="1"/>
                    </pic:cNvPicPr>
                  </pic:nvPicPr>
                  <pic:blipFill>
                    <a:blip r:embed="rId31"/>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More concretely,</w:t>
      </w:r>
      <w:r>
        <w:t xml:space="preserve"> </w:t>
      </w:r>
      <w:r>
        <w:t xml:space="preserve">Aroyo &amp; Welty (2015)</w:t>
      </w:r>
      <w:r>
        <w:t xml:space="preserve"> </w:t>
      </w:r>
      <w:r>
        <w:t xml:space="preserve">operationalize their term</w:t>
      </w:r>
      <w:r>
        <w:t xml:space="preserve"> </w:t>
      </w:r>
      <w:r>
        <w:t xml:space="preserve">‘crowd truth’</w:t>
      </w:r>
      <w:r>
        <w:t xml:space="preserve"> </w:t>
      </w:r>
      <w:r>
        <w:t xml:space="preserve">as the</w:t>
      </w:r>
      <w:r>
        <w:t xml:space="preserve"> </w:t>
      </w:r>
      <w:r>
        <w:t xml:space="preserve">‘gold standard’</w:t>
      </w:r>
      <w:r>
        <w:t xml:space="preserve"> </w:t>
      </w:r>
      <w:r>
        <w:t xml:space="preserve">being the probability that a sentence contains an element, based on the probability that an annotator annotated that sentence with that element i.e. the label isn’t represented as</w:t>
      </w:r>
      <w:r>
        <w:t xml:space="preserve"> </w:t>
      </w:r>
      <w:r>
        <w:t xml:space="preserve">‘present’</w:t>
      </w:r>
      <w:r>
        <w:t xml:space="preserve"> </w:t>
      </w:r>
      <w:r>
        <w:t xml:space="preserve">or</w:t>
      </w:r>
      <w:r>
        <w:t xml:space="preserve"> </w:t>
      </w:r>
      <w:r>
        <w:t xml:space="preserve">‘not present’</w:t>
      </w:r>
      <w:r>
        <w:t xml:space="preserve">, but as a probability that an annotator labelled it as such. The probability that they may label it as such may in part explained by certain characteristics of theirs, such as their backgrounds, personal experiences etc.</w:t>
      </w:r>
      <w:r>
        <w:t xml:space="preserve"> </w:t>
      </w:r>
      <w:r>
        <w:t xml:space="preserve">(Beck et al., 2022)</w:t>
      </w:r>
      <w:r>
        <w:t xml:space="preserve">.</w:t>
      </w:r>
    </w:p>
    <w:p>
      <w:pPr>
        <w:pStyle w:val="BodyText"/>
      </w:pPr>
      <w:r>
        <w:t xml:space="preserve">To measure constructs, the social sciences create instruments, often in the form of surveys to measure variables defined as latent, or indirectly observable, like the effectiveness of a teacher, or recidivism, the risk that someone will repeat a crime. As one may measure one’s height with a ruler, one may acknowledge that no measurement is perfect, but estimate one’s latent</w:t>
      </w:r>
      <w:r>
        <w:t xml:space="preserve"> </w:t>
      </w:r>
      <w:r>
        <w:t xml:space="preserve">‘height’</w:t>
      </w:r>
      <w:r>
        <w:t xml:space="preserve"> </w:t>
      </w:r>
      <w:r>
        <w:t xml:space="preserve">via multiple measurements</w:t>
      </w:r>
      <w:r>
        <w:t xml:space="preserve"> </w:t>
      </w:r>
      <w:r>
        <w:t xml:space="preserve">Jacobs &amp; Wallach (2021)</w:t>
      </w:r>
      <w:r>
        <w:t xml:space="preserve">.</w:t>
      </w:r>
    </w:p>
    <w:p>
      <w:pPr>
        <w:pStyle w:val="BodyText"/>
      </w:pPr>
      <w:r>
        <w:t xml:space="preserve">Similar to the ruler being an instrument to measure height, survey science treats the survey - the standardized process of collecting data from human input - like a measurement instrument. It thus seeks to minimize the influence of sources of</w:t>
      </w:r>
      <w:r>
        <w:t xml:space="preserve"> </w:t>
      </w:r>
      <w:r>
        <w:t xml:space="preserve">‘noise’</w:t>
      </w:r>
      <w:r>
        <w:t xml:space="preserve">:</w:t>
      </w:r>
      <w:r>
        <w:t xml:space="preserve"> </w:t>
      </w:r>
      <w:r>
        <w:rPr>
          <w:i/>
          <w:iCs/>
        </w:rPr>
        <w:t xml:space="preserve">Task Structure</w:t>
      </w:r>
      <w:r>
        <w:t xml:space="preserve"> </w:t>
      </w:r>
      <w:r>
        <w:t xml:space="preserve">involves refining specific wording and response options, including deciding on the inclusion of</w:t>
      </w:r>
      <w:r>
        <w:t xml:space="preserve"> </w:t>
      </w:r>
      <w:r>
        <w:t xml:space="preserve">“I Don’t Know”</w:t>
      </w:r>
      <w:r>
        <w:t xml:space="preserve"> </w:t>
      </w:r>
      <w:r>
        <w:t xml:space="preserve">or otherwise neutral response options,</w:t>
      </w:r>
      <w:r>
        <w:t xml:space="preserve"> </w:t>
      </w:r>
      <w:r>
        <w:rPr>
          <w:i/>
          <w:iCs/>
        </w:rPr>
        <w:t xml:space="preserve">Order Effects</w:t>
      </w:r>
      <w:r>
        <w:t xml:space="preserve"> </w:t>
      </w:r>
      <w:r>
        <w:t xml:space="preserve">involves strategies to randomly present content, as judgements of a specific piece of content are affected by perceptions of immediately previous pieces of content, and</w:t>
      </w:r>
      <w:r>
        <w:t xml:space="preserve"> </w:t>
      </w:r>
      <w:r>
        <w:rPr>
          <w:i/>
          <w:iCs/>
        </w:rPr>
        <w:t xml:space="preserve">Annotator Effects</w:t>
      </w:r>
      <w:r>
        <w:t xml:space="preserve"> </w:t>
      </w:r>
      <w:r>
        <w:t xml:space="preserve">which involves strategies to appropriately account for differences in perception based on the backgrounds, experiences and opinions of the annotators</w:t>
      </w:r>
      <w:r>
        <w:t xml:space="preserve"> </w:t>
      </w:r>
      <w:r>
        <w:t xml:space="preserve">(Beck et al., 2022)</w:t>
      </w:r>
      <w:r>
        <w:t xml:space="preserve">.</w:t>
      </w:r>
    </w:p>
    <w:p>
      <w:pPr>
        <w:pStyle w:val="BodyText"/>
      </w:pPr>
      <w:r>
        <w:t xml:space="preserve">Tools from a number of fields can assist in determining the usefulness of a measurement instrument, including whatever process is used to gather annotations.</w:t>
      </w:r>
    </w:p>
    <w:p>
      <w:pPr>
        <w:pStyle w:val="BodyText"/>
      </w:pPr>
      <w:r>
        <w:t xml:space="preserve">Jacobs &amp; Wallach (2021)</w:t>
      </w:r>
    </w:p>
    <w:p>
      <w:pPr>
        <w:pStyle w:val="Compact"/>
        <w:numPr>
          <w:ilvl w:val="0"/>
          <w:numId w:val="1001"/>
        </w:numPr>
      </w:pPr>
      <w:r>
        <w:t xml:space="preserve">reliability: do similar inputs to a measurement model present</w:t>
      </w:r>
      <w:r>
        <w:t xml:space="preserve"> </w:t>
      </w:r>
      <w:r>
        <w:t xml:space="preserve">similar outputs?</w:t>
      </w:r>
    </w:p>
    <w:p>
      <w:pPr>
        <w:pStyle w:val="FirstParagraph"/>
      </w:pPr>
      <w:r>
        <w:t xml:space="preserve">test-retest: are measurements of an unobservable latent construct taken</w:t>
      </w:r>
      <w:r>
        <w:t xml:space="preserve"> </w:t>
      </w:r>
      <w:r>
        <w:t xml:space="preserve">at different times via a measurement model similar, assuming the</w:t>
      </w:r>
      <w:r>
        <w:t xml:space="preserve"> </w:t>
      </w:r>
      <w:r>
        <w:t xml:space="preserve">construct hasn’t changed?</w:t>
      </w:r>
    </w:p>
    <w:p>
      <w:pPr>
        <w:pStyle w:val="Compact"/>
        <w:numPr>
          <w:ilvl w:val="0"/>
          <w:numId w:val="1002"/>
        </w:numPr>
      </w:pPr>
      <w:r>
        <w:t xml:space="preserve">validity: is it</w:t>
      </w:r>
      <w:r>
        <w:t xml:space="preserve"> </w:t>
      </w:r>
      <w:r>
        <w:t xml:space="preserve">‘right’</w:t>
      </w:r>
      <w:r>
        <w:t xml:space="preserve">?</w:t>
      </w:r>
    </w:p>
    <w:p>
      <w:pPr>
        <w:pStyle w:val="FirstParagraph"/>
      </w:pPr>
      <w:r>
        <w:t xml:space="preserve">no single test for validity on purpose, because it requires thinking. do</w:t>
      </w:r>
      <w:r>
        <w:t xml:space="preserve"> </w:t>
      </w:r>
      <w:r>
        <w:t xml:space="preserve">our measurements:</w:t>
      </w:r>
    </w:p>
    <w:p>
      <w:pPr>
        <w:pStyle w:val="Compact"/>
        <w:numPr>
          <w:ilvl w:val="0"/>
          <w:numId w:val="1003"/>
        </w:numPr>
      </w:pPr>
      <w:r>
        <w:t xml:space="preserve">face validity: look plausible/ sensible?</w:t>
      </w:r>
    </w:p>
    <w:p>
      <w:pPr>
        <w:pStyle w:val="Compact"/>
        <w:numPr>
          <w:ilvl w:val="0"/>
          <w:numId w:val="1003"/>
        </w:numPr>
      </w:pPr>
      <w:r>
        <w:t xml:space="preserve">content validity: capture the construct?</w:t>
      </w:r>
    </w:p>
    <w:p>
      <w:pPr>
        <w:pStyle w:val="Compact"/>
        <w:numPr>
          <w:ilvl w:val="1"/>
          <w:numId w:val="1004"/>
        </w:numPr>
      </w:pPr>
      <w:r>
        <w:t xml:space="preserve">structural validity: show the inter-correlations we expect?</w:t>
      </w:r>
    </w:p>
    <w:p>
      <w:pPr>
        <w:pStyle w:val="Compact"/>
        <w:numPr>
          <w:ilvl w:val="1"/>
          <w:numId w:val="1004"/>
        </w:numPr>
      </w:pPr>
      <w:r>
        <w:t xml:space="preserve">substantive validity: capture only observable properties thought</w:t>
      </w:r>
      <w:r>
        <w:t xml:space="preserve"> </w:t>
      </w:r>
      <w:r>
        <w:t xml:space="preserve">to be related to the construct?</w:t>
      </w:r>
    </w:p>
    <w:p>
      <w:pPr>
        <w:pStyle w:val="Compact"/>
        <w:numPr>
          <w:ilvl w:val="0"/>
          <w:numId w:val="1003"/>
        </w:numPr>
      </w:pPr>
      <w:r>
        <w:t xml:space="preserve">convergent validity: show correlations with other validated methods?</w:t>
      </w:r>
    </w:p>
    <w:p>
      <w:pPr>
        <w:pStyle w:val="Compact"/>
        <w:numPr>
          <w:ilvl w:val="0"/>
          <w:numId w:val="1003"/>
        </w:numPr>
      </w:pPr>
      <w:r>
        <w:t xml:space="preserve">discriminant validity: show correlations with other</w:t>
      </w:r>
      <w:r>
        <w:t xml:space="preserve"> </w:t>
      </w:r>
      <w:r>
        <w:t xml:space="preserve">construct/properties thought not to be related to the construct?</w:t>
      </w:r>
    </w:p>
    <w:p>
      <w:pPr>
        <w:pStyle w:val="Compact"/>
        <w:numPr>
          <w:ilvl w:val="0"/>
          <w:numId w:val="1003"/>
        </w:numPr>
      </w:pPr>
      <w:r>
        <w:t xml:space="preserve">predictive validity: show correlations with constructs/properties</w:t>
      </w:r>
      <w:r>
        <w:t xml:space="preserve"> </w:t>
      </w:r>
      <w:r>
        <w:t xml:space="preserve">thought to be related, but not in the operationalization?</w:t>
      </w:r>
    </w:p>
    <w:p>
      <w:pPr>
        <w:pStyle w:val="Compact"/>
        <w:numPr>
          <w:ilvl w:val="0"/>
          <w:numId w:val="1003"/>
        </w:numPr>
      </w:pPr>
      <w:r>
        <w:t xml:space="preserve">hypothesis validity: shed light on relevant hypotheses about the</w:t>
      </w:r>
      <w:r>
        <w:t xml:space="preserve"> </w:t>
      </w:r>
      <w:r>
        <w:t xml:space="preserve">construct being measured?</w:t>
      </w:r>
    </w:p>
    <w:p>
      <w:pPr>
        <w:pStyle w:val="Compact"/>
        <w:numPr>
          <w:ilvl w:val="0"/>
          <w:numId w:val="1003"/>
        </w:numPr>
      </w:pPr>
      <w:r>
        <w:t xml:space="preserve">consequential validity: allow for the consequences obtained from the</w:t>
      </w:r>
      <w:r>
        <w:t xml:space="preserve"> </w:t>
      </w:r>
      <w:r>
        <w:t xml:space="preserve">measurement model to be assessed?</w:t>
      </w:r>
    </w:p>
    <w:p>
      <w:pPr>
        <w:pStyle w:val="FirstParagraph"/>
      </w:pPr>
      <w:r>
        <w:t xml:space="preserve">metrology, standard deviation of standard deviations etc.</w:t>
      </w:r>
    </w:p>
    <w:bookmarkEnd w:id="34"/>
    <w:bookmarkStart w:id="35" w:name="inadequate-reporting"/>
    <w:p>
      <w:pPr>
        <w:pStyle w:val="Heading3"/>
      </w:pPr>
      <w:r>
        <w:t xml:space="preserve">Inadequate reporting</w:t>
      </w:r>
    </w:p>
    <w:p>
      <w:pPr>
        <w:pStyle w:val="FirstParagraph"/>
      </w:pPr>
      <w:r>
        <w:t xml:space="preserve">Geiger et al. (2021)</w:t>
      </w:r>
      <w:r>
        <w:t xml:space="preserve"> </w:t>
      </w:r>
      <w:r>
        <w:t xml:space="preserve">ML science studies inadequately report</w:t>
      </w:r>
      <w:r>
        <w:t xml:space="preserve"> </w:t>
      </w:r>
      <w:r>
        <w:t xml:space="preserve">‘ground truth’</w:t>
      </w:r>
      <w:r>
        <w:t xml:space="preserve"> </w:t>
      </w:r>
      <w:r>
        <w:t xml:space="preserve">Hullman et al. (2022)</w:t>
      </w:r>
      <w:r>
        <w:t xml:space="preserve"> </w:t>
      </w:r>
      <w:r>
        <w:t xml:space="preserve">thus we cannot know what data generating process the</w:t>
      </w:r>
      <w:r>
        <w:t xml:space="preserve"> </w:t>
      </w:r>
      <w:r>
        <w:t xml:space="preserve">resulting model represents</w:t>
      </w:r>
    </w:p>
    <w:p>
      <w:pPr>
        <w:pStyle w:val="BodyText"/>
      </w:pPr>
      <w:r>
        <w:t xml:space="preserve">Cabitza et al. (2023)</w:t>
      </w:r>
      <w:r>
        <w:t xml:space="preserve"> </w:t>
      </w:r>
      <w:r>
        <w:t xml:space="preserve">- adequate reporting:</w:t>
      </w:r>
      <w:r>
        <w:t xml:space="preserve"> </w:t>
      </w:r>
      <w:r>
        <w:t xml:space="preserve">- number of raters,</w:t>
      </w:r>
      <w:r>
        <w:t xml:space="preserve"> </w:t>
      </w:r>
      <w:r>
        <w:t xml:space="preserve">- rater expertise</w:t>
      </w:r>
      <w:r>
        <w:t xml:space="preserve"> </w:t>
      </w:r>
      <w:r>
        <w:t xml:space="preserve">- incentive</w:t>
      </w:r>
      <w:r>
        <w:t xml:space="preserve"> </w:t>
      </w:r>
      <w:r>
        <w:t xml:space="preserve">- instructions</w:t>
      </w:r>
      <w:r>
        <w:t xml:space="preserve"> </w:t>
      </w:r>
      <w:r>
        <w:t xml:space="preserve">- length of time for labelling</w:t>
      </w:r>
      <w:r>
        <w:t xml:space="preserve"> </w:t>
      </w:r>
      <w:r>
        <w:t xml:space="preserve">- inter rater agreement</w:t>
      </w:r>
      <w:r>
        <w:t xml:space="preserve"> </w:t>
      </w:r>
      <w:r>
        <w:t xml:space="preserve">- aggregation method</w:t>
      </w:r>
      <w:r>
        <w:t xml:space="preserve"> </w:t>
      </w:r>
      <w:r>
        <w:t xml:space="preserve">- confidence</w:t>
      </w:r>
    </w:p>
    <w:bookmarkEnd w:id="35"/>
    <w:bookmarkEnd w:id="36"/>
    <w:bookmarkEnd w:id="37"/>
    <w:bookmarkStart w:id="65" w:name="present-work-1"/>
    <w:p>
      <w:pPr>
        <w:pStyle w:val="Heading1"/>
      </w:pPr>
      <w:r>
        <w:t xml:space="preserve">Present Work</w:t>
      </w:r>
    </w:p>
    <w:p>
      <w:pPr>
        <w:pStyle w:val="FirstParagraph"/>
      </w:pPr>
      <w:r>
        <w:t xml:space="preserve">This thesis attempts to synthesize recommendations on how to better collect data to be used as reference and possibly training. It accounts for the aforementioned shortcomings in the design of study, using recommendations from the social sciences and syntheses of material from survey science, metrology.</w:t>
      </w:r>
    </w:p>
    <w:p>
      <w:pPr>
        <w:pStyle w:val="BodyText"/>
      </w:pPr>
      <w:r>
        <w:t xml:space="preserve">This thesis attempts to further the field in the following ways:</w:t>
      </w:r>
    </w:p>
    <w:p>
      <w:pPr>
        <w:pStyle w:val="Compact"/>
        <w:numPr>
          <w:ilvl w:val="0"/>
          <w:numId w:val="1005"/>
        </w:numPr>
      </w:pPr>
      <w:r>
        <w:t xml:space="preserve">we attempt representative sampling of both media and respondents</w:t>
      </w:r>
    </w:p>
    <w:p>
      <w:pPr>
        <w:pStyle w:val="Compact"/>
        <w:numPr>
          <w:ilvl w:val="0"/>
          <w:numId w:val="1005"/>
        </w:numPr>
      </w:pPr>
      <w:r>
        <w:t xml:space="preserve">we aim to estimate 10-dimensional psychological construct</w:t>
      </w:r>
    </w:p>
    <w:p>
      <w:pPr>
        <w:pStyle w:val="Compact"/>
        <w:numPr>
          <w:ilvl w:val="0"/>
          <w:numId w:val="1005"/>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05"/>
        </w:numPr>
      </w:pPr>
      <w:r>
        <w:t xml:space="preserve">we estimate a-priori the number of ratings necessary rather than</w:t>
      </w:r>
      <w:r>
        <w:t xml:space="preserve"> </w:t>
      </w:r>
      <w:r>
        <w:t xml:space="preserve">assuming</w:t>
      </w:r>
    </w:p>
    <w:p>
      <w:pPr>
        <w:pStyle w:val="Compact"/>
        <w:numPr>
          <w:ilvl w:val="0"/>
          <w:numId w:val="1005"/>
        </w:numPr>
      </w:pPr>
      <w:r>
        <w:t xml:space="preserve">we take into account perspectives</w:t>
      </w:r>
    </w:p>
    <w:p>
      <w:pPr>
        <w:pStyle w:val="FirstParagraph"/>
      </w:pPr>
      <w:r>
        <w:t xml:space="preserve">The primary case study of this thesis works towards path (b) in</w:t>
      </w:r>
      <w:r>
        <w:t xml:space="preserve"> </w:t>
      </w:r>
      <w:r>
        <w:t xml:space="preserve">Liem et al. (2018)</w:t>
      </w:r>
      <w:r>
        <w:t xml:space="preserve">, shown in:</w:t>
      </w:r>
      <w:r>
        <w:t xml:space="preserve"> </w:t>
      </w:r>
      <w:r>
        <w:drawing>
          <wp:inline>
            <wp:extent cx="5334000" cy="4508040"/>
            <wp:effectExtent b="0" l="0" r="0" t="0"/>
            <wp:docPr descr="" title="" id="39" name="Picture"/>
            <a:graphic>
              <a:graphicData uri="http://schemas.openxmlformats.org/drawingml/2006/picture">
                <pic:pic>
                  <pic:nvPicPr>
                    <pic:cNvPr descr="images/Liem_2018_figure_2.png" id="40" name="Picture"/>
                    <pic:cNvPicPr>
                      <a:picLocks noChangeArrowheads="1" noChangeAspect="1"/>
                    </pic:cNvPicPr>
                  </pic:nvPicPr>
                  <pic:blipFill>
                    <a:blip r:embed="rId38"/>
                    <a:stretch>
                      <a:fillRect/>
                    </a:stretch>
                  </pic:blipFill>
                  <pic:spPr bwMode="auto">
                    <a:xfrm>
                      <a:off x="0" y="0"/>
                      <a:ext cx="5334000" cy="4508040"/>
                    </a:xfrm>
                    <a:prstGeom prst="rect">
                      <a:avLst/>
                    </a:prstGeom>
                    <a:noFill/>
                    <a:ln w="9525">
                      <a:noFill/>
                      <a:headEnd/>
                      <a:tailEnd/>
                    </a:ln>
                  </pic:spPr>
                </pic:pic>
              </a:graphicData>
            </a:graphic>
          </wp:inline>
        </w:drawing>
      </w:r>
      <w:r>
        <w:t xml:space="preserve">, and showcases a design for a challenging ground-truthing project, in terms of the complexity of the phenomenon of interest, ambiguity in the media that selected and annotated. It incorporates design choices to address the aforementioned shortcomings into a singular framework, guided by best practices in the social sciences, which it then extends.</w:t>
      </w:r>
    </w:p>
    <w:p>
      <w:pPr>
        <w:pStyle w:val="BodyText"/>
      </w:pPr>
      <w:r>
        <w:t xml:space="preserve">Specifically:</w:t>
      </w:r>
    </w:p>
    <w:p>
      <w:pPr>
        <w:pStyle w:val="Compact"/>
        <w:numPr>
          <w:ilvl w:val="0"/>
          <w:numId w:val="1006"/>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06"/>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06"/>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06"/>
        </w:numPr>
      </w:pPr>
      <w:r>
        <w:t xml:space="preserve">We report the details of the annotation collection process, and</w:t>
      </w:r>
      <w:r>
        <w:t xml:space="preserve"> </w:t>
      </w:r>
      <w:r>
        <w:t xml:space="preserve">share the disaggregated dataset of the annotations</w:t>
      </w:r>
    </w:p>
    <w:p>
      <w:pPr>
        <w:pStyle w:val="Compact"/>
        <w:numPr>
          <w:ilvl w:val="0"/>
          <w:numId w:val="1006"/>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r>
        <w:t xml:space="preserve"> </w:t>
      </w:r>
      <w:r>
        <w:t xml:space="preserve">Cabitza et al. (2023)</w:t>
      </w:r>
      <w:r>
        <w:t xml:space="preserve"> </w:t>
      </w:r>
      <w:r>
        <w:t xml:space="preserve">recommendations:</w:t>
      </w:r>
      <w:r>
        <w:t xml:space="preserve"> </w:t>
      </w:r>
      <w:r>
        <w:t xml:space="preserve">- 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 perfectly represent the deployment environment, the typical leaderboard approach has shown evidence that progress can be made towards a target. This thesis thus represents an attempt to define the target better.</w:t>
      </w:r>
    </w:p>
    <w:bookmarkStart w:id="64" w:name="references"/>
    <w:p>
      <w:pPr>
        <w:pStyle w:val="Heading2"/>
      </w:pPr>
      <w:r>
        <w:t xml:space="preserve">References</w:t>
      </w:r>
    </w:p>
    <w:bookmarkStart w:id="63" w:name="refs"/>
    <w:bookmarkStart w:id="41"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1"/>
    <w:bookmarkStart w:id="42"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2"/>
    <w:bookmarkStart w:id="43"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3"/>
    <w:bookmarkStart w:id="44"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4"/>
    <w:bookmarkStart w:id="45"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5"/>
    <w:bookmarkStart w:id="46"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46"/>
    <w:bookmarkStart w:id="47"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47"/>
    <w:bookmarkStart w:id="48"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48"/>
    <w:bookmarkStart w:id="49"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49"/>
    <w:bookmarkStart w:id="50"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0"/>
    <w:bookmarkStart w:id="51"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1"/>
    <w:bookmarkStart w:id="52"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52"/>
    <w:bookmarkStart w:id="53"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3"/>
    <w:bookmarkStart w:id="54"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4"/>
    <w:bookmarkStart w:id="55"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55"/>
    <w:bookmarkStart w:id="56"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56"/>
    <w:bookmarkStart w:id="57"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57"/>
    <w:bookmarkStart w:id="58"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58"/>
    <w:bookmarkStart w:id="59"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59"/>
    <w:bookmarkStart w:id="60"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0"/>
    <w:bookmarkStart w:id="61"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1"/>
    <w:bookmarkStart w:id="62"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 w:id="29">
    <w:p>
      <w:pPr>
        <w:pStyle w:val="FootnoteText"/>
      </w:pPr>
      <w:r>
        <w:rPr>
          <w:rStyle w:val="FootnoteReference"/>
        </w:rPr>
        <w:footnoteRef/>
      </w:r>
      <w:r>
        <w:t xml:space="preserve"> </w:t>
      </w:r>
      <w:r>
        <w:t xml:space="preserve">https://pdai.info/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2025-04-21T13:49:14Z</dcterms:created>
  <dcterms:modified xsi:type="dcterms:W3CDTF">2025-04-21T13:49:14Z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