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 Ground-Truthing:</w:t>
      </w:r>
    </w:p>
    <w:p>
      <w:pPr>
        <w:pStyle w:val="Subtitle"/>
      </w:pPr>
      <w:r>
        <w:t xml:space="preserve">An</w:t>
      </w:r>
      <w:r>
        <w:t xml:space="preserve"> </w:t>
      </w:r>
      <w:r>
        <w:rPr>
          <w:i/>
          <w:iCs/>
        </w:rPr>
        <w:t xml:space="preserve">a-priori</w:t>
      </w:r>
      <w:r>
        <w:t xml:space="preserve"> </w:t>
      </w:r>
      <w:r>
        <w:t xml:space="preserve">approach to data design for AI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 2006 marketing conference, Clive Humby stated</w:t>
      </w:r>
      <w:r>
        <w:t xml:space="preserve"> </w:t>
      </w:r>
      <w:r>
        <w:t xml:space="preserve">“Data is the new oil”</w:t>
      </w:r>
      <w:r>
        <w:t xml:space="preserve">. He was positing that, like crude oil, data must be refined in order to gain value, in the form of analysis</w:t>
      </w:r>
      <w:r>
        <w:t xml:space="preserve"> </w:t>
      </w:r>
      <w:r>
        <w:t xml:space="preserve">(Palmer, 2006)</w:t>
      </w:r>
      <w:r>
        <w:t xml:space="preserve">.</w:t>
      </w:r>
    </w:p>
    <w:p>
      <w:pPr>
        <w:pStyle w:val="BlockText"/>
      </w:pPr>
      <w:r>
        <w:t xml:space="preserve">“Data is just like crude. It’s valuable, but if unrefined it cannot really be used. It has to be changed into gas, plastic, chemicals, etc to create a valuable entity that drives profitable activity; so must data be broken down, analyzed for it to have value.”</w:t>
      </w:r>
    </w:p>
    <w:p>
      <w:pPr>
        <w:pStyle w:val="BlockText"/>
      </w:pPr>
      <w:r>
        <w:t xml:space="preserve">Palmer (2006)</w:t>
      </w:r>
      <w:r>
        <w:t xml:space="preserve">, describing Clive Humby’s talk</w:t>
      </w:r>
    </w:p>
    <w:p>
      <w:pPr>
        <w:pStyle w:val="FirstParagraph"/>
      </w:pPr>
      <w:r>
        <w:t xml:space="preserve">The suggestion then was that, by analyzing data, one gains insights which have value. Rephrased, the suggestion is that, data can be made useful, if processed correctly once it’s been collected. AI systems take this value one step further, as systems built from the data with the aim of automating tasks - pieces of work typically carried out by people.</w:t>
      </w:r>
    </w:p>
    <w:p>
      <w:pPr>
        <w:pStyle w:val="BodyText"/>
      </w:pPr>
      <w:r>
        <w:t xml:space="preserve">AI systems are increasingly being applied in high stakes environments. In a poll of IT professionals across countries and sectors, 42% globally, with 18% in the government sector and 25% in the healthcare industry responding that their organization had already deployed AI, and a further 40% globally, with 49% in the government and 47% in the healthcare industry responding that their organization was exploring AI use</w:t>
      </w:r>
      <w:r>
        <w:t xml:space="preserve"> </w:t>
      </w:r>
      <w:r>
        <w:rPr>
          <w:rStyle w:val="FootnoteReference"/>
        </w:rPr>
        <w:footnoteReference w:id="20"/>
      </w:r>
      <w:r>
        <w:t xml:space="preserve">.</w:t>
      </w:r>
    </w:p>
    <w:p>
      <w:pPr>
        <w:pStyle w:val="BodyText"/>
      </w:pPr>
      <w:r>
        <w:t xml:space="preserve">AI systems show issues with</w:t>
      </w:r>
      <w:r>
        <w:t xml:space="preserve"> </w:t>
      </w:r>
      <w:r>
        <w:rPr>
          <w:i/>
          <w:iCs/>
        </w:rPr>
        <w:t xml:space="preserve">fairness</w:t>
      </w:r>
      <w:r>
        <w:t xml:space="preserve"> </w:t>
      </w:r>
      <w:r>
        <w:t xml:space="preserve">-</w:t>
      </w:r>
      <w:r>
        <w:t xml:space="preserve"> </w:t>
      </w:r>
      <w:r>
        <w:t xml:space="preserve">“absence of any prejudice or favoritism toward an individual or group based on their inherent or acquired characteristics”</w:t>
      </w:r>
      <w:r>
        <w:t xml:space="preserve"> </w:t>
      </w:r>
      <w:r>
        <w:t xml:space="preserve">(Mehrabi et al., 2021)</w:t>
      </w:r>
      <w:r>
        <w:t xml:space="preserve">. One group of contributors to issues with fairness stem from bias in the data used to train or evaluate AI systems</w:t>
      </w:r>
      <w:r>
        <w:t xml:space="preserve"> </w:t>
      </w:r>
      <w:r>
        <w:t xml:space="preserve">(Mavrogiorgos et al., 2024; Mehrabi et al., 2021)</w:t>
      </w:r>
      <w:r>
        <w:t xml:space="preserve">. Solutions thus far often focus on fixing bias once it’s collected</w:t>
      </w:r>
      <w:r>
        <w:t xml:space="preserve"> </w:t>
      </w:r>
      <w:r>
        <w:t xml:space="preserve">(Mavrogiorgos et al., 2024)</w:t>
      </w:r>
      <w:r>
        <w:t xml:space="preserve"> </w:t>
      </w:r>
      <w:r>
        <w:t xml:space="preserve">- essentially treating data like crude oil, with a focus on refinement.</w:t>
      </w:r>
    </w:p>
    <w:p>
      <w:pPr>
        <w:pStyle w:val="BodyText"/>
      </w:pPr>
      <w:r>
        <w:t xml:space="preserve">Another approach to addressing fairness is proposed herein. This thesis argues that data used for AI systems requires more than refinement: research prior to collection, to inform design - coined</w:t>
      </w:r>
      <w:r>
        <w:t xml:space="preserve"> </w:t>
      </w:r>
      <w:r>
        <w:rPr>
          <w:i/>
          <w:iCs/>
        </w:rPr>
        <w:t xml:space="preserve">Prospective Ground-Truthing</w:t>
      </w:r>
      <w:r>
        <w:t xml:space="preserve">. Though works report on design principles drawn from established practices from relevant fields, these have yet to be broadly adopted. The thesis synthesizes design principles from the social sciences with principles from the computational sciences, for the purposes of collecting data to be used in AI systems. It reports on a case-study aimed at applying these principles. Following the case study, this thesis notes the additional effort and cost in approaching data collection this way, and presents a suggestion for a change in infrastructure to support the proposed approaches to data collection for AI systems.</w:t>
      </w:r>
    </w:p>
    <w:bookmarkStart w:id="26"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1"/>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2"/>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3"/>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4"/>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Thus, AI systems require two forms of carefully collected data: training data to estimate model parameters, and reference data to evaluate model outputs. Training data may be tabular data, but is often a form of media - text, audio, images, or video -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an online form and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reference)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also reflected in the models preferred. Thus, the best possible performance in the real world directly corresponds to the degree to which training and reference data represent the phenomenon of interest, in the environment to which it is to be deployed. And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5"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5"/>
    <w:bookmarkEnd w:id="26"/>
    <w:bookmarkStart w:id="38" w:name="background"/>
    <w:p>
      <w:pPr>
        <w:pStyle w:val="Heading1"/>
      </w:pPr>
      <w:r>
        <w:t xml:space="preserve">Background</w:t>
      </w:r>
    </w:p>
    <w:bookmarkStart w:id="28"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in some cases treated as</w:t>
      </w:r>
      <w:r>
        <w:t xml:space="preserve"> </w:t>
      </w:r>
      <w:r>
        <w:rPr>
          <w:i/>
          <w:iCs/>
        </w:rPr>
        <w:t xml:space="preserve">benchmarks</w:t>
      </w:r>
      <w:r>
        <w:t xml:space="preserve"> </w:t>
      </w:r>
      <w:r>
        <w:t xml:space="preserve">- measurement instruments used to produce comparable quantitative assessments of models</w:t>
      </w:r>
      <w:r>
        <w:t xml:space="preserve"> </w:t>
      </w:r>
      <w:r>
        <w:t xml:space="preserve">(Welty et al., 2019)</w:t>
      </w:r>
      <w:r>
        <w:t xml:space="preserve"> </w:t>
      </w:r>
      <w:r>
        <w:t xml:space="preserve">-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7"/>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 Building on this,</w:t>
      </w:r>
      <w:r>
        <w:t xml:space="preserve"> </w:t>
      </w:r>
      <w:r>
        <w:t xml:space="preserve">Welty et al. (2019)</w:t>
      </w:r>
      <w:r>
        <w:t xml:space="preserve"> </w:t>
      </w:r>
      <w:r>
        <w:t xml:space="preserve">argue that datasets used to evaluate AI systems should be treated as measurement instruments in their own right. Drawing on the science of metrology, they propose that benchmark datasets ought to be evaluated using criteria analogous to those used for physical measurement tools.</w:t>
      </w:r>
    </w:p>
    <w:bookmarkEnd w:id="28"/>
    <w:bookmarkStart w:id="37" w:name="Xef9155cd8e68d0489de91672a4758b0f3cfd053"/>
    <w:p>
      <w:pPr>
        <w:pStyle w:val="Heading2"/>
      </w:pPr>
      <w:r>
        <w:t xml:space="preserve">Common shortcomings of reference data design</w:t>
      </w:r>
    </w:p>
    <w:p>
      <w:pPr>
        <w:pStyle w:val="FirstParagraph"/>
      </w:pPr>
      <w:r>
        <w:t xml:space="preserve">Recent trends in Machine Learning (ML) —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often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(C. C. 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For example,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data used in AI systems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and based on the range of reasonable interpretations of that target in that media</w:t>
      </w:r>
      <w:r>
        <w:t xml:space="preserve"> </w:t>
      </w:r>
      <w:r>
        <w:t xml:space="preserve">(Aroyo &amp; Welty, 2015)</w:t>
      </w:r>
      <w:r>
        <w:t xml:space="preserve">.</w:t>
      </w:r>
    </w:p>
    <w:bookmarkStart w:id="29"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9"/>
    <w:bookmarkStart w:id="31"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visible as the general agreement of human response, and which forms a target to which we align our automated systems. To illustrate more accurate representation of human responses, however,</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30"/>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accounts for annotator perspectives by collecting data using stratified sampling</w:t>
      </w:r>
      <w:r>
        <w:t xml:space="preserve"> </w:t>
      </w:r>
      <w:r>
        <w:t xml:space="preserve">(Groves et al., 2009)</w:t>
      </w:r>
      <w:r>
        <w:t xml:space="preserve"> </w:t>
      </w:r>
      <w:r>
        <w:t xml:space="preserve">among annotators, using cross-classified multilevel models to assess whether participant characteristics have statistically significant effects on their ratings</w:t>
      </w:r>
      <w:r>
        <w:t xml:space="preserve"> </w:t>
      </w:r>
      <w:r>
        <w:t xml:space="preserve">(Doedens et al., 2022)</w:t>
      </w:r>
      <w:r>
        <w:t xml:space="preserve">, and reporting disaggregated data</w:t>
      </w:r>
      <w:r>
        <w:t xml:space="preserve"> </w:t>
      </w:r>
      <w:r>
        <w:t xml:space="preserve">(Cabitza et al., 2023)</w:t>
      </w:r>
      <w:r>
        <w:t xml:space="preserve">.</w:t>
      </w:r>
    </w:p>
    <w:bookmarkEnd w:id="31"/>
    <w:bookmarkStart w:id="35"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like the effectiveness of a teacher, or recidivism i.e. the risk that someone will repeat a crime, or personality from the field of Psychology</w:t>
      </w:r>
      <w:r>
        <w:t xml:space="preserve"> </w:t>
      </w:r>
      <w:r>
        <w:t xml:space="preserve">(Cronbach &amp; Meehl, 1955)</w:t>
      </w:r>
      <w:r>
        <w:t xml:space="preserve">. Social and computational sciences traditionally have different focci: where the social sciences emphasize an interpretable meaning of</w:t>
      </w:r>
      <w:r>
        <w:t xml:space="preserve"> </w:t>
      </w:r>
      <m:oMath>
        <m:r>
          <m:t>x</m:t>
        </m:r>
      </m:oMath>
      <w:r>
        <w:t xml:space="preserve"> </w:t>
      </w:r>
      <w:r>
        <w:t xml:space="preserve">and</w:t>
      </w:r>
      <w:r>
        <w:t xml:space="preserve"> </w:t>
      </w:r>
      <m:oMath>
        <m:r>
          <m:t>y</m:t>
        </m:r>
      </m:oMath>
      <w:r>
        <w:t xml:space="preserve">, where</w:t>
      </w:r>
      <w:r>
        <w:t xml:space="preserve"> </w:t>
      </w:r>
      <m:oMath>
        <m:r>
          <m:t>x</m:t>
        </m:r>
      </m:oMath>
      <w:r>
        <w:t xml:space="preserve"> </w:t>
      </w:r>
      <w:r>
        <w:t xml:space="preserve">and</w:t>
      </w:r>
      <w:r>
        <w:t xml:space="preserve"> </w:t>
      </w:r>
      <m:oMath>
        <m:r>
          <m:t>y</m:t>
        </m:r>
      </m:oMath>
      <w:r>
        <w:t xml:space="preserve"> </w:t>
      </w:r>
      <w:r>
        <w:t xml:space="preserve">are not always directly observable, the computational sciences instead focus on the statistical procedure that correlates</w:t>
      </w:r>
      <w:r>
        <w:t xml:space="preserve"> </w:t>
      </w:r>
      <m:oMath>
        <m:r>
          <m:t>x</m:t>
        </m:r>
      </m:oMath>
      <w:r>
        <w:t xml:space="preserve"> </w:t>
      </w:r>
      <w:r>
        <w:t xml:space="preserve">in terms of</w:t>
      </w:r>
      <w:r>
        <w:t xml:space="preserve"> </w:t>
      </w:r>
      <m:oMath>
        <m:r>
          <m:t>y</m:t>
        </m:r>
      </m:oMath>
      <w:r>
        <w:t xml:space="preserve"> </w:t>
      </w:r>
      <w:r>
        <w:t xml:space="preserve">(see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3" name="Picture"/>
            <a:graphic>
              <a:graphicData uri="http://schemas.openxmlformats.org/drawingml/2006/picture">
                <pic:pic>
                  <pic:nvPicPr>
                    <pic:cNvPr descr="images/Liem_2018_figure_1.png" id="34" name="Picture"/>
                    <pic:cNvPicPr>
                      <a:picLocks noChangeArrowheads="1" noChangeAspect="1"/>
                    </pic:cNvPicPr>
                  </pic:nvPicPr>
                  <pic:blipFill>
                    <a:blip r:embed="rId32"/>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C. C. Liem et al. (2018)</w:t>
      </w:r>
    </w:p>
    <w:p>
      <w:pPr>
        <w:pStyle w:val="BodyText"/>
      </w:pPr>
      <w:r>
        <w:t xml:space="preserve">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 Similar to the ruler being an instrument to measure height, the social sciences - e.g. Psychology, Survey Science and Cognitive Science - research and develop</w:t>
      </w:r>
      <w:r>
        <w:t xml:space="preserve"> </w:t>
      </w:r>
      <w:r>
        <w:rPr>
          <w:i/>
          <w:iCs/>
        </w:rPr>
        <w:t xml:space="preserve">instruments</w:t>
      </w:r>
      <w:r>
        <w:t xml:space="preserve">: standardized, systematic procedures designed to compare individuals</w:t>
      </w:r>
      <w:r>
        <w:t xml:space="preserve"> </w:t>
      </w:r>
      <w:r>
        <w:t xml:space="preserve">(Cronbach, 1960)</w:t>
      </w:r>
      <w:r>
        <w:t xml:space="preserve">. These are often surveys or standardized tasks, are designed to measure one or more constructs, and undergo assessment prior to being considered acceptably valid and useful</w:t>
      </w:r>
      <w:r>
        <w:t xml:space="preserve"> </w:t>
      </w:r>
      <w:r>
        <w:t xml:space="preserve">(Cronbach &amp; Meehl, 1955)</w:t>
      </w:r>
      <w:r>
        <w:t xml:space="preserve">.</w:t>
      </w:r>
    </w:p>
    <w:p>
      <w:pPr>
        <w:pStyle w:val="BodyText"/>
      </w:pPr>
      <w:r>
        <w:t xml:space="preserve">Survey science focuses specifically on surveys. It seeks to minimize the influence of sources of</w:t>
      </w:r>
      <w:r>
        <w:t xml:space="preserve"> </w:t>
      </w:r>
      <w:r>
        <w:t xml:space="preserve">‘noise’</w:t>
      </w:r>
      <w:r>
        <w:t xml:space="preserve"> </w:t>
      </w:r>
      <w:r>
        <w:t xml:space="preserve">via survey design:</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A number of other fields provide frameworks for assessing the quality of a measurement instrument, including psychometrics</w:t>
      </w:r>
      <w:r>
        <w:t xml:space="preserve"> </w:t>
      </w:r>
      <w:r>
        <w:t xml:space="preserve">(Jacobs &amp; Wallach, 2021)</w:t>
      </w:r>
      <w:r>
        <w:t xml:space="preserve">, and metrology - the science of measurement -</w:t>
      </w:r>
      <w:r>
        <w:t xml:space="preserve"> </w:t>
      </w:r>
      <w:r>
        <w:t xml:space="preserve">(Welty et al., 2019)</w:t>
      </w:r>
      <w:r>
        <w:t xml:space="preserve">. For instance, the concept of</w:t>
      </w:r>
      <w:r>
        <w:t xml:space="preserve"> </w:t>
      </w:r>
      <w:r>
        <w:rPr>
          <w:i/>
          <w:iCs/>
        </w:rPr>
        <w:t xml:space="preserve">reliability</w:t>
      </w:r>
      <w:r>
        <w:t xml:space="preserve"> </w:t>
      </w:r>
      <w:r>
        <w:t xml:space="preserve">asks whether similar inputs consistently produce similar outputs, either across annotators (inter-rater reliability) or over time (test-retest reliability). The related concept of</w:t>
      </w:r>
      <w:r>
        <w:t xml:space="preserve"> </w:t>
      </w:r>
      <w:r>
        <w:rPr>
          <w:i/>
          <w:iCs/>
        </w:rPr>
        <w:t xml:space="preserve">precision</w:t>
      </w:r>
      <w:r>
        <w:t xml:space="preserve"> </w:t>
      </w:r>
      <w:r>
        <w:t xml:space="preserve">in metrology, separates the similarity of measurements from an instrument into</w:t>
      </w:r>
      <w:r>
        <w:t xml:space="preserve"> </w:t>
      </w:r>
      <w:r>
        <w:rPr>
          <w:i/>
          <w:iCs/>
        </w:rPr>
        <w:t xml:space="preserve">repeatability</w:t>
      </w:r>
      <w:r>
        <w:t xml:space="preserve">, the similarity of measurements given that the operator, equipment, calibration, environment, and time between measurements are held constant, and</w:t>
      </w:r>
      <w:r>
        <w:t xml:space="preserve"> </w:t>
      </w:r>
      <w:r>
        <w:rPr>
          <w:i/>
          <w:iCs/>
        </w:rPr>
        <w:t xml:space="preserve">reproducibility</w:t>
      </w:r>
      <w:r>
        <w:t xml:space="preserve">, the similarity of measurements given that the aforementioned are not held constant</w:t>
      </w:r>
      <w:r>
        <w:t xml:space="preserve"> </w:t>
      </w:r>
      <w:r>
        <w:t xml:space="preserve">(Welty et al., 2019)</w:t>
      </w:r>
      <w:r>
        <w:t xml:space="preserve">.</w:t>
      </w:r>
    </w:p>
    <w:p>
      <w:pPr>
        <w:pStyle w:val="BodyText"/>
      </w:pPr>
      <w:r>
        <w:t xml:space="preserve">Beyond consistency,</w:t>
      </w:r>
      <w:r>
        <w:t xml:space="preserve"> </w:t>
      </w:r>
      <w:r>
        <w:rPr>
          <w:i/>
          <w:iCs/>
        </w:rPr>
        <w:t xml:space="preserve">validity</w:t>
      </w:r>
      <w:r>
        <w:t xml:space="preserve"> </w:t>
      </w:r>
      <w:r>
        <w:t xml:space="preserve">addresses whether the instrument is actually measuring what it claims to measure</w:t>
      </w:r>
      <w:r>
        <w:t xml:space="preserve"> </w:t>
      </w:r>
      <w:r>
        <w:t xml:space="preserve">(Cronbach &amp; Meehl, 1955; Jacobs &amp; Wallach, 2021)</w:t>
      </w:r>
      <w:r>
        <w:t xml:space="preserve">. This includes checks for face validity (does it seem plausible?), content validity (does it cover the full scope of the concept?), and structural or substantive validity (do the internal patterns make sense given extant theory?). Other forms such as convergent and discriminant validity test whether the measure behaves as expected relative to related or unrelated constructs, while predictive, hypothesis, and consequential validity consider what the measurement enables: does it support useful predictions, align with theoretical expectations, or have appropriate consequences in applied contexts? The ultimate conclusion is thus an estimate of construct validity: does the instrument measure the construct it intends to?</w:t>
      </w:r>
      <w:r>
        <w:t xml:space="preserve"> </w:t>
      </w:r>
      <w:r>
        <w:t xml:space="preserve">(Cronbach &amp; Meehl, 1955)</w:t>
      </w:r>
    </w:p>
    <w:p>
      <w:pPr>
        <w:pStyle w:val="BodyText"/>
      </w:pPr>
      <w:r>
        <w:t xml:space="preserve">Although there is no one-size-fits-all solution to estimating the quality of an instrument, these various tools provide insights into whether the measurements appear to have qualities fitting of good measurements. This case study in this thesis builds on extant work by starting with a validated questionnaire. It then makes use of estimates of inter-rater reliability, precision, structural validity, to assess the quality of measurements.</w:t>
      </w:r>
    </w:p>
    <w:bookmarkEnd w:id="35"/>
    <w:bookmarkStart w:id="36" w:name="inadequate-reporting"/>
    <w:p>
      <w:pPr>
        <w:pStyle w:val="Heading3"/>
      </w:pPr>
      <w:r>
        <w:t xml:space="preserve">Inadequate reporting</w:t>
      </w:r>
    </w:p>
    <w:p>
      <w:pPr>
        <w:pStyle w:val="FirstParagraph"/>
      </w:pPr>
      <w:r>
        <w:t xml:space="preserve">Despite the central role that human-labeled data play in machine learning, studies often provide insufficient documentation about how these data were created. In their systematic review,</w:t>
      </w:r>
      <w:r>
        <w:t xml:space="preserve"> </w:t>
      </w:r>
      <w:r>
        <w:t xml:space="preserve">Geiger et al. (2021)</w:t>
      </w:r>
      <w:r>
        <w:t xml:space="preserve"> </w:t>
      </w:r>
      <w:r>
        <w:t xml:space="preserve">and</w:t>
      </w:r>
      <w:r>
        <w:t xml:space="preserve"> </w:t>
      </w:r>
      <w:r>
        <w:t xml:space="preserve">Geiger et al. (2020)</w:t>
      </w:r>
      <w:r>
        <w:t xml:space="preserve"> </w:t>
      </w:r>
      <w:r>
        <w:t xml:space="preserve">found that many ML papers fail to adequately describe the processes used to create</w:t>
      </w:r>
      <w:r>
        <w:t xml:space="preserve"> </w:t>
      </w:r>
      <w:r>
        <w:t xml:space="preserve">‘ground truth’</w:t>
      </w:r>
      <w:r>
        <w:t xml:space="preserve"> </w:t>
      </w:r>
      <w:r>
        <w:t xml:space="preserve">labels, leaving unclear what exactly is being measured or how. As a result, the reference data often function as opaque black boxes, preventing meaningful scrutiny of what a model has learned. This is particularly concerning as they show that such datasets are reused across multiple studies, amplifying the impact of unreported or poorly understood annotation processes. Building on this,</w:t>
      </w:r>
      <w:r>
        <w:t xml:space="preserve"> </w:t>
      </w:r>
      <w:r>
        <w:t xml:space="preserve">Hullman et al. (2022)</w:t>
      </w:r>
      <w:r>
        <w:t xml:space="preserve"> </w:t>
      </w:r>
      <w:r>
        <w:t xml:space="preserve">argues that when reference data are under-specified, it becomes impossible to determine what data-generating process a trained model actually represents. Without transparency about how labels were created, we cannot evaluate the model’s fitness for deployment, its fairness, or its generalizability.</w:t>
      </w:r>
    </w:p>
    <w:p>
      <w:pPr>
        <w:pStyle w:val="BodyText"/>
      </w:pPr>
      <w:r>
        <w:t xml:space="preserve">Geiger et al. (2021)</w:t>
      </w:r>
      <w:r>
        <w:t xml:space="preserve"> </w:t>
      </w:r>
      <w:r>
        <w:t xml:space="preserve">provide concrete recommendations for improving transparency and accountability when reporting annotation procedures. They argue that researchers should report who the annotators are (including demographics or expertise where relevant), how they were recruited, and what task instructions were given. Additionally, they recommend documenting the labeling environment, such as tools or interfaces used, and whether annotators worked independently or collaboratively. Reporting should also include measures of inter-annotator agreement, details on how disagreement was handled (e.g., aggregation method, arbitration), and any quality control mechanisms applied. These reporting practices not only support reproducibility and critical evaluation but also help surface the social and epistemic assumptions embedded in the annotation process — assumptions which directly shape the model’s understanding of the world.</w:t>
      </w:r>
      <w:r>
        <w:t xml:space="preserve"> </w:t>
      </w:r>
      <w:r>
        <w:t xml:space="preserve">Cabitza et al. (2023)</w:t>
      </w:r>
      <w:r>
        <w:t xml:space="preserve"> </w:t>
      </w:r>
      <w:r>
        <w:t xml:space="preserve">further emphasize that adequate reporting should include details such as the number and expertise of raters, their incentives, instructions provided, time spent per annotation, inter-rater agreement metrics, the method used to aggregate annotations, and any confidence measures. These elements are necessary not only for reproducibility but also for evaluating the quality and appropriateness of the annotation process itself. Without them, assessments of model performance risk being built on shaky foundations, misrepresenting both the model and the phenomenon it is intended to capture.</w:t>
      </w:r>
    </w:p>
    <w:bookmarkEnd w:id="36"/>
    <w:bookmarkEnd w:id="37"/>
    <w:bookmarkEnd w:id="38"/>
    <w:bookmarkStart w:id="78" w:name="present-work-1"/>
    <w:p>
      <w:pPr>
        <w:pStyle w:val="Heading1"/>
      </w:pPr>
      <w:r>
        <w:t xml:space="preserve">Present Work</w:t>
      </w:r>
    </w:p>
    <w:p>
      <w:pPr>
        <w:pStyle w:val="FirstParagraph"/>
      </w:pPr>
      <w:r>
        <w:t xml:space="preserve">This thesis proposes a framework for designing reference data that synthesizes principles from psychometrics, survey science, metrology, and perspectivist approaches. It responds to the shortcomings identified in prior work by emphasizing deliberate design prior to data collection. Rather than assuming fixed annotation targets or relying on post hoc aggregations strategies, this approach frames annotation as a measurement problem and applies tools from the social sciences to guide decisions about sampling, instrument development, and interpretation.</w:t>
      </w:r>
    </w:p>
    <w:p>
      <w:pPr>
        <w:pStyle w:val="BodyText"/>
      </w:pPr>
      <w:r>
        <w:t xml:space="preserve">Chapters 2 and 3 are published manuscripts resulting from a project directed by this thesis, whereby students were assigned to assess the quality of datasets in two fields: Recommender systems</w:t>
      </w:r>
      <w:r>
        <w:t xml:space="preserve"> </w:t>
      </w:r>
      <w:r>
        <w:t xml:space="preserve">(Sav et al., 2023)</w:t>
      </w:r>
      <w:r>
        <w:t xml:space="preserve">, and Signal Processing</w:t>
      </w:r>
      <w:r>
        <w:t xml:space="preserve"> </w:t>
      </w:r>
      <w:r>
        <w:t xml:space="preserve">(C. C. S. Liem et al., 2024)</w:t>
      </w:r>
      <w:r>
        <w:t xml:space="preserve">. Largely inspired by</w:t>
      </w:r>
      <w:r>
        <w:t xml:space="preserve"> </w:t>
      </w:r>
      <w:r>
        <w:t xml:space="preserve">(</w:t>
      </w:r>
      <w:r>
        <w:rPr>
          <w:b/>
          <w:bCs/>
        </w:rPr>
        <w:t xml:space="preserve">gieger2020garbage?</w:t>
      </w:r>
      <w:r>
        <w:t xml:space="preserve">)</w:t>
      </w:r>
      <w:r>
        <w:t xml:space="preserve">, and</w:t>
      </w:r>
      <w:r>
        <w:t xml:space="preserve"> </w:t>
      </w:r>
      <w:r>
        <w:t xml:space="preserve">(Geiger et al., 2021)</w:t>
      </w:r>
      <w:r>
        <w:t xml:space="preserve">, rather than reporting on whether or not machine learning papers report characteristics of the data that they use for training and evaluation, our project aimed to recover all initial data-set reports as the unit of analysis. These papers show important shortcomings in the quality of the datasets, and issues arising from poor reporting practices.</w:t>
      </w:r>
    </w:p>
    <w:p>
      <w:pPr>
        <w:pStyle w:val="BodyText"/>
      </w:pPr>
      <w:r>
        <w:t xml:space="preserve">The primary case study of this thesis spans the published manuscripts in chapters 4-6, and the manuscript under review in chapter 7. It works towards path (b) in</w:t>
      </w:r>
      <w:r>
        <w:t xml:space="preserve"> </w:t>
      </w:r>
      <w:r>
        <w:t xml:space="preserve">(C. C. Liem et al., 2018)</w:t>
      </w:r>
      <w:r>
        <w:t xml:space="preserve">, shown in:</w:t>
      </w:r>
      <w:r>
        <w:t xml:space="preserve"> </w:t>
      </w:r>
      <w:r>
        <w:drawing>
          <wp:inline>
            <wp:extent cx="5334000" cy="4508040"/>
            <wp:effectExtent b="0" l="0" r="0" t="0"/>
            <wp:docPr descr="" title="" id="40" name="Picture"/>
            <a:graphic>
              <a:graphicData uri="http://schemas.openxmlformats.org/drawingml/2006/picture">
                <pic:pic>
                  <pic:nvPicPr>
                    <pic:cNvPr descr="images/Liem_2018_figure_2.png" id="41" name="Picture"/>
                    <pic:cNvPicPr>
                      <a:picLocks noChangeArrowheads="1" noChangeAspect="1"/>
                    </pic:cNvPicPr>
                  </pic:nvPicPr>
                  <pic:blipFill>
                    <a:blip r:embed="rId39"/>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 by demonstrating the potential for grounding a 10-dimensional latent construct, in two forms of text.</w:t>
      </w:r>
    </w:p>
    <w:p>
      <w:pPr>
        <w:pStyle w:val="BodyText"/>
      </w:pPr>
      <w:r>
        <w:t xml:space="preserve">To mitigate representational bias, the framework uses stratified sampling to select both the media being annotated and the annotators themselves, ensuring that relevant subgroups within a target population are included. To address measurement bias, it treats the target construct as latent and uses a previously validated instrument to guide the annotation task. It then estimates the reliability and structural validity of the measurements, when the instrument is adapted for use in gathering annotations. The ambiguity of the selected media — in this case, song lyrics and political speeches — is treated as a design variable rather than an obstacle, allowing the study to explore how human interpretation varies in response to content characteristics as well as annotator characteristics. Further, the number of ratings required per item is estimated a priori, providing a clear rationale for the scope and cost of the data collection.</w:t>
      </w:r>
    </w:p>
    <w:p>
      <w:pPr>
        <w:pStyle w:val="BodyText"/>
      </w:pPr>
      <w:r>
        <w:t xml:space="preserve">Finally, this framework operationalizes perspectivist ground-truthing by acknowledging and preserving variation in annotator responses. It collects annotator characteristics, reports the annotation process in detail, and publishes disaggregated annotations to support further analysis. These choices are not merely methodological preferences but are essential to generating ground truth data that reflect the complexity of real-world phenomena. In doing so, the thesis offers both a critique of current practices and a working example of a more rigorous, transparent, and epistemologically grounded approach to reference data design in AI.</w:t>
      </w:r>
    </w:p>
    <w:p>
      <w:pPr>
        <w:pStyle w:val="BodyText"/>
      </w:pPr>
      <w:r>
        <w:t xml:space="preserve">Chapter 8 is a manuscript that highlights and acknowledges limitations in the manner in which machine learning models are evaluated, and their outputs interpreted</w:t>
      </w:r>
      <w:r>
        <w:t xml:space="preserve"> </w:t>
      </w:r>
      <w:r>
        <w:t xml:space="preserve">(Altmeyer et al., 2024)</w:t>
      </w:r>
      <w:r>
        <w:t xml:space="preserve">. My contribution is specifically sections regarding bias and anthropomorphization.</w:t>
      </w:r>
    </w:p>
    <w:p>
      <w:pPr>
        <w:pStyle w:val="BodyText"/>
      </w:pPr>
      <w:r>
        <w:t xml:space="preserve">Chapter 9 is a manuscript that highlights and acknowledges limitations in the manner in which science broadly treats its outputs</w:t>
      </w:r>
      <w:r>
        <w:t xml:space="preserve"> </w:t>
      </w:r>
      <w:r>
        <w:t xml:space="preserve">(C. C. S. Liem &amp; Demetriou, 2023)</w:t>
      </w:r>
      <w:r>
        <w:t xml:space="preserve">. Finally I conclude in chapter 10.</w:t>
      </w:r>
    </w:p>
    <w:bookmarkStart w:id="77" w:name="references"/>
    <w:p>
      <w:pPr>
        <w:pStyle w:val="Heading2"/>
      </w:pPr>
      <w:r>
        <w:t xml:space="preserve">References</w:t>
      </w:r>
    </w:p>
    <w:bookmarkStart w:id="76" w:name="refs"/>
    <w:bookmarkStart w:id="42"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2"/>
    <w:bookmarkStart w:id="43"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3"/>
    <w:bookmarkStart w:id="44"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4"/>
    <w:bookmarkStart w:id="45"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5"/>
    <w:bookmarkStart w:id="46"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6"/>
    <w:bookmarkStart w:id="47"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7"/>
    <w:bookmarkStart w:id="48"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8"/>
    <w:bookmarkStart w:id="49"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9"/>
    <w:bookmarkStart w:id="50" w:name="ref-cronbach1960essentials"/>
    <w:p>
      <w:pPr>
        <w:pStyle w:val="Bibliography"/>
      </w:pPr>
      <w:r>
        <w:t xml:space="preserve">Cronbach, L. J. (1960).</w:t>
      </w:r>
      <w:r>
        <w:t xml:space="preserve"> </w:t>
      </w:r>
      <w:r>
        <w:rPr>
          <w:i/>
          <w:iCs/>
        </w:rPr>
        <w:t xml:space="preserve">Essentials of psychological testing, 2nd edition</w:t>
      </w:r>
      <w:r>
        <w:t xml:space="preserve">. Harper.</w:t>
      </w:r>
    </w:p>
    <w:bookmarkEnd w:id="50"/>
    <w:bookmarkStart w:id="51" w:name="ref-cronbach1955construct"/>
    <w:p>
      <w:pPr>
        <w:pStyle w:val="Bibliography"/>
      </w:pPr>
      <w:r>
        <w:t xml:space="preserve">Cronbach, L. J., &amp; Meehl, P. E. (1955). Construct validity in psychological tests.</w:t>
      </w:r>
      <w:r>
        <w:t xml:space="preserve"> </w:t>
      </w:r>
      <w:r>
        <w:rPr>
          <w:i/>
          <w:iCs/>
        </w:rPr>
        <w:t xml:space="preserve">Psychological Bulletin</w:t>
      </w:r>
      <w:r>
        <w:t xml:space="preserve">,</w:t>
      </w:r>
      <w:r>
        <w:t xml:space="preserve"> </w:t>
      </w:r>
      <w:r>
        <w:rPr>
          <w:i/>
          <w:iCs/>
        </w:rPr>
        <w:t xml:space="preserve">52</w:t>
      </w:r>
      <w:r>
        <w:t xml:space="preserve">(4), 281.</w:t>
      </w:r>
    </w:p>
    <w:bookmarkEnd w:id="51"/>
    <w:bookmarkStart w:id="52"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52"/>
    <w:bookmarkStart w:id="53" w:name="ref-doedens2022cross"/>
    <w:p>
      <w:pPr>
        <w:pStyle w:val="Bibliography"/>
      </w:pPr>
      <w:r>
        <w:t xml:space="preserve">Doedens, P., Ter Riet, G., Boyette, L.-L., Latour, C., Haan, L. de, &amp; Twisk, J. (2022). Cross-classified multilevel models improved standard error estimates of covariates in clinical outcomes–a simulation study.</w:t>
      </w:r>
      <w:r>
        <w:t xml:space="preserve"> </w:t>
      </w:r>
      <w:r>
        <w:rPr>
          <w:i/>
          <w:iCs/>
        </w:rPr>
        <w:t xml:space="preserve">Journal of Clinical Epidemiology</w:t>
      </w:r>
      <w:r>
        <w:t xml:space="preserve">,</w:t>
      </w:r>
      <w:r>
        <w:t xml:space="preserve"> </w:t>
      </w:r>
      <w:r>
        <w:rPr>
          <w:i/>
          <w:iCs/>
        </w:rPr>
        <w:t xml:space="preserve">145</w:t>
      </w:r>
      <w:r>
        <w:t xml:space="preserve">, 39–46.</w:t>
      </w:r>
    </w:p>
    <w:bookmarkEnd w:id="53"/>
    <w:bookmarkStart w:id="54"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4"/>
    <w:bookmarkStart w:id="55"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5"/>
    <w:bookmarkStart w:id="56"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6"/>
    <w:bookmarkStart w:id="57"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7"/>
    <w:bookmarkStart w:id="58"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8"/>
    <w:bookmarkStart w:id="59"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9"/>
    <w:bookmarkStart w:id="61" w:name="ref-liem2023treat"/>
    <w:p>
      <w:pPr>
        <w:pStyle w:val="Bibliography"/>
      </w:pPr>
      <w:r>
        <w:t xml:space="preserve">Liem, C. C. S., &amp; Demetriou, A. M. (2023). Treat societally impactful scientific insights as open-source software artifacts.</w:t>
      </w:r>
      <w:r>
        <w:t xml:space="preserve"> </w:t>
      </w:r>
      <w:r>
        <w:rPr>
          <w:i/>
          <w:iCs/>
        </w:rPr>
        <w:t xml:space="preserve">2023 IEEE/ACM 45th International Conference on Software Engineering: Software Engineering in Society (ICSE-SEIS)</w:t>
      </w:r>
      <w:r>
        <w:t xml:space="preserve">, 150–156.</w:t>
      </w:r>
      <w:r>
        <w:t xml:space="preserve"> </w:t>
      </w:r>
      <w:hyperlink r:id="rId60">
        <w:r>
          <w:rPr>
            <w:rStyle w:val="Hyperlink"/>
          </w:rPr>
          <w:t xml:space="preserve">https://doi.org/10.1109/ICSE-SEIS58686.2023.00020</w:t>
        </w:r>
      </w:hyperlink>
    </w:p>
    <w:bookmarkEnd w:id="61"/>
    <w:bookmarkStart w:id="63" w:name="ref-liem2024quest"/>
    <w:p>
      <w:pPr>
        <w:pStyle w:val="Bibliography"/>
      </w:pPr>
      <w:r>
        <w:t xml:space="preserve">Liem, C. C. S., Taşcılar, D., &amp; Demetriou, A. M. (2024). A quest through interconnected datasets: Lessons from highly-cited ICASSP papers.</w:t>
      </w:r>
      <w:r>
        <w:t xml:space="preserve"> </w:t>
      </w:r>
      <w:r>
        <w:rPr>
          <w:i/>
          <w:iCs/>
        </w:rPr>
        <w:t xml:space="preserve">2024 International Conference on Content-Based Multimedia Indexing (CBMI)</w:t>
      </w:r>
      <w:r>
        <w:t xml:space="preserve">, 1–8.</w:t>
      </w:r>
      <w:r>
        <w:t xml:space="preserve"> </w:t>
      </w:r>
      <w:hyperlink r:id="rId62">
        <w:r>
          <w:rPr>
            <w:rStyle w:val="Hyperlink"/>
          </w:rPr>
          <w:t xml:space="preserve">https://doi.org/10.1109/CBMI62980.2024.10859219</w:t>
        </w:r>
      </w:hyperlink>
    </w:p>
    <w:bookmarkEnd w:id="63"/>
    <w:bookmarkStart w:id="64"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64"/>
    <w:bookmarkStart w:id="65"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65"/>
    <w:bookmarkStart w:id="66" w:name="ref-mavrogiorgos2024bias"/>
    <w:p>
      <w:pPr>
        <w:pStyle w:val="Bibliography"/>
      </w:pPr>
      <w:r>
        <w:t xml:space="preserve">Mavrogiorgos, K., Kiourtis, A., Mavrogiorgou, A., Menychtas, A., &amp; Kyriazis, D. (2024). Bias in machine learning: A literature review.</w:t>
      </w:r>
      <w:r>
        <w:t xml:space="preserve"> </w:t>
      </w:r>
      <w:r>
        <w:rPr>
          <w:i/>
          <w:iCs/>
        </w:rPr>
        <w:t xml:space="preserve">Applied Sciences</w:t>
      </w:r>
      <w:r>
        <w:t xml:space="preserve">,</w:t>
      </w:r>
      <w:r>
        <w:t xml:space="preserve"> </w:t>
      </w:r>
      <w:r>
        <w:rPr>
          <w:i/>
          <w:iCs/>
        </w:rPr>
        <w:t xml:space="preserve">14</w:t>
      </w:r>
      <w:r>
        <w:t xml:space="preserve">(19), 8860.</w:t>
      </w:r>
    </w:p>
    <w:bookmarkEnd w:id="66"/>
    <w:bookmarkStart w:id="67"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67"/>
    <w:bookmarkStart w:id="68"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68"/>
    <w:bookmarkStart w:id="70" w:name="ref-palmer2006data"/>
    <w:p>
      <w:pPr>
        <w:pStyle w:val="Bibliography"/>
      </w:pPr>
      <w:r>
        <w:t xml:space="preserve">Palmer, M. (2006).</w:t>
      </w:r>
      <w:r>
        <w:t xml:space="preserve"> </w:t>
      </w:r>
      <w:r>
        <w:rPr>
          <w:i/>
          <w:iCs/>
        </w:rPr>
        <w:t xml:space="preserve">Data is the new oil</w:t>
      </w:r>
      <w:r>
        <w:t xml:space="preserve">.</w:t>
      </w:r>
      <w:r>
        <w:t xml:space="preserve"> </w:t>
      </w:r>
      <w:hyperlink r:id="rId69">
        <w:r>
          <w:rPr>
            <w:rStyle w:val="Hyperlink"/>
          </w:rPr>
          <w:t xml:space="preserve">https://web.archive.org/web/20170202072553/http://ana.blogs.com/maestros/2006/11/data_is_the_new.html</w:t>
        </w:r>
      </w:hyperlink>
    </w:p>
    <w:bookmarkEnd w:id="70"/>
    <w:bookmarkStart w:id="71"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71"/>
    <w:bookmarkStart w:id="72"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72"/>
    <w:bookmarkStart w:id="73"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73"/>
    <w:bookmarkStart w:id="74"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74"/>
    <w:bookmarkStart w:id="75"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https://pdai.info/</w:t>
      </w:r>
    </w:p>
  </w:footnote>
  <w:footnote w:id="21">
    <w:p>
      <w:pPr>
        <w:pStyle w:val="FootnoteText"/>
      </w:pPr>
      <w:r>
        <w:rPr>
          <w:rStyle w:val="FootnoteReference"/>
        </w:rPr>
        <w:footnoteRef/>
      </w:r>
      <w:r>
        <w:t xml:space="preserve"> </w:t>
      </w:r>
      <w:r>
        <w:t xml:space="preserve">https://en.wikipedia.org/wiki/Scientific_modelling</w:t>
      </w:r>
    </w:p>
  </w:footnote>
  <w:footnote w:id="22">
    <w:p>
      <w:pPr>
        <w:pStyle w:val="FootnoteText"/>
      </w:pPr>
      <w:r>
        <w:rPr>
          <w:rStyle w:val="FootnoteReference"/>
        </w:rPr>
        <w:footnoteRef/>
      </w:r>
      <w:r>
        <w:t xml:space="preserve"> </w:t>
      </w:r>
      <w:r>
        <w:t xml:space="preserve">https://en.wikipedia.org/wiki/Artificial_intelligence</w:t>
      </w:r>
    </w:p>
  </w:footnote>
  <w:footnote w:id="23">
    <w:p>
      <w:pPr>
        <w:pStyle w:val="FootnoteText"/>
      </w:pPr>
      <w:r>
        <w:rPr>
          <w:rStyle w:val="FootnoteReference"/>
        </w:rPr>
        <w:footnoteRef/>
      </w:r>
      <w:r>
        <w:t xml:space="preserve"> </w:t>
      </w:r>
      <w:r>
        <w:t xml:space="preserve">https://en.wikipedia.org/wiki/Statistical_parameter</w:t>
      </w:r>
    </w:p>
  </w:footnote>
  <w:footnote w:id="24">
    <w:p>
      <w:pPr>
        <w:pStyle w:val="FootnoteText"/>
      </w:pPr>
      <w:r>
        <w:rPr>
          <w:rStyle w:val="FootnoteReference"/>
        </w:rPr>
        <w:footnoteRef/>
      </w:r>
      <w:r>
        <w:t xml:space="preserve"> </w:t>
      </w:r>
      <w:r>
        <w:t xml:space="preserve">https://en.wikipedia.org/wiki/Algorithm</w:t>
      </w:r>
    </w:p>
  </w:footnote>
  <w:footnote w:id="27">
    <w:p>
      <w:pPr>
        <w:pStyle w:val="FootnoteText"/>
      </w:pPr>
      <w:r>
        <w:rPr>
          <w:rStyle w:val="FootnoteReference"/>
        </w:rPr>
        <w:footnoteRef/>
      </w:r>
      <w:r>
        <w:t xml:space="preserve"> </w:t>
      </w:r>
      <w:r>
        <w:t xml:space="preserve">https://www.youtube.com/watch?v=06-AZXmwHjo</w:t>
      </w:r>
    </w:p>
  </w:footnote>
  <w:footnote w:id="30">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62" Target="https://doi.org/10.1109/CBMI62980.2024.10859219" TargetMode="External" /><Relationship Type="http://schemas.openxmlformats.org/officeDocument/2006/relationships/hyperlink" Id="rId60" Target="https://doi.org/10.1109/ICSE-SEIS58686.2023.00020" TargetMode="External" /><Relationship Type="http://schemas.openxmlformats.org/officeDocument/2006/relationships/hyperlink" Id="rId69" Target="https://web.archive.org/web/20170202072553/http://ana.blogs.com/maestros/2006/11/data_is_the_new.html"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09/CBMI62980.2024.10859219" TargetMode="External" /><Relationship Type="http://schemas.openxmlformats.org/officeDocument/2006/relationships/hyperlink" Id="rId60" Target="https://doi.org/10.1109/ICSE-SEIS58686.2023.00020" TargetMode="External" /><Relationship Type="http://schemas.openxmlformats.org/officeDocument/2006/relationships/hyperlink" Id="rId69" Target="https://web.archive.org/web/20170202072553/http://ana.blogs.com/maestros/2006/11/data_is_the_n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Ground-Truthing:</dc:title>
  <dc:creator/>
  <cp:keywords/>
  <dcterms:created xsi:type="dcterms:W3CDTF">2025-04-23T14:15:59Z</dcterms:created>
  <dcterms:modified xsi:type="dcterms:W3CDTF">2025-04-23T14:15:59Z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An a-priori approach to data design for AI</vt:lpwstr>
  </property>
  <property fmtid="{D5CDD505-2E9C-101B-9397-08002B2CF9AE}" pid="11" name="toc-title">
    <vt:lpwstr>Table of contents</vt:lpwstr>
  </property>
</Properties>
</file>