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45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Advancing Perspectivist Ground Truthing with Social Science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3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AI systems run on data. Data are used to</w:t>
      </w:r>
      <w:r>
        <w:t xml:space="preserve"> </w:t>
      </w:r>
      <w:r>
        <w:t xml:space="preserve">‘train’</w:t>
      </w:r>
      <w:r>
        <w:t xml:space="preserve"> </w:t>
      </w:r>
      <w:r>
        <w:t xml:space="preserve">models - imperfect,</w:t>
      </w:r>
      <w:r>
        <w:t xml:space="preserve"> </w:t>
      </w:r>
      <w:r>
        <w:t xml:space="preserve">simplified mathematical or computational representations of a phenomenon</w:t>
      </w:r>
      <w:r>
        <w:t xml:space="preserve"> </w:t>
      </w:r>
      <w:r>
        <w:t xml:space="preserve">or process in the real world</w:t>
      </w:r>
      <w:r>
        <w:t xml:space="preserve"> </w:t>
      </w:r>
      <w:r>
        <w:rPr>
          <w:rStyle w:val="FootnoteReference"/>
        </w:rPr>
        <w:footnoteReference w:id="20"/>
      </w:r>
      <w:r>
        <w:t xml:space="preserve">. Where an AI system is a complete</w:t>
      </w:r>
      <w:r>
        <w:t xml:space="preserve"> </w:t>
      </w:r>
      <w:r>
        <w:t xml:space="preserve">application with integrated components e.g. an interface, programmatic</w:t>
      </w:r>
      <w:r>
        <w:t xml:space="preserve"> </w:t>
      </w:r>
      <w:r>
        <w:t xml:space="preserve">logic, and one or more models aimed at performing tasks typically</w:t>
      </w:r>
      <w:r>
        <w:t xml:space="preserve"> </w:t>
      </w:r>
      <w:r>
        <w:t xml:space="preserve">requiring human intelligence, the models themselves are embedded</w:t>
      </w:r>
      <w:r>
        <w:t xml:space="preserve"> </w:t>
      </w:r>
      <w:r>
        <w:t xml:space="preserve">components that take inputs (e.g. media like text, images, audio, or</w:t>
      </w:r>
      <w:r>
        <w:t xml:space="preserve"> </w:t>
      </w:r>
      <w:r>
        <w:t xml:space="preserve">data) and produce outputs (e.g. classifications, predictions or some</w:t>
      </w:r>
      <w:r>
        <w:t xml:space="preserve"> </w:t>
      </w:r>
      <w:r>
        <w:t xml:space="preserve">form of decision). The behavior of models, i.e. how they respond to a</w:t>
      </w:r>
      <w:r>
        <w:t xml:space="preserve"> </w:t>
      </w:r>
      <w:r>
        <w:t xml:space="preserve">given input, is determined by their parameters - internal settings or</w:t>
      </w:r>
      <w:r>
        <w:t xml:space="preserve"> </w:t>
      </w:r>
      <w:r>
        <w:t xml:space="preserve">values. Algorithms - step by step instructions, executed in order - are</w:t>
      </w:r>
      <w:r>
        <w:t xml:space="preserve"> </w:t>
      </w:r>
      <w:r>
        <w:t xml:space="preserve">used to estimate model parameters from the</w:t>
      </w:r>
      <w:r>
        <w:t xml:space="preserve"> </w:t>
      </w:r>
      <w:r>
        <w:t xml:space="preserve">‘training’</w:t>
      </w:r>
      <w:r>
        <w:t xml:space="preserve"> </w:t>
      </w:r>
      <w:r>
        <w:t xml:space="preserve">data. As models</w:t>
      </w:r>
      <w:r>
        <w:t xml:space="preserve"> </w:t>
      </w:r>
      <w:r>
        <w:t xml:space="preserve">used in AI systems are designed to perform tasks, their performance is</w:t>
      </w:r>
      <w:r>
        <w:t xml:space="preserve"> </w:t>
      </w:r>
      <w:r>
        <w:t xml:space="preserve">evaluated empirically by comparing their outputs to a reference. This</w:t>
      </w:r>
      <w:r>
        <w:t xml:space="preserve"> </w:t>
      </w:r>
      <w:r>
        <w:t xml:space="preserve">reference is often a second form of data, referred to as the</w:t>
      </w:r>
      <w:r>
        <w:t xml:space="preserve"> </w:t>
      </w:r>
      <w:r>
        <w:t xml:space="preserve">‘ground</w:t>
      </w:r>
      <w:r>
        <w:t xml:space="preserve"> </w:t>
      </w:r>
      <w:r>
        <w:t xml:space="preserve">truth’</w:t>
      </w:r>
      <w:r>
        <w:t xml:space="preserve">,</w:t>
      </w:r>
      <w:r>
        <w:t xml:space="preserve"> </w:t>
      </w:r>
      <w:r>
        <w:t xml:space="preserve">‘gold standard’</w:t>
      </w:r>
      <w:r>
        <w:t xml:space="preserve">, or simply</w:t>
      </w:r>
      <w:r>
        <w:t xml:space="preserve"> </w:t>
      </w:r>
      <w:r>
        <w:t xml:space="preserve">‘annotations’</w:t>
      </w:r>
      <w:r>
        <w:t xml:space="preserve">, which represents the</w:t>
      </w:r>
      <w:r>
        <w:t xml:space="preserve"> </w:t>
      </w:r>
      <w:r>
        <w:t xml:space="preserve">ideal output of the system.</w:t>
      </w:r>
    </w:p>
    <w:p>
      <w:pPr>
        <w:pStyle w:val="BodyText"/>
      </w:pPr>
      <w:r>
        <w:t xml:space="preserve">Whether used as part of the development of an AI system, or to evaluate</w:t>
      </w:r>
      <w:r>
        <w:t xml:space="preserve"> </w:t>
      </w:r>
      <w:r>
        <w:t xml:space="preserve">it, the quality of these two forms of data determines the quality of the</w:t>
      </w:r>
      <w:r>
        <w:t xml:space="preserve"> </w:t>
      </w:r>
      <w:r>
        <w:t xml:space="preserve">system. As parameters are estimated from the training data, such that</w:t>
      </w:r>
      <w:r>
        <w:t xml:space="preserve"> </w:t>
      </w:r>
      <w:r>
        <w:t xml:space="preserve">observable patterns recognized in the data affect internal model values</w:t>
      </w:r>
      <w:r>
        <w:t xml:space="preserve"> </w:t>
      </w:r>
      <w:r>
        <w:t xml:space="preserve">or settings, imperfections, inaccuracies, biases etc. in the data are</w:t>
      </w:r>
      <w:r>
        <w:t xml:space="preserve"> </w:t>
      </w:r>
      <w:r>
        <w:t xml:space="preserve">reflected in the parameters of the resulting model. As models are</w:t>
      </w:r>
      <w:r>
        <w:t xml:space="preserve"> </w:t>
      </w:r>
      <w:r>
        <w:t xml:space="preserve">evaluated by comparing their outputs to reference data, such that</w:t>
      </w:r>
      <w:r>
        <w:t xml:space="preserve"> </w:t>
      </w:r>
      <w:r>
        <w:t xml:space="preserve">‘better’</w:t>
      </w:r>
      <w:r>
        <w:t xml:space="preserve"> </w:t>
      </w:r>
      <w:r>
        <w:t xml:space="preserve">models are those whose outputs most closely resemble the</w:t>
      </w:r>
      <w:r>
        <w:t xml:space="preserve"> </w:t>
      </w:r>
      <w:r>
        <w:t xml:space="preserve">reference data, imperfections in the reference are reflected in the</w:t>
      </w:r>
      <w:r>
        <w:t xml:space="preserve"> </w:t>
      </w:r>
      <w:r>
        <w:t xml:space="preserve">models preferred. Thus, the quality of the data used for training and</w:t>
      </w:r>
      <w:r>
        <w:t xml:space="preserve"> </w:t>
      </w:r>
      <w:r>
        <w:t xml:space="preserve">reference represents the upper boundary of potential performance of AI</w:t>
      </w:r>
      <w:r>
        <w:t xml:space="preserve"> </w:t>
      </w:r>
      <w:r>
        <w:t xml:space="preserve">systems when deployed: the best possible performance directly</w:t>
      </w:r>
      <w:r>
        <w:t xml:space="preserve"> </w:t>
      </w:r>
      <w:r>
        <w:t xml:space="preserve">corresponds to the degree to which training and reference data represent</w:t>
      </w:r>
      <w:r>
        <w:t xml:space="preserve"> </w:t>
      </w:r>
      <w:r>
        <w:t xml:space="preserve">the phenomenon of interest to the system when deployed.</w:t>
      </w:r>
    </w:p>
    <w:p>
      <w:pPr>
        <w:pStyle w:val="BodyText"/>
      </w:pPr>
      <w:r>
        <w:t xml:space="preserve">Training data is often a form of media - text, audio, images, or video -</w:t>
      </w:r>
      <w:r>
        <w:t xml:space="preserve"> </w:t>
      </w:r>
      <w:r>
        <w:t xml:space="preserve">whereas reference data very often contains aggregated input from humans.</w:t>
      </w:r>
      <w:r>
        <w:t xml:space="preserve"> </w:t>
      </w:r>
      <w:r>
        <w:t xml:space="preserve">This implies that a phenomenon of interest is set as a target, and human</w:t>
      </w:r>
      <w:r>
        <w:t xml:space="preserve"> </w:t>
      </w:r>
      <w:r>
        <w:t xml:space="preserve">judges are given a task that produces data from their input. Common</w:t>
      </w:r>
      <w:r>
        <w:t xml:space="preserve"> </w:t>
      </w:r>
      <w:r>
        <w:t xml:space="preserve">scenarios include human judges annotating, labeling, or rating a)</w:t>
      </w:r>
      <w:r>
        <w:t xml:space="preserve"> </w:t>
      </w:r>
      <w:r>
        <w:t xml:space="preserve">individual pieces of content of the same form as the training data, or</w:t>
      </w:r>
      <w:r>
        <w:t xml:space="preserve"> </w:t>
      </w:r>
      <w:r>
        <w:t xml:space="preserve">b) generated system outputs. Multiple ratings per piece of content are</w:t>
      </w:r>
      <w:r>
        <w:t xml:space="preserve"> </w:t>
      </w:r>
      <w:r>
        <w:t xml:space="preserve">collected and usually aggregated, forming a singular</w:t>
      </w:r>
      <w:r>
        <w:t xml:space="preserve"> </w:t>
      </w:r>
      <w:r>
        <w:t xml:space="preserve">‘ground truth’</w:t>
      </w:r>
      <w:r>
        <w:t xml:space="preserve"> </w:t>
      </w:r>
      <w:r>
        <w:t xml:space="preserve">for</w:t>
      </w:r>
      <w:r>
        <w:t xml:space="preserve"> </w:t>
      </w:r>
      <w:r>
        <w:t xml:space="preserve">the aspect of the content being labelled or rated.</w:t>
      </w:r>
    </w:p>
    <w:p>
      <w:pPr>
        <w:pStyle w:val="BodyText"/>
      </w:pPr>
      <w:r>
        <w:t xml:space="preserve">Although far more emphasis is placed on whether models achieve state of</w:t>
      </w:r>
      <w:r>
        <w:t xml:space="preserve"> </w:t>
      </w:r>
      <w:r>
        <w:t xml:space="preserve">the art</w:t>
      </w:r>
      <w:r>
        <w:t xml:space="preserve"> </w:t>
      </w:r>
      <w:r>
        <w:t xml:space="preserve">‘performance’</w:t>
      </w:r>
      <w:r>
        <w:t xml:space="preserve"> </w:t>
      </w:r>
      <w:r>
        <w:t xml:space="preserve">or efficiency</w:t>
      </w:r>
      <w:r>
        <w:t xml:space="preserve"> </w:t>
      </w:r>
      <w:r>
        <w:t xml:space="preserve">(Birhane et al., 2022)</w:t>
      </w:r>
      <w:r>
        <w:t xml:space="preserve">, scholars over</w:t>
      </w:r>
      <w:r>
        <w:t xml:space="preserve"> </w:t>
      </w:r>
      <w:r>
        <w:t xml:space="preserve">the past decade have attempted to draw attention to a lack of</w:t>
      </w:r>
      <w:r>
        <w:t xml:space="preserve"> </w:t>
      </w:r>
      <w:r>
        <w:t xml:space="preserve">sophistication in how training and reference data are selected and</w:t>
      </w:r>
      <w:r>
        <w:t xml:space="preserve"> </w:t>
      </w:r>
      <w:r>
        <w:t xml:space="preserve">evaluated. It has further been argued that a focus on improving the</w:t>
      </w:r>
      <w:r>
        <w:t xml:space="preserve"> </w:t>
      </w:r>
      <w:r>
        <w:t xml:space="preserve">data, will result in bigger gains than a focus on improving the</w:t>
      </w:r>
      <w:r>
        <w:t xml:space="preserve"> </w:t>
      </w:r>
      <w:r>
        <w:t xml:space="preserve">model</w:t>
      </w:r>
      <w:r>
        <w:rPr>
          <w:rStyle w:val="FootnoteReference"/>
        </w:rPr>
        <w:footnoteReference w:id="21"/>
      </w:r>
      <w:r>
        <w:t xml:space="preserve">, and that data set size can not compensate for the</w:t>
      </w:r>
      <w:r>
        <w:t xml:space="preserve"> </w:t>
      </w:r>
      <w:r>
        <w:t xml:space="preserve">shortcomings in data set quality</w:t>
      </w:r>
      <w:r>
        <w:t xml:space="preserve"> </w:t>
      </w:r>
      <w:r>
        <w:t xml:space="preserve">(Hullman et al., 2022)</w:t>
      </w:r>
      <w:r>
        <w:t xml:space="preserve">. Issues include 1)</w:t>
      </w:r>
      <w:r>
        <w:t xml:space="preserve"> </w:t>
      </w:r>
      <w:r>
        <w:t xml:space="preserve">representational biases in the content sampled for inclusion in</w:t>
      </w:r>
      <w:r>
        <w:t xml:space="preserve"> </w:t>
      </w:r>
      <w:r>
        <w:t xml:space="preserve">training/evaluation datasets</w:t>
      </w:r>
      <w:r>
        <w:t xml:space="preserve"> </w:t>
      </w:r>
      <w:r>
        <w:t xml:space="preserve">(Hullman et al., 2022)</w:t>
      </w:r>
      <w:r>
        <w:t xml:space="preserve">, 2) measurement biases</w:t>
      </w:r>
      <w:r>
        <w:t xml:space="preserve"> </w:t>
      </w:r>
      <w:r>
        <w:t xml:space="preserve">in the annotations collected</w:t>
      </w:r>
      <w:r>
        <w:t xml:space="preserve"> </w:t>
      </w:r>
      <w:r>
        <w:t xml:space="preserve">(Beck et al., 2022; Hullman et al., 2022; Jacobs &amp; Wallach, 2021)</w:t>
      </w:r>
      <w:r>
        <w:t xml:space="preserve">, 3) a fallacious assumption of a single canonical</w:t>
      </w:r>
      <w:r>
        <w:t xml:space="preserve"> </w:t>
      </w:r>
      <w:r>
        <w:t xml:space="preserve">‘ground-truth’</w:t>
      </w:r>
      <w:r>
        <w:t xml:space="preserve"> </w:t>
      </w:r>
      <w:r>
        <w:t xml:space="preserve">(Aroyo &amp; Welty, 2015; Cabitza et al., 2023)</w:t>
      </w:r>
      <w:r>
        <w:t xml:space="preserve">, and 4) poor</w:t>
      </w:r>
      <w:r>
        <w:t xml:space="preserve"> </w:t>
      </w:r>
      <w:r>
        <w:t xml:space="preserve">reporting of necessary information regarding the annotation-collection</w:t>
      </w:r>
      <w:r>
        <w:t xml:space="preserve"> </w:t>
      </w:r>
      <w:r>
        <w:t xml:space="preserve">process</w:t>
      </w:r>
      <w:r>
        <w:t xml:space="preserve"> </w:t>
      </w:r>
      <w:r>
        <w:t xml:space="preserve">(Geiger et al., 2021; Hullman et al., 2022)</w:t>
      </w:r>
      <w:r>
        <w:t xml:space="preserve">.</w:t>
      </w:r>
    </w:p>
    <w:p>
      <w:pPr>
        <w:pStyle w:val="BodyText"/>
      </w:pPr>
      <w:r>
        <w:t xml:space="preserve">An additional consideration that receives little attention is the number</w:t>
      </w:r>
      <w:r>
        <w:t xml:space="preserve"> </w:t>
      </w:r>
      <w:r>
        <w:t xml:space="preserve">of annotations to gather, where fields that focus on gathering data from</w:t>
      </w:r>
      <w:r>
        <w:t xml:space="preserve"> </w:t>
      </w:r>
      <w:r>
        <w:t xml:space="preserve">humans also have a strong emphasis on</w:t>
      </w:r>
      <w:r>
        <w:t xml:space="preserve"> </w:t>
      </w:r>
      <w:r>
        <w:rPr>
          <w:i/>
          <w:iCs/>
        </w:rPr>
        <w:t xml:space="preserve">a-priori</w:t>
      </w:r>
      <w:r>
        <w:t xml:space="preserve"> </w:t>
      </w:r>
      <w:r>
        <w:t xml:space="preserve">calculations of target</w:t>
      </w:r>
      <w:r>
        <w:t xml:space="preserve"> </w:t>
      </w:r>
      <w:r>
        <w:t xml:space="preserve">sample sizes. These considerations are absent in computational fields</w:t>
      </w:r>
      <w:r>
        <w:t xml:space="preserve"> </w:t>
      </w:r>
      <w:r>
        <w:t xml:space="preserve">which appear to favor differing rules of thumb: e.g. in a well-cited</w:t>
      </w:r>
      <w:r>
        <w:t xml:space="preserve"> </w:t>
      </w:r>
      <w:r>
        <w:t xml:space="preserve">textbook,</w:t>
      </w:r>
      <w:r>
        <w:t xml:space="preserve"> </w:t>
      </w:r>
      <w:r>
        <w:t xml:space="preserve">Pustejovsky &amp; Stubbs (2013)</w:t>
      </w:r>
      <w:r>
        <w:t xml:space="preserve"> </w:t>
      </w:r>
      <w:r>
        <w:t xml:space="preserve">suggest to</w:t>
      </w:r>
      <w:r>
        <w:t xml:space="preserve"> </w:t>
      </w:r>
      <w:r>
        <w:t xml:space="preserve">“have your corpus</w:t>
      </w:r>
      <w:r>
        <w:t xml:space="preserve"> </w:t>
      </w:r>
      <w:r>
        <w:t xml:space="preserve">annotated by at least two people (more is preferable, but not always</w:t>
      </w:r>
      <w:r>
        <w:t xml:space="preserve"> </w:t>
      </w:r>
      <w:r>
        <w:t xml:space="preserve">practical)”</w:t>
      </w:r>
      <w:r>
        <w:t xml:space="preserve">, whereas</w:t>
      </w:r>
      <w:r>
        <w:t xml:space="preserve"> </w:t>
      </w:r>
      <w:r>
        <w:t xml:space="preserve">Artstein &amp; Poesio (2008)</w:t>
      </w:r>
      <w:r>
        <w:t xml:space="preserve"> </w:t>
      </w:r>
      <w:r>
        <w:t xml:space="preserve">suggest that</w:t>
      </w:r>
      <w:r>
        <w:t xml:space="preserve"> </w:t>
      </w:r>
      <w:r>
        <w:t xml:space="preserve">“measuring</w:t>
      </w:r>
      <w:r>
        <w:t xml:space="preserve"> </w:t>
      </w:r>
      <w:r>
        <w:t xml:space="preserve">reliability with only two coders is seldom enough, except for</w:t>
      </w:r>
      <w:r>
        <w:t xml:space="preserve"> </w:t>
      </w:r>
      <w:r>
        <w:t xml:space="preserve">small-scale studies”</w:t>
      </w:r>
      <w:r>
        <w:t xml:space="preserve">. On the one hand, corpora tend to be very large,</w:t>
      </w:r>
      <w:r>
        <w:t xml:space="preserve"> </w:t>
      </w:r>
      <w:r>
        <w:t xml:space="preserve">and resources are finite. However, rules of thumb lack clear</w:t>
      </w:r>
      <w:r>
        <w:t xml:space="preserve"> </w:t>
      </w:r>
      <w:r>
        <w:t xml:space="preserve">substantiation, in light of the both the phenomenon being grounded and</w:t>
      </w:r>
      <w:r>
        <w:t xml:space="preserve"> </w:t>
      </w:r>
      <w:r>
        <w:t xml:space="preserve">the nature of the media in which it is grounded. In other words, more</w:t>
      </w:r>
      <w:r>
        <w:t xml:space="preserve"> </w:t>
      </w:r>
      <w:r>
        <w:t xml:space="preserve">variance is expected in annotation targets to the degree they are</w:t>
      </w:r>
      <w:r>
        <w:t xml:space="preserve"> </w:t>
      </w:r>
      <w:r>
        <w:t xml:space="preserve">subjective e.g. whether or not a piece of text represents hate speech</w:t>
      </w:r>
      <w:r>
        <w:t xml:space="preserve"> </w:t>
      </w:r>
      <w:r>
        <w:t xml:space="preserve">(Beck et al., 2022)</w:t>
      </w:r>
      <w:r>
        <w:t xml:space="preserve">, and more variance is expected in content to the</w:t>
      </w:r>
      <w:r>
        <w:t xml:space="preserve"> </w:t>
      </w:r>
      <w:r>
        <w:t xml:space="preserve">degree to which it is ambiguous</w:t>
      </w:r>
      <w:r>
        <w:t xml:space="preserve"> </w:t>
      </w:r>
      <w:r>
        <w:t xml:space="preserve">(Sandri et al., 2023)</w:t>
      </w:r>
      <w:r>
        <w:t xml:space="preserve">.</w:t>
      </w:r>
    </w:p>
    <w:p>
      <w:pPr>
        <w:pStyle w:val="BodyText"/>
      </w:pPr>
      <w:r>
        <w:t xml:space="preserve">Scholars further note a gap between practices in Machine Learning</w:t>
      </w:r>
      <w:r>
        <w:t xml:space="preserve"> </w:t>
      </w:r>
      <w:r>
        <w:t xml:space="preserve">fields, and knowledge from the social sciences which could address these</w:t>
      </w:r>
      <w:r>
        <w:t xml:space="preserve"> </w:t>
      </w:r>
      <w:r>
        <w:t xml:space="preserve">issues, but has yet to be broadly applied. One reason for this gap may</w:t>
      </w:r>
      <w:r>
        <w:t xml:space="preserve"> </w:t>
      </w:r>
      <w:r>
        <w:t xml:space="preserve">be ML researchers prefer to work on building systems and evaluating</w:t>
      </w:r>
      <w:r>
        <w:t xml:space="preserve"> </w:t>
      </w:r>
      <w:r>
        <w:t xml:space="preserve">their performance rather than executing ground-truthing projects</w:t>
      </w:r>
      <w:r>
        <w:t xml:space="preserve"> </w:t>
      </w:r>
      <w:r>
        <w:t xml:space="preserve">(Sambasivan et al., 2021)</w:t>
      </w:r>
      <w:r>
        <w:t xml:space="preserve">. Another may be a lack of focus on these</w:t>
      </w:r>
      <w:r>
        <w:t xml:space="preserve"> </w:t>
      </w:r>
      <w:r>
        <w:t xml:space="preserve">topics in textbooks, and thus in education more broadly (first geiger</w:t>
      </w:r>
      <w:r>
        <w:t xml:space="preserve"> </w:t>
      </w:r>
      <w:r>
        <w:t xml:space="preserve">paper I think). A third may be that the social and computational</w:t>
      </w:r>
      <w:r>
        <w:t xml:space="preserve"> </w:t>
      </w:r>
      <w:r>
        <w:t xml:space="preserve">sciences have conceptually different focci: the computational sciences</w:t>
      </w:r>
      <w:r>
        <w:t xml:space="preserve"> </w:t>
      </w:r>
      <w:r>
        <w:t xml:space="preserve">focus on the statistical model the system with substantially less</w:t>
      </w:r>
      <w:r>
        <w:t xml:space="preserve"> </w:t>
      </w:r>
      <w:r>
        <w:t xml:space="preserve">emphasis on the content, whereas the social sciences treat the</w:t>
      </w:r>
      <w:r>
        <w:t xml:space="preserve"> </w:t>
      </w:r>
      <w:r>
        <w:t xml:space="preserve">statistical model as a means to better understanding the relationships</w:t>
      </w:r>
      <w:r>
        <w:t xml:space="preserve"> </w:t>
      </w:r>
      <w:r>
        <w:t xml:space="preserve">in the content</w:t>
      </w:r>
      <w:r>
        <w:t xml:space="preserve"> </w:t>
      </w:r>
      <w:r>
        <w:t xml:space="preserve">(Liem et al., 2018)</w:t>
      </w:r>
      <w:r>
        <w:t xml:space="preserve">. A further more practical</w:t>
      </w:r>
      <w:r>
        <w:t xml:space="preserve"> </w:t>
      </w:r>
      <w:r>
        <w:t xml:space="preserve">complication is that work on these topics and potential solutions lacks</w:t>
      </w:r>
      <w:r>
        <w:t xml:space="preserve"> </w:t>
      </w:r>
      <w:r>
        <w:t xml:space="preserve">a central academic</w:t>
      </w:r>
      <w:r>
        <w:t xml:space="preserve"> </w:t>
      </w:r>
      <w:r>
        <w:t xml:space="preserve">‘home’</w:t>
      </w:r>
      <w:r>
        <w:t xml:space="preserve">: where psychology and economics have</w:t>
      </w:r>
      <w:r>
        <w:t xml:space="preserve"> </w:t>
      </w:r>
      <w:r>
        <w:t xml:space="preserve">psychometrics and econometrics respectively, and where software</w:t>
      </w:r>
      <w:r>
        <w:t xml:space="preserve"> </w:t>
      </w:r>
      <w:r>
        <w:t xml:space="preserve">engineering has software testing, the study of ground-truthing lacks a</w:t>
      </w:r>
      <w:r>
        <w:t xml:space="preserve"> </w:t>
      </w:r>
      <w:r>
        <w:t xml:space="preserve">central banner under which academic work can accumulate.</w:t>
      </w:r>
    </w:p>
    <w:bookmarkStart w:id="22" w:name="present-work"/>
    <w:p>
      <w:pPr>
        <w:pStyle w:val="Heading2"/>
      </w:pPr>
      <w:r>
        <w:t xml:space="preserve">Present Work</w:t>
      </w:r>
    </w:p>
    <w:p>
      <w:pPr>
        <w:pStyle w:val="FirstParagraph"/>
      </w:pPr>
      <w:r>
        <w:t xml:space="preserve">This thesis incorporates the aforementioned shortcomings into a singular</w:t>
      </w:r>
      <w:r>
        <w:t xml:space="preserve"> </w:t>
      </w:r>
      <w:r>
        <w:t xml:space="preserve">framework, guided by best practices in the social sciences. Thus our</w:t>
      </w:r>
      <w:r>
        <w:t xml:space="preserve"> </w:t>
      </w:r>
      <w:r>
        <w:t xml:space="preserve">primary contribution is a worked example of a ground-truthing project</w:t>
      </w:r>
      <w:r>
        <w:t xml:space="preserve"> </w:t>
      </w:r>
      <w:r>
        <w:t xml:space="preserve">which involves the collection of human annotations, and that attempts</w:t>
      </w:r>
      <w:r>
        <w:t xml:space="preserve"> </w:t>
      </w:r>
      <w:r>
        <w:t xml:space="preserve">the application of practices from the social science for each of the</w:t>
      </w:r>
      <w:r>
        <w:t xml:space="preserve"> </w:t>
      </w:r>
      <w:r>
        <w:t xml:space="preserve">issues above.</w:t>
      </w:r>
    </w:p>
    <w:p>
      <w:pPr>
        <w:pStyle w:val="BodyText"/>
      </w:pPr>
      <w:r>
        <w:t xml:space="preserve">Specifically:</w:t>
      </w:r>
    </w:p>
    <w:p>
      <w:pPr>
        <w:pStyle w:val="Compact"/>
        <w:numPr>
          <w:ilvl w:val="0"/>
          <w:numId w:val="1001"/>
        </w:numPr>
      </w:pPr>
      <w:r>
        <w:t xml:space="preserve">We attempt to mitigate representation biases in the content we</w:t>
      </w:r>
      <w:r>
        <w:t xml:space="preserve"> </w:t>
      </w:r>
      <w:r>
        <w:t xml:space="preserve">select for annotation by using a stratified sampling strategy.</w:t>
      </w:r>
    </w:p>
    <w:p>
      <w:pPr>
        <w:pStyle w:val="Compact"/>
        <w:numPr>
          <w:ilvl w:val="0"/>
          <w:numId w:val="1001"/>
        </w:numPr>
      </w:pPr>
      <w:r>
        <w:t xml:space="preserve">We attempt to mitigate measurement biases by treating the target</w:t>
      </w:r>
      <w:r>
        <w:t xml:space="preserve"> </w:t>
      </w:r>
      <w:r>
        <w:t xml:space="preserve">measurement as a latent variable, and the survey we used to gather</w:t>
      </w:r>
      <w:r>
        <w:t xml:space="preserve"> </w:t>
      </w:r>
      <w:r>
        <w:t xml:space="preserve">annotations as an instrument. We build on work that validated a</w:t>
      </w:r>
      <w:r>
        <w:t xml:space="preserve"> </w:t>
      </w:r>
      <w:r>
        <w:t xml:space="preserve">questionnaire for measuring constructs, and estimating its</w:t>
      </w:r>
      <w:r>
        <w:t xml:space="preserve"> </w:t>
      </w:r>
      <w:r>
        <w:t xml:space="preserve">reliability and structural validity when used for annotations.</w:t>
      </w:r>
    </w:p>
    <w:p>
      <w:pPr>
        <w:pStyle w:val="Compact"/>
        <w:numPr>
          <w:ilvl w:val="0"/>
          <w:numId w:val="1001"/>
        </w:numPr>
      </w:pPr>
      <w:r>
        <w:t xml:space="preserve">We account for the potential of multiple perspectives in our dataset</w:t>
      </w:r>
      <w:r>
        <w:t xml:space="preserve"> </w:t>
      </w:r>
      <w:r>
        <w:t xml:space="preserve">by recruiting participants from relevant subgroups in a single</w:t>
      </w:r>
      <w:r>
        <w:t xml:space="preserve"> </w:t>
      </w:r>
      <w:r>
        <w:t xml:space="preserve">target population.</w:t>
      </w:r>
    </w:p>
    <w:p>
      <w:pPr>
        <w:pStyle w:val="Compact"/>
        <w:numPr>
          <w:ilvl w:val="0"/>
          <w:numId w:val="1001"/>
        </w:numPr>
      </w:pPr>
      <w:r>
        <w:t xml:space="preserve">We report the details of the annotation collection process, and</w:t>
      </w:r>
      <w:r>
        <w:t xml:space="preserve"> </w:t>
      </w:r>
      <w:r>
        <w:t xml:space="preserve">share the disaggregated dataset of the annotations</w:t>
      </w:r>
    </w:p>
    <w:p>
      <w:pPr>
        <w:pStyle w:val="Compact"/>
        <w:numPr>
          <w:ilvl w:val="0"/>
          <w:numId w:val="1001"/>
        </w:numPr>
      </w:pPr>
      <w:r>
        <w:t xml:space="preserve">We further show how to estimate the number of annotators</w:t>
      </w:r>
      <w:r>
        <w:br/>
      </w:r>
    </w:p>
    <w:p>
      <w:pPr>
        <w:pStyle w:val="FirstParagraph"/>
      </w:pPr>
      <w:r>
        <w:t xml:space="preserve">We demonstrate the potential of this framework by grounding a complex</w:t>
      </w:r>
      <w:r>
        <w:t xml:space="preserve"> </w:t>
      </w:r>
      <w:r>
        <w:t xml:space="preserve">phenomenon (a 10-dimensional construct, Personal Values) in ambiguous</w:t>
      </w:r>
      <w:r>
        <w:t xml:space="preserve"> </w:t>
      </w:r>
      <w:r>
        <w:t xml:space="preserve">text (song lyrics). We further show an</w:t>
      </w:r>
    </w:p>
    <w:p>
      <w:pPr>
        <w:pStyle w:val="BodyText"/>
      </w:pPr>
      <w:r>
        <w:t xml:space="preserve">When sampling content to include in training/test datasets, samples for</w:t>
      </w:r>
      <w:r>
        <w:t xml:space="preserve"> </w:t>
      </w:r>
      <w:r>
        <w:t xml:space="preserve">the training/test sets will ideally be drawn from the same distribution</w:t>
      </w:r>
      <w:r>
        <w:t xml:space="preserve"> </w:t>
      </w:r>
      <w:r>
        <w:t xml:space="preserve">as the content in which they will eventually be deployed.</w:t>
      </w:r>
      <w:r>
        <w:t xml:space="preserve"> </w:t>
      </w:r>
      <w:r>
        <w:rPr>
          <w:i/>
          <w:iCs/>
        </w:rPr>
        <w:t xml:space="preserve">Representation bias</w:t>
      </w:r>
      <w:r>
        <w:t xml:space="preserve"> </w:t>
      </w:r>
      <w:r>
        <w:t xml:space="preserve">in content selected for training and/or evaluation</w:t>
      </w:r>
      <w:r>
        <w:t xml:space="preserve"> </w:t>
      </w:r>
      <w:r>
        <w:t xml:space="preserve">datasets refers to the degree to which relevant distributions in data</w:t>
      </w:r>
      <w:r>
        <w:t xml:space="preserve"> </w:t>
      </w:r>
      <w:r>
        <w:t xml:space="preserve">used to train and/or evaluate systems resembles the distribution in the</w:t>
      </w:r>
      <w:r>
        <w:t xml:space="preserve"> </w:t>
      </w:r>
      <w:r>
        <w:t xml:space="preserve">environment to which it will be deployed</w:t>
      </w:r>
      <w:r>
        <w:t xml:space="preserve"> </w:t>
      </w:r>
      <w:r>
        <w:t xml:space="preserve">(Hullman et al., 2022)</w:t>
      </w:r>
      <w:r>
        <w:t xml:space="preserve">.</w:t>
      </w:r>
    </w:p>
    <w:p>
      <w:pPr>
        <w:pStyle w:val="BodyText"/>
      </w:pPr>
      <w:r>
        <w:t xml:space="preserve">Measurement bias in the annotations collected from humans may also bias</w:t>
      </w:r>
    </w:p>
    <w:p>
      <w:pPr>
        <w:pStyle w:val="BodyText"/>
      </w:pPr>
      <w:r>
        <w:t xml:space="preserve">Perspectivism</w:t>
      </w:r>
    </w:p>
    <w:p>
      <w:pPr>
        <w:pStyle w:val="BodyText"/>
      </w:pPr>
      <w:r>
        <w:t xml:space="preserve">Reporting</w:t>
      </w:r>
    </w:p>
    <w:p>
      <w:pPr>
        <w:pStyle w:val="BodyText"/>
      </w:pPr>
      <w:r>
        <w:t xml:space="preserve">We add: a priori rating number estimation</w:t>
      </w:r>
    </w:p>
    <w:p>
      <w:pPr>
        <w:pStyle w:val="BodyText"/>
      </w:pPr>
      <w:r>
        <w:t xml:space="preserve">And although imperfect as leaderboard scores can be gamed, and do not</w:t>
      </w:r>
      <w:r>
        <w:t xml:space="preserve"> </w:t>
      </w:r>
      <w:r>
        <w:t xml:space="preserve">perfectly represent the deployment environment, the typical leaderboard</w:t>
      </w:r>
      <w:r>
        <w:t xml:space="preserve"> </w:t>
      </w:r>
      <w:r>
        <w:t xml:space="preserve">approach has shown evidence that progress can be made towards a target.</w:t>
      </w:r>
      <w:r>
        <w:t xml:space="preserve"> </w:t>
      </w:r>
      <w:r>
        <w:t xml:space="preserve">This thesis thus represents an attempt to define the target better.</w:t>
      </w:r>
    </w:p>
    <w:bookmarkEnd w:id="22"/>
    <w:bookmarkEnd w:id="23"/>
    <w:bookmarkStart w:id="33" w:name="X0301826d715b0da77632a07b6858a91a8c80c41"/>
    <w:p>
      <w:pPr>
        <w:pStyle w:val="Heading1"/>
      </w:pPr>
      <w:r>
        <w:t xml:space="preserve">ML/AI relies on reference data from human annotations</w:t>
      </w:r>
    </w:p>
    <w:p>
      <w:pPr>
        <w:pStyle w:val="FirstParagraph"/>
      </w:pPr>
      <w:r>
        <w:t xml:space="preserve">Aroyo &amp; Welty (2015)</w:t>
      </w:r>
    </w:p>
    <w:p>
      <w:pPr>
        <w:pStyle w:val="Compact"/>
        <w:numPr>
          <w:ilvl w:val="0"/>
          <w:numId w:val="1002"/>
        </w:numPr>
      </w:pPr>
      <w:r>
        <w:t xml:space="preserve">In order to evaluate ML / AI systems, we compare the output of these</w:t>
      </w:r>
      <w:r>
        <w:t xml:space="preserve"> </w:t>
      </w:r>
      <w:r>
        <w:t xml:space="preserve">systems to reference data.</w:t>
      </w:r>
    </w:p>
    <w:p>
      <w:pPr>
        <w:pStyle w:val="Compact"/>
        <w:numPr>
          <w:ilvl w:val="0"/>
          <w:numId w:val="1002"/>
        </w:numPr>
      </w:pPr>
      <w:r>
        <w:t xml:space="preserve">One method for creating reference data is the collection of human</w:t>
      </w:r>
      <w:r>
        <w:t xml:space="preserve"> </w:t>
      </w:r>
      <w:r>
        <w:t xml:space="preserve">annotations.</w:t>
      </w:r>
    </w:p>
    <w:p>
      <w:pPr>
        <w:pStyle w:val="Compact"/>
        <w:numPr>
          <w:ilvl w:val="0"/>
          <w:numId w:val="1002"/>
        </w:numPr>
      </w:pPr>
      <w:r>
        <w:t xml:space="preserve">This method typically assumes that, for every piece of content being</w:t>
      </w:r>
      <w:r>
        <w:t xml:space="preserve"> </w:t>
      </w:r>
      <w:r>
        <w:t xml:space="preserve">annotated, there is a single canonical truth</w:t>
      </w:r>
    </w:p>
    <w:p>
      <w:pPr>
        <w:pStyle w:val="Compact"/>
        <w:numPr>
          <w:ilvl w:val="0"/>
          <w:numId w:val="1002"/>
        </w:numPr>
      </w:pPr>
      <w:r>
        <w:t xml:space="preserve">quality of annotations is assessed using inter-annotator agreement,</w:t>
      </w:r>
      <w:r>
        <w:t xml:space="preserve"> </w:t>
      </w:r>
      <w:r>
        <w:t xml:space="preserve">where more agreement = better annotations</w:t>
      </w:r>
    </w:p>
    <w:p>
      <w:pPr>
        <w:pStyle w:val="FirstParagraph"/>
      </w:pPr>
      <w:r>
        <w:t xml:space="preserve">Cabitza et al. (2023)</w:t>
      </w:r>
      <w:r>
        <w:t xml:space="preserve">:</w:t>
      </w:r>
      <w:r>
        <w:t xml:space="preserve"> </w:t>
      </w:r>
      <w:r>
        <w:t xml:space="preserve">“data annotation is the practice of labeling a set</w:t>
      </w:r>
      <w:r>
        <w:t xml:space="preserve"> </w:t>
      </w:r>
      <w:r>
        <w:t xml:space="preserve">of digital representations of objects.”</w:t>
      </w:r>
    </w:p>
    <w:p>
      <w:pPr>
        <w:pStyle w:val="BodyText"/>
      </w:pPr>
      <w:r>
        <w:t xml:space="preserve">according to Muller et al., 2012 it has three components</w:t>
      </w:r>
    </w:p>
    <w:p>
      <w:pPr>
        <w:pStyle w:val="Compact"/>
        <w:numPr>
          <w:ilvl w:val="0"/>
          <w:numId w:val="1003"/>
        </w:numPr>
      </w:pPr>
      <w:r>
        <w:t xml:space="preserve">data collection: the labeling scheme</w:t>
      </w:r>
    </w:p>
    <w:p>
      <w:pPr>
        <w:pStyle w:val="Compact"/>
        <w:numPr>
          <w:ilvl w:val="0"/>
          <w:numId w:val="1003"/>
        </w:numPr>
      </w:pPr>
      <w:r>
        <w:t xml:space="preserve">data annotation: the actual labeling by experts or crowd workers</w:t>
      </w:r>
    </w:p>
    <w:p>
      <w:pPr>
        <w:pStyle w:val="Compact"/>
        <w:numPr>
          <w:ilvl w:val="0"/>
          <w:numId w:val="1003"/>
        </w:numPr>
      </w:pPr>
      <w:r>
        <w:t xml:space="preserve">data aggregation: producing a single or a single set of labels from</w:t>
      </w:r>
      <w:r>
        <w:t xml:space="preserve"> </w:t>
      </w:r>
      <w:r>
        <w:t xml:space="preserve">the multiple labels collected</w:t>
      </w:r>
    </w:p>
    <w:p>
      <w:pPr>
        <w:pStyle w:val="FirstParagraph"/>
      </w:pPr>
      <w:r>
        <w:t xml:space="preserve">Geiger et al. (2021)</w:t>
      </w:r>
      <w:r>
        <w:t xml:space="preserve">: ML uses human annotations very often</w:t>
      </w:r>
    </w:p>
    <w:p>
      <w:pPr>
        <w:pStyle w:val="Compact"/>
        <w:numPr>
          <w:ilvl w:val="0"/>
          <w:numId w:val="1004"/>
        </w:numPr>
      </w:pPr>
      <w:r>
        <w:t xml:space="preserve">200 randomly sampled ML papers from 3 domains:</w:t>
      </w:r>
    </w:p>
    <w:p>
      <w:pPr>
        <w:pStyle w:val="Compact"/>
        <w:numPr>
          <w:ilvl w:val="1"/>
          <w:numId w:val="1005"/>
        </w:numPr>
      </w:pPr>
      <w:r>
        <w:t xml:space="preserve">Social Sciences &amp; Humanities</w:t>
      </w:r>
    </w:p>
    <w:p>
      <w:pPr>
        <w:pStyle w:val="Compact"/>
        <w:numPr>
          <w:ilvl w:val="1"/>
          <w:numId w:val="1005"/>
        </w:numPr>
      </w:pPr>
      <w:r>
        <w:t xml:space="preserve">Life &amp; Biomedical Sciences</w:t>
      </w:r>
    </w:p>
    <w:p>
      <w:pPr>
        <w:pStyle w:val="Compact"/>
        <w:numPr>
          <w:ilvl w:val="1"/>
          <w:numId w:val="1005"/>
        </w:numPr>
      </w:pPr>
      <w:r>
        <w:t xml:space="preserve">Physical &amp; Environmental Sciences</w:t>
      </w:r>
    </w:p>
    <w:p>
      <w:pPr>
        <w:pStyle w:val="Compact"/>
        <w:numPr>
          <w:ilvl w:val="0"/>
          <w:numId w:val="1004"/>
        </w:numPr>
      </w:pPr>
      <w:r>
        <w:t xml:space="preserve">Out of 141 classification tasks, 103 (73.05%) used human labels</w:t>
      </w:r>
    </w:p>
    <w:p>
      <w:pPr>
        <w:pStyle w:val="Compact"/>
        <w:numPr>
          <w:ilvl w:val="0"/>
          <w:numId w:val="1004"/>
        </w:numPr>
      </w:pPr>
      <w:r>
        <w:t xml:space="preserve">Out of 103 human labels, 58 (56.31%) used only external labels</w:t>
      </w:r>
    </w:p>
    <w:p>
      <w:pPr>
        <w:pStyle w:val="FirstParagraph"/>
      </w:pPr>
      <w:r>
        <w:t xml:space="preserve">i.e. ML re-uses external labels</w:t>
      </w:r>
    </w:p>
    <w:bookmarkStart w:id="32" w:name="issues-using-human-annotations-in-ml"/>
    <w:p>
      <w:pPr>
        <w:pStyle w:val="Heading2"/>
      </w:pPr>
      <w:r>
        <w:t xml:space="preserve">Issues using human annotations in ML</w:t>
      </w:r>
    </w:p>
    <w:p>
      <w:pPr>
        <w:pStyle w:val="FirstParagraph"/>
      </w:pPr>
      <w:r>
        <w:t xml:space="preserve">A number of works have shown issues with annotations in ML</w:t>
      </w:r>
    </w:p>
    <w:p>
      <w:pPr>
        <w:pStyle w:val="BodyText"/>
      </w:pPr>
      <w:r>
        <w:t xml:space="preserve">Hullman et al. (2022)</w:t>
      </w:r>
      <w:r>
        <w:t xml:space="preserve"> </w:t>
      </w:r>
      <w:r>
        <w:t xml:space="preserve">compare claims that ML is facing a reproducibility</w:t>
      </w:r>
      <w:r>
        <w:t xml:space="preserve"> </w:t>
      </w:r>
      <w:r>
        <w:t xml:space="preserve">crisis to the crisis in psychology. Among the issues they note relate to</w:t>
      </w:r>
      <w:r>
        <w:t xml:space="preserve"> </w:t>
      </w:r>
      <w:r>
        <w:t xml:space="preserve">benchmark datasets, which researchers often re-use as they publish on</w:t>
      </w:r>
      <w:r>
        <w:t xml:space="preserve"> </w:t>
      </w:r>
      <w:r>
        <w:t xml:space="preserve">standardized benchmarks, and because they are cost prohibitive to</w:t>
      </w:r>
      <w:r>
        <w:t xml:space="preserve"> </w:t>
      </w:r>
      <w:r>
        <w:t xml:space="preserve">collect.</w:t>
      </w:r>
    </w:p>
    <w:p>
      <w:pPr>
        <w:pStyle w:val="BodyText"/>
      </w:pPr>
      <w:r>
        <w:t xml:space="preserve">Another may be that the skills are not being taught: [geiger, first</w:t>
      </w:r>
      <w:r>
        <w:t xml:space="preserve"> </w:t>
      </w:r>
      <w:r>
        <w:t xml:space="preserve">paper, show lack of reporting in ML textbooks on ground truthing]</w:t>
      </w:r>
    </w:p>
    <w:p>
      <w:pPr>
        <w:pStyle w:val="BodyText"/>
      </w:pPr>
      <w:r>
        <w:t xml:space="preserve">A number of papers have drawn from the social sciences to synthesize</w:t>
      </w:r>
      <w:r>
        <w:t xml:space="preserve"> </w:t>
      </w:r>
      <w:r>
        <w:t xml:space="preserve">knowledge on how best to gather annotations.</w:t>
      </w:r>
    </w:p>
    <w:bookmarkStart w:id="25" w:name="X259177ba7071f0a919e4311f4c0ffb9c3a08791"/>
    <w:p>
      <w:pPr>
        <w:pStyle w:val="Heading3"/>
      </w:pPr>
      <w:r>
        <w:t xml:space="preserve">ML treats all annotation variance as noise rather than signal</w:t>
      </w:r>
    </w:p>
    <w:p>
      <w:pPr>
        <w:pStyle w:val="FirstParagraph"/>
      </w:pPr>
      <w:r>
        <w:t xml:space="preserve">disagreement is common</w:t>
      </w:r>
    </w:p>
    <w:p>
      <w:pPr>
        <w:pStyle w:val="BodyText"/>
      </w:pPr>
      <w:r>
        <w:t xml:space="preserve">reviewed in</w:t>
      </w:r>
      <w:r>
        <w:t xml:space="preserve"> </w:t>
      </w:r>
      <w:r>
        <w:t xml:space="preserve">Cabitza et al. (2023)</w:t>
      </w:r>
      <w:r>
        <w:t xml:space="preserve">: -social media content: Chandrasekharan</w:t>
      </w:r>
      <w:r>
        <w:t xml:space="preserve"> </w:t>
      </w:r>
      <w:r>
        <w:t xml:space="preserve">2017 -medical cases: Cabitza 2019 -various NLP tasks</w:t>
      </w:r>
      <w:r>
        <w:t xml:space="preserve"> </w:t>
      </w:r>
      <w:r>
        <w:t xml:space="preserve">Aroyo &amp; Welty (2015)</w:t>
      </w:r>
    </w:p>
    <w:p>
      <w:pPr>
        <w:pStyle w:val="BodyText"/>
      </w:pPr>
      <w:r>
        <w:t xml:space="preserve">disagreement is often removed</w:t>
      </w:r>
    </w:p>
    <w:p>
      <w:pPr>
        <w:pStyle w:val="Compact"/>
        <w:numPr>
          <w:ilvl w:val="0"/>
          <w:numId w:val="1006"/>
        </w:numPr>
      </w:pPr>
      <w:r>
        <w:t xml:space="preserve">adjusting annotator training and instruction</w:t>
      </w:r>
    </w:p>
    <w:p>
      <w:pPr>
        <w:pStyle w:val="Compact"/>
        <w:numPr>
          <w:ilvl w:val="0"/>
          <w:numId w:val="1006"/>
        </w:numPr>
      </w:pPr>
      <w:r>
        <w:t xml:space="preserve">adjusting annotations via discussion post-collection</w:t>
      </w:r>
    </w:p>
    <w:p>
      <w:pPr>
        <w:pStyle w:val="Compact"/>
        <w:numPr>
          <w:ilvl w:val="0"/>
          <w:numId w:val="1006"/>
        </w:numPr>
      </w:pPr>
      <w:r>
        <w:t xml:space="preserve">majority voting, post-hoc without annotators</w:t>
      </w:r>
    </w:p>
    <w:p>
      <w:pPr>
        <w:pStyle w:val="FirstParagraph"/>
      </w:pPr>
      <w:r>
        <w:t xml:space="preserve">Beyond errors in judgment are questions about the target for the</w:t>
      </w:r>
      <w:r>
        <w:t xml:space="preserve"> </w:t>
      </w:r>
      <w:r>
        <w:t xml:space="preserve">annotations. For at least some phenomena, the assumption that there is a</w:t>
      </w:r>
      <w:r>
        <w:t xml:space="preserve"> </w:t>
      </w:r>
      <w:r>
        <w:t xml:space="preserve">single ground-truth to approximate with annotations doesn’t hold.</w:t>
      </w:r>
    </w:p>
    <w:p>
      <w:pPr>
        <w:pStyle w:val="BodyText"/>
      </w:pPr>
      <w:r>
        <w:t xml:space="preserve">Aroyo &amp; Welty (2015)</w:t>
      </w:r>
    </w:p>
    <w:p>
      <w:pPr>
        <w:pStyle w:val="BodyText"/>
      </w:pPr>
      <w:r>
        <w:t xml:space="preserve">7</w:t>
      </w:r>
      <w:r>
        <w:t xml:space="preserve"> </w:t>
      </w:r>
      <w:r>
        <w:t xml:space="preserve">‘myths’</w:t>
      </w:r>
      <w:r>
        <w:t xml:space="preserve"> </w:t>
      </w:r>
      <w:r>
        <w:t xml:space="preserve">of human annotation:</w:t>
      </w:r>
    </w:p>
    <w:p>
      <w:pPr>
        <w:pStyle w:val="Compact"/>
        <w:numPr>
          <w:ilvl w:val="0"/>
          <w:numId w:val="1007"/>
        </w:numPr>
      </w:pPr>
      <w:r>
        <w:t xml:space="preserve">there is one truth</w:t>
      </w:r>
    </w:p>
    <w:p>
      <w:pPr>
        <w:pStyle w:val="Compact"/>
        <w:numPr>
          <w:ilvl w:val="0"/>
          <w:numId w:val="1007"/>
        </w:numPr>
      </w:pPr>
      <w:r>
        <w:t xml:space="preserve">disagreement is bad</w:t>
      </w:r>
    </w:p>
    <w:p>
      <w:pPr>
        <w:pStyle w:val="Compact"/>
        <w:numPr>
          <w:ilvl w:val="0"/>
          <w:numId w:val="1007"/>
        </w:numPr>
      </w:pPr>
      <w:r>
        <w:t xml:space="preserve">detailed guidelines help</w:t>
      </w:r>
    </w:p>
    <w:p>
      <w:pPr>
        <w:pStyle w:val="Compact"/>
        <w:numPr>
          <w:ilvl w:val="0"/>
          <w:numId w:val="1007"/>
        </w:numPr>
      </w:pPr>
      <w:r>
        <w:t xml:space="preserve">experts are better</w:t>
      </w:r>
    </w:p>
    <w:p>
      <w:pPr>
        <w:pStyle w:val="Compact"/>
        <w:numPr>
          <w:ilvl w:val="0"/>
          <w:numId w:val="1007"/>
        </w:numPr>
      </w:pPr>
      <w:r>
        <w:t xml:space="preserve">one annotator is enough</w:t>
      </w:r>
    </w:p>
    <w:p>
      <w:pPr>
        <w:pStyle w:val="Compact"/>
        <w:numPr>
          <w:ilvl w:val="0"/>
          <w:numId w:val="1007"/>
        </w:numPr>
      </w:pPr>
      <w:r>
        <w:t xml:space="preserve">all items are created equal</w:t>
      </w:r>
    </w:p>
    <w:p>
      <w:pPr>
        <w:pStyle w:val="Compact"/>
        <w:numPr>
          <w:ilvl w:val="0"/>
          <w:numId w:val="1007"/>
        </w:numPr>
      </w:pPr>
      <w:r>
        <w:t xml:space="preserve">once done, forever valid</w:t>
      </w:r>
    </w:p>
    <w:p>
      <w:pPr>
        <w:pStyle w:val="FirstParagraph"/>
      </w:pPr>
      <w:r>
        <w:t xml:space="preserve">For myths 1 and 2:</w:t>
      </w:r>
    </w:p>
    <w:p>
      <w:pPr>
        <w:pStyle w:val="Compact"/>
        <w:numPr>
          <w:ilvl w:val="0"/>
          <w:numId w:val="1008"/>
        </w:numPr>
      </w:pPr>
      <w:r>
        <w:t xml:space="preserve">list examples from NLP where the disagreement from annotators is</w:t>
      </w:r>
      <w:r>
        <w:t xml:space="preserve"> </w:t>
      </w:r>
      <w:r>
        <w:t xml:space="preserve">sensible</w:t>
      </w:r>
    </w:p>
    <w:p>
      <w:pPr>
        <w:pStyle w:val="Compact"/>
        <w:numPr>
          <w:ilvl w:val="0"/>
          <w:numId w:val="1008"/>
        </w:numPr>
      </w:pPr>
      <w:r>
        <w:t xml:space="preserve">they argue that the assumptions of a single ground truth, and that</w:t>
      </w:r>
      <w:r>
        <w:t xml:space="preserve"> </w:t>
      </w:r>
      <w:r>
        <w:t xml:space="preserve">disagreement is indicative of poor annotations are both false.</w:t>
      </w:r>
    </w:p>
    <w:p>
      <w:pPr>
        <w:pStyle w:val="FirstParagraph"/>
      </w:pPr>
      <w:r>
        <w:t xml:space="preserve">for myth 6: disagreement indicates that the media being rated is</w:t>
      </w:r>
      <w:r>
        <w:t xml:space="preserve"> </w:t>
      </w:r>
      <w:r>
        <w:t xml:space="preserve">ambiguous.</w:t>
      </w:r>
    </w:p>
    <w:bookmarkStart w:id="24" w:name="Xc3a3ef217f85309ce2807f71182267d84c4891b"/>
    <w:p>
      <w:pPr>
        <w:pStyle w:val="Heading4"/>
      </w:pPr>
      <w:r>
        <w:t xml:space="preserve">annotations aim to measure a latent variable</w:t>
      </w:r>
    </w:p>
    <w:p>
      <w:pPr>
        <w:pStyle w:val="FirstParagraph"/>
      </w:pPr>
      <w:r>
        <w:t xml:space="preserve">Jacobs &amp; Wallach (2021)</w:t>
      </w:r>
      <w:r>
        <w:t xml:space="preserve"> </w:t>
      </w:r>
      <w:r>
        <w:t xml:space="preserve">there is a</w:t>
      </w:r>
      <w:r>
        <w:t xml:space="preserve"> </w:t>
      </w:r>
      <w:r>
        <w:t xml:space="preserve">‘measurement error model’</w:t>
      </w:r>
      <w:r>
        <w:t xml:space="preserve"> </w:t>
      </w:r>
      <w:r>
        <w:t xml:space="preserve">(taken from</w:t>
      </w:r>
      <w:r>
        <w:t xml:space="preserve"> </w:t>
      </w:r>
      <w:r>
        <w:t xml:space="preserve">econ) that links the unobservable latent variable, and observable</w:t>
      </w:r>
      <w:r>
        <w:t xml:space="preserve"> </w:t>
      </w:r>
      <w:r>
        <w:t xml:space="preserve">properties. in annotations this is via individual observations</w:t>
      </w:r>
    </w:p>
    <w:p>
      <w:pPr>
        <w:pStyle w:val="BodyText"/>
      </w:pPr>
      <w:r>
        <w:t xml:space="preserve">although paper focuses on attempts at measuring constructs (risk of</w:t>
      </w:r>
      <w:r>
        <w:t xml:space="preserve"> </w:t>
      </w:r>
      <w:r>
        <w:t xml:space="preserve">recidivism, teacher effectiveness, patient benefit) they also show that</w:t>
      </w:r>
      <w:r>
        <w:t xml:space="preserve"> </w:t>
      </w:r>
      <w:r>
        <w:t xml:space="preserve">even</w:t>
      </w:r>
      <w:r>
        <w:t xml:space="preserve"> </w:t>
      </w:r>
      <w:r>
        <w:t xml:space="preserve">‘representational measurements’</w:t>
      </w:r>
      <w:r>
        <w:t xml:space="preserve"> </w:t>
      </w:r>
      <w:r>
        <w:t xml:space="preserve">like height, are essentially a</w:t>
      </w:r>
      <w:r>
        <w:t xml:space="preserve"> </w:t>
      </w:r>
      <w:r>
        <w:t xml:space="preserve">latent variable</w:t>
      </w:r>
    </w:p>
    <w:p>
      <w:pPr>
        <w:pStyle w:val="BodyText"/>
      </w:pPr>
      <w:r>
        <w:t xml:space="preserve">Aroyo &amp; Welty (2015)</w:t>
      </w:r>
      <w:r>
        <w:t xml:space="preserve"> </w:t>
      </w:r>
      <w:r>
        <w:t xml:space="preserve">operationalize</w:t>
      </w:r>
      <w:r>
        <w:t xml:space="preserve"> </w:t>
      </w:r>
      <w:r>
        <w:t xml:space="preserve">‘crowd truth’</w:t>
      </w:r>
      <w:r>
        <w:t xml:space="preserve"> </w:t>
      </w:r>
      <w:r>
        <w:t xml:space="preserve">with an illustration where</w:t>
      </w:r>
      <w:r>
        <w:t xml:space="preserve"> </w:t>
      </w:r>
      <w:r>
        <w:t xml:space="preserve">the</w:t>
      </w:r>
      <w:r>
        <w:t xml:space="preserve"> </w:t>
      </w:r>
      <w:r>
        <w:t xml:space="preserve">‘gold standard’</w:t>
      </w:r>
      <w:r>
        <w:t xml:space="preserve"> </w:t>
      </w:r>
      <w:r>
        <w:t xml:space="preserve">is the probability that a sentence contains an</w:t>
      </w:r>
      <w:r>
        <w:t xml:space="preserve"> </w:t>
      </w:r>
      <w:r>
        <w:t xml:space="preserve">element, based on the probability that an annotator annotated that</w:t>
      </w:r>
      <w:r>
        <w:t xml:space="preserve"> </w:t>
      </w:r>
      <w:r>
        <w:t xml:space="preserve">sentence with that element.</w:t>
      </w:r>
    </w:p>
    <w:p>
      <w:pPr>
        <w:pStyle w:val="Compact"/>
        <w:numPr>
          <w:ilvl w:val="0"/>
          <w:numId w:val="1009"/>
        </w:numPr>
      </w:pPr>
      <w:r>
        <w:t xml:space="preserve">i.e. the label isn’t represented as</w:t>
      </w:r>
      <w:r>
        <w:t xml:space="preserve"> </w:t>
      </w:r>
      <w:r>
        <w:t xml:space="preserve">‘present’</w:t>
      </w:r>
      <w:r>
        <w:t xml:space="preserve"> </w:t>
      </w:r>
      <w:r>
        <w:t xml:space="preserve">or</w:t>
      </w:r>
      <w:r>
        <w:t xml:space="preserve"> </w:t>
      </w:r>
      <w:r>
        <w:t xml:space="preserve">‘not present’</w:t>
      </w:r>
      <w:r>
        <w:t xml:space="preserve">, but</w:t>
      </w:r>
      <w:r>
        <w:t xml:space="preserve"> </w:t>
      </w:r>
      <w:r>
        <w:t xml:space="preserve">as a probablility</w:t>
      </w:r>
    </w:p>
    <w:p>
      <w:pPr>
        <w:pStyle w:val="Compact"/>
        <w:numPr>
          <w:ilvl w:val="0"/>
          <w:numId w:val="1009"/>
        </w:numPr>
      </w:pPr>
      <w:r>
        <w:t xml:space="preserve">thus the</w:t>
      </w:r>
      <w:r>
        <w:t xml:space="preserve"> </w:t>
      </w:r>
      <w:r>
        <w:t xml:space="preserve">‘crowd truth’</w:t>
      </w:r>
      <w:r>
        <w:t xml:space="preserve"> </w:t>
      </w:r>
      <w:r>
        <w:t xml:space="preserve">attempts to capture the</w:t>
      </w:r>
      <w:r>
        <w:t xml:space="preserve"> </w:t>
      </w:r>
      <w:r>
        <w:t xml:space="preserve">‘range of reasonable</w:t>
      </w:r>
      <w:r>
        <w:t xml:space="preserve"> </w:t>
      </w:r>
      <w:r>
        <w:t xml:space="preserve">interpretations’</w:t>
      </w:r>
    </w:p>
    <w:p>
      <w:pPr>
        <w:pStyle w:val="FirstParagraph"/>
      </w:pPr>
      <w:r>
        <w:t xml:space="preserve">Beck et al. (2022)</w:t>
      </w:r>
      <w:r>
        <w:t xml:space="preserve">: we should expect more variance to the degree that</w:t>
      </w:r>
      <w:r>
        <w:t xml:space="preserve"> </w:t>
      </w:r>
      <w:r>
        <w:t xml:space="preserve">tasks measure opinion show work on an intuitively perspective-based</w:t>
      </w:r>
      <w:r>
        <w:t xml:space="preserve"> </w:t>
      </w:r>
      <w:r>
        <w:t xml:space="preserve">use-case: hate speech</w:t>
      </w:r>
    </w:p>
    <w:bookmarkEnd w:id="24"/>
    <w:bookmarkEnd w:id="25"/>
    <w:bookmarkStart w:id="27" w:name="human-annotations-arent-always-accurate"/>
    <w:p>
      <w:pPr>
        <w:pStyle w:val="Heading3"/>
      </w:pPr>
      <w:r>
        <w:t xml:space="preserve">Human annotations aren’t always accurate</w:t>
      </w:r>
    </w:p>
    <w:p>
      <w:pPr>
        <w:pStyle w:val="FirstParagraph"/>
      </w:pPr>
      <w:r>
        <w:t xml:space="preserve">Griffin &amp; Brenner (2004)</w:t>
      </w:r>
      <w:r>
        <w:t xml:space="preserve"> </w:t>
      </w:r>
      <w:r>
        <w:t xml:space="preserve">review errors and biases in human</w:t>
      </w:r>
      <w:r>
        <w:t xml:space="preserve"> </w:t>
      </w:r>
      <w:r>
        <w:t xml:space="preserve">judgements</w:t>
      </w:r>
      <w:r>
        <w:rPr>
          <w:rStyle w:val="FootnoteReference"/>
        </w:rPr>
        <w:footnoteReference w:id="26"/>
      </w:r>
    </w:p>
    <w:p>
      <w:pPr>
        <w:pStyle w:val="Compact"/>
        <w:numPr>
          <w:ilvl w:val="0"/>
          <w:numId w:val="1010"/>
        </w:numPr>
      </w:pPr>
      <w:r>
        <w:t xml:space="preserve">over/under prediction: confidence score is higher/lower than</w:t>
      </w:r>
      <w:r>
        <w:t xml:space="preserve"> </w:t>
      </w:r>
      <w:r>
        <w:t xml:space="preserve">accuracy</w:t>
      </w:r>
    </w:p>
    <w:p>
      <w:pPr>
        <w:pStyle w:val="Compact"/>
        <w:numPr>
          <w:ilvl w:val="0"/>
          <w:numId w:val="1010"/>
        </w:numPr>
      </w:pPr>
      <w:r>
        <w:t xml:space="preserve">over/under extremity: confidence is more extreme at ends</w:t>
      </w:r>
    </w:p>
    <w:p>
      <w:pPr>
        <w:pStyle w:val="FirstParagraph"/>
      </w:pPr>
      <w:r>
        <w:t xml:space="preserve">also reviews possible reasons:</w:t>
      </w:r>
    </w:p>
    <w:p>
      <w:pPr>
        <w:pStyle w:val="Compact"/>
        <w:numPr>
          <w:ilvl w:val="0"/>
          <w:numId w:val="1011"/>
        </w:numPr>
      </w:pPr>
      <w:r>
        <w:t xml:space="preserve">optimistic overconfidence</w:t>
      </w:r>
    </w:p>
    <w:p>
      <w:pPr>
        <w:pStyle w:val="Compact"/>
        <w:numPr>
          <w:ilvl w:val="0"/>
          <w:numId w:val="1011"/>
        </w:numPr>
      </w:pPr>
      <w:r>
        <w:t xml:space="preserve">confirmation bias</w:t>
      </w:r>
    </w:p>
    <w:p>
      <w:pPr>
        <w:pStyle w:val="Compact"/>
        <w:numPr>
          <w:ilvl w:val="0"/>
          <w:numId w:val="1011"/>
        </w:numPr>
      </w:pPr>
      <w:r>
        <w:t xml:space="preserve">case-based judgment</w:t>
      </w:r>
    </w:p>
    <w:p>
      <w:pPr>
        <w:pStyle w:val="Compact"/>
        <w:numPr>
          <w:ilvl w:val="0"/>
          <w:numId w:val="1011"/>
        </w:numPr>
      </w:pPr>
      <w:r>
        <w:t xml:space="preserve">ecological probability</w:t>
      </w:r>
    </w:p>
    <w:p>
      <w:pPr>
        <w:pStyle w:val="Compact"/>
        <w:numPr>
          <w:ilvl w:val="0"/>
          <w:numId w:val="1011"/>
        </w:numPr>
      </w:pPr>
      <w:r>
        <w:t xml:space="preserve">error model (psychometric model)</w:t>
      </w:r>
    </w:p>
    <w:bookmarkEnd w:id="27"/>
    <w:bookmarkStart w:id="28" w:name="inadequate-reporting"/>
    <w:p>
      <w:pPr>
        <w:pStyle w:val="Heading3"/>
      </w:pPr>
      <w:r>
        <w:t xml:space="preserve">Inadequate reporting</w:t>
      </w:r>
    </w:p>
    <w:p>
      <w:pPr>
        <w:pStyle w:val="FirstParagraph"/>
      </w:pPr>
      <w:r>
        <w:t xml:space="preserve">Geiger et al. (2021)</w:t>
      </w:r>
      <w:r>
        <w:t xml:space="preserve"> </w:t>
      </w:r>
      <w:r>
        <w:t xml:space="preserve">ML science studies inadequately report</w:t>
      </w:r>
      <w:r>
        <w:t xml:space="preserve"> </w:t>
      </w:r>
      <w:r>
        <w:t xml:space="preserve">‘ground truth’</w:t>
      </w:r>
    </w:p>
    <w:p>
      <w:pPr>
        <w:pStyle w:val="BodyText"/>
      </w:pPr>
      <w:r>
        <w:t xml:space="preserve">Hullman et al. (2022)</w:t>
      </w:r>
      <w:r>
        <w:t xml:space="preserve"> </w:t>
      </w:r>
      <w:r>
        <w:t xml:space="preserve">thus we cannot know what data generating process the</w:t>
      </w:r>
      <w:r>
        <w:t xml:space="preserve"> </w:t>
      </w:r>
      <w:r>
        <w:t xml:space="preserve">resulting model represents</w:t>
      </w:r>
    </w:p>
    <w:p>
      <w:pPr>
        <w:pStyle w:val="BodyText"/>
      </w:pPr>
      <w:r>
        <w:t xml:space="preserve">[perhaps cat image parable here?]</w:t>
      </w:r>
    </w:p>
    <w:bookmarkEnd w:id="28"/>
    <w:bookmarkStart w:id="29" w:name="sampling-and-measurement-biases"/>
    <w:p>
      <w:pPr>
        <w:pStyle w:val="Heading3"/>
      </w:pPr>
      <w:r>
        <w:t xml:space="preserve">sampling and measurement biases</w:t>
      </w:r>
    </w:p>
    <w:p>
      <w:pPr>
        <w:pStyle w:val="FirstParagraph"/>
      </w:pPr>
      <w:r>
        <w:t xml:space="preserve">Hullman et al. (2022)</w:t>
      </w:r>
    </w:p>
    <w:p>
      <w:pPr>
        <w:pStyle w:val="BodyText"/>
      </w:pPr>
      <w:r>
        <w:t xml:space="preserve">With regards to reference data:</w:t>
      </w:r>
    </w:p>
    <w:p>
      <w:pPr>
        <w:pStyle w:val="Compact"/>
        <w:numPr>
          <w:ilvl w:val="0"/>
          <w:numId w:val="1012"/>
        </w:numPr>
      </w:pPr>
      <w:r>
        <w:t xml:space="preserve">representation bias / non-representative samples</w:t>
      </w:r>
    </w:p>
    <w:p>
      <w:pPr>
        <w:pStyle w:val="Compact"/>
        <w:numPr>
          <w:ilvl w:val="0"/>
          <w:numId w:val="1012"/>
        </w:numPr>
      </w:pPr>
      <w:r>
        <w:t xml:space="preserve">measurement bias / unvalidated measurement instruments</w:t>
      </w:r>
    </w:p>
    <w:p>
      <w:pPr>
        <w:pStyle w:val="Compact"/>
        <w:numPr>
          <w:ilvl w:val="0"/>
          <w:numId w:val="1012"/>
        </w:numPr>
      </w:pPr>
      <w:r>
        <w:t xml:space="preserve">underspecification of portions of input space in training data</w:t>
      </w:r>
    </w:p>
    <w:p>
      <w:pPr>
        <w:pStyle w:val="Compact"/>
        <w:numPr>
          <w:ilvl w:val="0"/>
          <w:numId w:val="1012"/>
        </w:numPr>
      </w:pPr>
      <w:r>
        <w:t xml:space="preserve">transformation of data to optimize for</w:t>
      </w:r>
      <w:r>
        <w:t xml:space="preserve"> </w:t>
      </w:r>
      <w:r>
        <w:t xml:space="preserve">‘accuracy’</w:t>
      </w:r>
    </w:p>
    <w:p>
      <w:pPr>
        <w:pStyle w:val="Compact"/>
        <w:numPr>
          <w:ilvl w:val="0"/>
          <w:numId w:val="1012"/>
        </w:numPr>
      </w:pPr>
      <w:r>
        <w:t xml:space="preserve">lack of or poor dataset documentation</w:t>
      </w:r>
    </w:p>
    <w:p>
      <w:pPr>
        <w:pStyle w:val="FirstParagraph"/>
      </w:pPr>
      <w:r>
        <w:t xml:space="preserve">In other words, optimizing for predictive accuracy using very large</w:t>
      </w:r>
      <w:r>
        <w:t xml:space="preserve"> </w:t>
      </w:r>
      <w:r>
        <w:t xml:space="preserve">datasets does not</w:t>
      </w:r>
      <w:r>
        <w:t xml:space="preserve"> </w:t>
      </w:r>
      <w:r>
        <w:t xml:space="preserve">‘absolve’</w:t>
      </w:r>
      <w:r>
        <w:t xml:space="preserve"> </w:t>
      </w:r>
      <w:r>
        <w:t xml:space="preserve">researchers from having to consider the data</w:t>
      </w:r>
      <w:r>
        <w:t xml:space="preserve"> </w:t>
      </w:r>
      <w:r>
        <w:t xml:space="preserve">generating process. They note benefits that both machine learning and</w:t>
      </w:r>
      <w:r>
        <w:t xml:space="preserve"> </w:t>
      </w:r>
      <w:r>
        <w:t xml:space="preserve">psychology could gain by borrowing methods from each other, but note the</w:t>
      </w:r>
      <w:r>
        <w:t xml:space="preserve"> </w:t>
      </w:r>
      <w:r>
        <w:t xml:space="preserve">danger if these are misused. For the benefit of machine learning, there</w:t>
      </w:r>
      <w:r>
        <w:t xml:space="preserve"> </w:t>
      </w:r>
      <w:r>
        <w:t xml:space="preserve">are lessons to be learned from social science, and the replication</w:t>
      </w:r>
      <w:r>
        <w:t xml:space="preserve"> </w:t>
      </w:r>
      <w:r>
        <w:t xml:space="preserve">crisis. Among them are 1) collecting samples whose test/evaluation set</w:t>
      </w:r>
      <w:r>
        <w:t xml:space="preserve"> </w:t>
      </w:r>
      <w:r>
        <w:t xml:space="preserve">distributions are drawn from the same deployment distribution, and 2)</w:t>
      </w:r>
      <w:r>
        <w:t xml:space="preserve"> </w:t>
      </w:r>
      <w:r>
        <w:t xml:space="preserve">using valid measurement instruments.</w:t>
      </w:r>
    </w:p>
    <w:bookmarkEnd w:id="29"/>
    <w:bookmarkStart w:id="30" w:name="X188de4166ff301542691aba33b811f3b56b5fe2"/>
    <w:p>
      <w:pPr>
        <w:pStyle w:val="Heading3"/>
      </w:pPr>
      <w:r>
        <w:t xml:space="preserve">ML doesn’t treat annotation generating process as an instrument</w:t>
      </w:r>
    </w:p>
    <w:p>
      <w:pPr>
        <w:pStyle w:val="FirstParagraph"/>
      </w:pPr>
      <w:r>
        <w:t xml:space="preserve">Beck et al. (2022)</w:t>
      </w:r>
    </w:p>
    <w:p>
      <w:pPr>
        <w:pStyle w:val="Compact"/>
        <w:numPr>
          <w:ilvl w:val="0"/>
          <w:numId w:val="1013"/>
        </w:numPr>
      </w:pPr>
      <w:r>
        <w:t xml:space="preserve">annotation collection requires design thinking</w:t>
      </w:r>
    </w:p>
    <w:p>
      <w:pPr>
        <w:pStyle w:val="Compact"/>
        <w:numPr>
          <w:ilvl w:val="1"/>
          <w:numId w:val="1014"/>
        </w:numPr>
      </w:pPr>
      <w:r>
        <w:t xml:space="preserve">Task Structure: specific wording and response options, including</w:t>
      </w:r>
      <w:r>
        <w:t xml:space="preserve"> </w:t>
      </w:r>
      <w:r>
        <w:t xml:space="preserve">debates over the inclusion of</w:t>
      </w:r>
      <w:r>
        <w:t xml:space="preserve"> </w:t>
      </w:r>
      <w:r>
        <w:t xml:space="preserve">“I don’t Know”</w:t>
      </w:r>
      <w:r>
        <w:t xml:space="preserve"> </w:t>
      </w:r>
      <w:r>
        <w:t xml:space="preserve">option</w:t>
      </w:r>
    </w:p>
    <w:p>
      <w:pPr>
        <w:pStyle w:val="Compact"/>
        <w:numPr>
          <w:ilvl w:val="1"/>
          <w:numId w:val="1014"/>
        </w:numPr>
      </w:pPr>
      <w:r>
        <w:t xml:space="preserve">Order Effects: specific judgements are affected by previous</w:t>
      </w:r>
      <w:r>
        <w:t xml:space="preserve"> </w:t>
      </w:r>
      <w:r>
        <w:t xml:space="preserve">perceptions</w:t>
      </w:r>
    </w:p>
    <w:p>
      <w:pPr>
        <w:pStyle w:val="Compact"/>
        <w:numPr>
          <w:ilvl w:val="1"/>
          <w:numId w:val="1014"/>
        </w:numPr>
      </w:pPr>
      <w:r>
        <w:t xml:space="preserve">Annotator Effects: backgrounds, opinions, experiences of</w:t>
      </w:r>
      <w:r>
        <w:t xml:space="preserve"> </w:t>
      </w:r>
      <w:r>
        <w:t xml:space="preserve">respondents affect responses</w:t>
      </w:r>
    </w:p>
    <w:p>
      <w:pPr>
        <w:pStyle w:val="FirstParagraph"/>
      </w:pPr>
      <w:r>
        <w:t xml:space="preserve">Jacobs &amp; Wallach (2021)</w:t>
      </w:r>
    </w:p>
    <w:p>
      <w:pPr>
        <w:pStyle w:val="Compact"/>
        <w:numPr>
          <w:ilvl w:val="0"/>
          <w:numId w:val="1015"/>
        </w:numPr>
      </w:pPr>
      <w:r>
        <w:t xml:space="preserve">reliability: do similar inputs to a measurement model present</w:t>
      </w:r>
      <w:r>
        <w:t xml:space="preserve"> </w:t>
      </w:r>
      <w:r>
        <w:t xml:space="preserve">similar outputs?</w:t>
      </w:r>
    </w:p>
    <w:p>
      <w:pPr>
        <w:pStyle w:val="FirstParagraph"/>
      </w:pPr>
      <w:r>
        <w:t xml:space="preserve">test-retest: are measurements of an unobservable latent construct taken</w:t>
      </w:r>
      <w:r>
        <w:t xml:space="preserve"> </w:t>
      </w:r>
      <w:r>
        <w:t xml:space="preserve">at different times via a measurement model similar, assuming the</w:t>
      </w:r>
      <w:r>
        <w:t xml:space="preserve"> </w:t>
      </w:r>
      <w:r>
        <w:t xml:space="preserve">construct hasn’t changed?</w:t>
      </w:r>
    </w:p>
    <w:p>
      <w:pPr>
        <w:pStyle w:val="Compact"/>
        <w:numPr>
          <w:ilvl w:val="0"/>
          <w:numId w:val="1016"/>
        </w:numPr>
      </w:pPr>
      <w:r>
        <w:t xml:space="preserve">validity: is it</w:t>
      </w:r>
      <w:r>
        <w:t xml:space="preserve"> </w:t>
      </w:r>
      <w:r>
        <w:t xml:space="preserve">‘right’</w:t>
      </w:r>
      <w:r>
        <w:t xml:space="preserve">?</w:t>
      </w:r>
    </w:p>
    <w:p>
      <w:pPr>
        <w:pStyle w:val="FirstParagraph"/>
      </w:pPr>
      <w:r>
        <w:t xml:space="preserve">no single test for validity on purpose, because it requires thinking. do</w:t>
      </w:r>
      <w:r>
        <w:t xml:space="preserve"> </w:t>
      </w:r>
      <w:r>
        <w:t xml:space="preserve">our measurements:</w:t>
      </w:r>
    </w:p>
    <w:p>
      <w:pPr>
        <w:pStyle w:val="Compact"/>
        <w:numPr>
          <w:ilvl w:val="0"/>
          <w:numId w:val="1017"/>
        </w:numPr>
      </w:pPr>
      <w:r>
        <w:t xml:space="preserve">face validity: look plausible/ sensible?</w:t>
      </w:r>
    </w:p>
    <w:p>
      <w:pPr>
        <w:pStyle w:val="Compact"/>
        <w:numPr>
          <w:ilvl w:val="0"/>
          <w:numId w:val="1017"/>
        </w:numPr>
      </w:pPr>
      <w:r>
        <w:t xml:space="preserve">content validity: capture the construct?</w:t>
      </w:r>
    </w:p>
    <w:p>
      <w:pPr>
        <w:pStyle w:val="Compact"/>
        <w:numPr>
          <w:ilvl w:val="1"/>
          <w:numId w:val="1018"/>
        </w:numPr>
      </w:pPr>
      <w:r>
        <w:t xml:space="preserve">structural validity: show the inter-correlations we expect?</w:t>
      </w:r>
    </w:p>
    <w:p>
      <w:pPr>
        <w:pStyle w:val="Compact"/>
        <w:numPr>
          <w:ilvl w:val="1"/>
          <w:numId w:val="1018"/>
        </w:numPr>
      </w:pPr>
      <w:r>
        <w:t xml:space="preserve">substantive validity: capture only observable properties thought</w:t>
      </w:r>
      <w:r>
        <w:t xml:space="preserve"> </w:t>
      </w:r>
      <w:r>
        <w:t xml:space="preserve">to be related to the construct?</w:t>
      </w:r>
    </w:p>
    <w:p>
      <w:pPr>
        <w:pStyle w:val="Compact"/>
        <w:numPr>
          <w:ilvl w:val="0"/>
          <w:numId w:val="1017"/>
        </w:numPr>
      </w:pPr>
      <w:r>
        <w:t xml:space="preserve">convergent validity: show correlations with other validated methods?</w:t>
      </w:r>
    </w:p>
    <w:p>
      <w:pPr>
        <w:pStyle w:val="Compact"/>
        <w:numPr>
          <w:ilvl w:val="0"/>
          <w:numId w:val="1017"/>
        </w:numPr>
      </w:pPr>
      <w:r>
        <w:t xml:space="preserve">discriminant validity: show correlations with other</w:t>
      </w:r>
      <w:r>
        <w:t xml:space="preserve"> </w:t>
      </w:r>
      <w:r>
        <w:t xml:space="preserve">construct/properties thought not to be related to the construct?</w:t>
      </w:r>
    </w:p>
    <w:p>
      <w:pPr>
        <w:pStyle w:val="Compact"/>
        <w:numPr>
          <w:ilvl w:val="0"/>
          <w:numId w:val="1017"/>
        </w:numPr>
      </w:pPr>
      <w:r>
        <w:t xml:space="preserve">predictive validity: show correlations with constructs/properties</w:t>
      </w:r>
      <w:r>
        <w:t xml:space="preserve"> </w:t>
      </w:r>
      <w:r>
        <w:t xml:space="preserve">thought to be related, but not in the operationalization?</w:t>
      </w:r>
    </w:p>
    <w:p>
      <w:pPr>
        <w:pStyle w:val="Compact"/>
        <w:numPr>
          <w:ilvl w:val="0"/>
          <w:numId w:val="1017"/>
        </w:numPr>
      </w:pPr>
      <w:r>
        <w:t xml:space="preserve">hypothesis validity: shed light on relevant hypotheses about the</w:t>
      </w:r>
      <w:r>
        <w:t xml:space="preserve"> </w:t>
      </w:r>
      <w:r>
        <w:t xml:space="preserve">construct being measured?</w:t>
      </w:r>
    </w:p>
    <w:p>
      <w:pPr>
        <w:pStyle w:val="Compact"/>
        <w:numPr>
          <w:ilvl w:val="0"/>
          <w:numId w:val="1017"/>
        </w:numPr>
      </w:pPr>
      <w:r>
        <w:t xml:space="preserve">consequential validity: allow for the consequences obtained from the</w:t>
      </w:r>
      <w:r>
        <w:t xml:space="preserve"> </w:t>
      </w:r>
      <w:r>
        <w:t xml:space="preserve">measurement model to be assessed?</w:t>
      </w:r>
    </w:p>
    <w:bookmarkEnd w:id="30"/>
    <w:bookmarkStart w:id="31" w:name="ml-ignores-perspectives-of-annotators"/>
    <w:p>
      <w:pPr>
        <w:pStyle w:val="Heading3"/>
      </w:pPr>
      <w:r>
        <w:t xml:space="preserve">ML ignores perspectives of annotators</w:t>
      </w:r>
    </w:p>
    <w:p>
      <w:pPr>
        <w:pStyle w:val="FirstParagraph"/>
      </w:pPr>
      <w:r>
        <w:t xml:space="preserve">Cabitza et al. (2023)</w:t>
      </w:r>
      <w:r>
        <w:t xml:space="preserve">: whether the target of the annotation is a subjective</w:t>
      </w:r>
      <w:r>
        <w:t xml:space="preserve"> </w:t>
      </w:r>
      <w:r>
        <w:t xml:space="preserve">phenomenon or not, disagreement is always irreducible. Yet ML typically</w:t>
      </w:r>
      <w:r>
        <w:t xml:space="preserve"> </w:t>
      </w:r>
      <w:r>
        <w:t xml:space="preserve">assumes there is a single</w:t>
      </w:r>
      <w:r>
        <w:t xml:space="preserve"> </w:t>
      </w:r>
      <w:r>
        <w:t xml:space="preserve">‘ground truth’</w:t>
      </w:r>
      <w:r>
        <w:t xml:space="preserve">, and its best indicator is</w:t>
      </w:r>
      <w:r>
        <w:t xml:space="preserve"> </w:t>
      </w:r>
      <w:r>
        <w:t xml:space="preserve">inter-annotator agreement. But taking the perspectives of the annotators</w:t>
      </w:r>
      <w:r>
        <w:t xml:space="preserve"> </w:t>
      </w:r>
      <w:r>
        <w:t xml:space="preserve">into account, both in the data annotation but also the modelling phase</w:t>
      </w:r>
      <w:r>
        <w:t xml:space="preserve"> </w:t>
      </w:r>
      <w:r>
        <w:t xml:space="preserve">of ML projects has recently been shown to benefit ML modelling in a</w:t>
      </w:r>
      <w:r>
        <w:t xml:space="preserve"> </w:t>
      </w:r>
      <w:r>
        <w:t xml:space="preserve">number of contexts.</w:t>
      </w:r>
    </w:p>
    <w:p>
      <w:pPr>
        <w:pStyle w:val="BodyText"/>
      </w:pPr>
      <w:r>
        <w:t xml:space="preserve">weak perspectivist approach: taking perspectives into account while</w:t>
      </w:r>
      <w:r>
        <w:t xml:space="preserve"> </w:t>
      </w:r>
      <w:r>
        <w:t xml:space="preserve">designing and collecting annotations, but ultimately reducing</w:t>
      </w:r>
      <w:r>
        <w:t xml:space="preserve"> </w:t>
      </w:r>
      <w:r>
        <w:t xml:space="preserve">annotations to a single label or rating.</w:t>
      </w:r>
    </w:p>
    <w:p>
      <w:pPr>
        <w:pStyle w:val="BodyText"/>
      </w:pPr>
      <w:r>
        <w:t xml:space="preserve">strong perspectivist approach: taking perspectives into account for</w:t>
      </w:r>
      <w:r>
        <w:t xml:space="preserve"> </w:t>
      </w:r>
      <w:r>
        <w:t xml:space="preserve">ground truthing and modelling phases.</w:t>
      </w:r>
    </w:p>
    <w:p>
      <w:pPr>
        <w:pStyle w:val="BodyText"/>
      </w:pPr>
      <w:r>
        <w:t xml:space="preserve">benefits of this approach:</w:t>
      </w:r>
    </w:p>
    <w:p>
      <w:pPr>
        <w:numPr>
          <w:ilvl w:val="0"/>
          <w:numId w:val="1019"/>
        </w:numPr>
      </w:pPr>
      <w:r>
        <w:t xml:space="preserve">is congruent with the reality of collecting annotations</w:t>
      </w:r>
    </w:p>
    <w:p>
      <w:pPr>
        <w:numPr>
          <w:ilvl w:val="0"/>
          <w:numId w:val="1019"/>
        </w:numPr>
      </w:pPr>
      <w:r>
        <w:t xml:space="preserve">includes the signal in the variance of labels or ratings</w:t>
      </w:r>
    </w:p>
    <w:p>
      <w:pPr>
        <w:numPr>
          <w:ilvl w:val="0"/>
          <w:numId w:val="1019"/>
        </w:numPr>
      </w:pPr>
      <w:r>
        <w:t xml:space="preserve">avoids majority group perspective appearing to be</w:t>
      </w:r>
      <w:r>
        <w:t xml:space="preserve"> </w:t>
      </w:r>
      <w:r>
        <w:t xml:space="preserve">‘objective’</w:t>
      </w:r>
    </w:p>
    <w:p>
      <w:pPr>
        <w:numPr>
          <w:ilvl w:val="0"/>
          <w:numId w:val="1019"/>
        </w:numPr>
      </w:pPr>
      <w:r>
        <w:t xml:space="preserve">allows for the modelling of human errors and variances</w:t>
      </w:r>
    </w:p>
    <w:p>
      <w:pPr>
        <w:numPr>
          <w:ilvl w:val="0"/>
          <w:numId w:val="1019"/>
        </w:numPr>
      </w:pPr>
      <w:r>
        <w:t xml:space="preserve">allows for uncertain, fuzzy, or soft model development</w:t>
      </w:r>
    </w:p>
    <w:p>
      <w:pPr>
        <w:numPr>
          <w:ilvl w:val="0"/>
          <w:numId w:val="1019"/>
        </w:numPr>
      </w:pPr>
      <w:r>
        <w:t xml:space="preserve">more complete report of the data generating process, as it also</w:t>
      </w:r>
      <w:r>
        <w:t xml:space="preserve"> </w:t>
      </w:r>
      <w:r>
        <w:t xml:space="preserve">reports uncertainty</w:t>
      </w:r>
    </w:p>
    <w:p>
      <w:pPr>
        <w:pStyle w:val="FirstParagraph"/>
      </w:pPr>
      <w:r>
        <w:t xml:space="preserve">downsides:</w:t>
      </w:r>
    </w:p>
    <w:p>
      <w:pPr>
        <w:numPr>
          <w:ilvl w:val="0"/>
          <w:numId w:val="1020"/>
        </w:numPr>
      </w:pPr>
      <w:r>
        <w:t xml:space="preserve">multiple raters, and therefore costs/time/rater availability are</w:t>
      </w:r>
      <w:r>
        <w:t xml:space="preserve"> </w:t>
      </w:r>
      <w:r>
        <w:t xml:space="preserve">issues</w:t>
      </w:r>
    </w:p>
    <w:p>
      <w:pPr>
        <w:numPr>
          <w:ilvl w:val="0"/>
          <w:numId w:val="1020"/>
        </w:numPr>
      </w:pPr>
      <w:r>
        <w:t xml:space="preserve">need for perspectivist ML approaches</w:t>
      </w:r>
    </w:p>
    <w:p>
      <w:pPr>
        <w:numPr>
          <w:ilvl w:val="0"/>
          <w:numId w:val="1020"/>
        </w:numPr>
      </w:pPr>
      <w:r>
        <w:t xml:space="preserve">validation becomes more challenging</w:t>
      </w:r>
    </w:p>
    <w:p>
      <w:pPr>
        <w:pStyle w:val="FirstParagraph"/>
      </w:pPr>
      <w:r>
        <w:t xml:space="preserve">recommendations:</w:t>
      </w:r>
    </w:p>
    <w:p>
      <w:pPr>
        <w:numPr>
          <w:ilvl w:val="0"/>
          <w:numId w:val="1021"/>
        </w:numPr>
      </w:pPr>
      <w:r>
        <w:t xml:space="preserve">complete labeling schemes, including</w:t>
      </w:r>
      <w:r>
        <w:t xml:space="preserve"> </w:t>
      </w:r>
      <w:r>
        <w:t xml:space="preserve">‘i don’t know’</w:t>
      </w:r>
      <w:r>
        <w:t xml:space="preserve">,</w:t>
      </w:r>
      <w:r>
        <w:t xml:space="preserve"> </w:t>
      </w:r>
      <w:r>
        <w:t xml:space="preserve">‘none of these’</w:t>
      </w:r>
      <w:r>
        <w:t xml:space="preserve"> </w:t>
      </w:r>
      <w:r>
        <w:t xml:space="preserve">etc. categories, and the ability to express issues with label set</w:t>
      </w:r>
    </w:p>
    <w:p>
      <w:pPr>
        <w:numPr>
          <w:ilvl w:val="0"/>
          <w:numId w:val="1021"/>
        </w:numPr>
      </w:pPr>
      <w:r>
        <w:t xml:space="preserve">enough raters</w:t>
      </w:r>
    </w:p>
    <w:p>
      <w:pPr>
        <w:numPr>
          <w:ilvl w:val="0"/>
          <w:numId w:val="1021"/>
        </w:numPr>
      </w:pPr>
      <w:r>
        <w:t xml:space="preserve">heterogenous raters</w:t>
      </w:r>
    </w:p>
    <w:p>
      <w:pPr>
        <w:numPr>
          <w:ilvl w:val="0"/>
          <w:numId w:val="1021"/>
        </w:numPr>
      </w:pPr>
      <w:r>
        <w:t xml:space="preserve">adequate reporting:</w:t>
      </w:r>
    </w:p>
    <w:p>
      <w:pPr>
        <w:numPr>
          <w:ilvl w:val="1"/>
          <w:numId w:val="1022"/>
        </w:numPr>
      </w:pPr>
      <w:r>
        <w:t xml:space="preserve">number of raters,</w:t>
      </w:r>
    </w:p>
    <w:p>
      <w:pPr>
        <w:numPr>
          <w:ilvl w:val="1"/>
          <w:numId w:val="1022"/>
        </w:numPr>
      </w:pPr>
      <w:r>
        <w:t xml:space="preserve">rater expertise</w:t>
      </w:r>
    </w:p>
    <w:p>
      <w:pPr>
        <w:numPr>
          <w:ilvl w:val="1"/>
          <w:numId w:val="1022"/>
        </w:numPr>
      </w:pPr>
      <w:r>
        <w:t xml:space="preserve">incentive</w:t>
      </w:r>
    </w:p>
    <w:p>
      <w:pPr>
        <w:numPr>
          <w:ilvl w:val="1"/>
          <w:numId w:val="1022"/>
        </w:numPr>
      </w:pPr>
      <w:r>
        <w:t xml:space="preserve">instructions</w:t>
      </w:r>
    </w:p>
    <w:p>
      <w:pPr>
        <w:numPr>
          <w:ilvl w:val="1"/>
          <w:numId w:val="1022"/>
        </w:numPr>
      </w:pPr>
      <w:r>
        <w:t xml:space="preserve">length of time for labelling</w:t>
      </w:r>
    </w:p>
    <w:p>
      <w:pPr>
        <w:numPr>
          <w:ilvl w:val="1"/>
          <w:numId w:val="1022"/>
        </w:numPr>
      </w:pPr>
      <w:r>
        <w:t xml:space="preserve">inter rater agreement</w:t>
      </w:r>
    </w:p>
    <w:p>
      <w:pPr>
        <w:numPr>
          <w:ilvl w:val="1"/>
          <w:numId w:val="1022"/>
        </w:numPr>
      </w:pPr>
      <w:r>
        <w:t xml:space="preserve">aggregation method</w:t>
      </w:r>
    </w:p>
    <w:p>
      <w:pPr>
        <w:numPr>
          <w:ilvl w:val="1"/>
          <w:numId w:val="1022"/>
        </w:numPr>
      </w:pPr>
      <w:r>
        <w:t xml:space="preserve">confidence</w:t>
      </w:r>
    </w:p>
    <w:bookmarkEnd w:id="31"/>
    <w:bookmarkEnd w:id="32"/>
    <w:bookmarkEnd w:id="33"/>
    <w:bookmarkStart w:id="44" w:name="tools-from-social-science-can-help"/>
    <w:p>
      <w:pPr>
        <w:pStyle w:val="Heading1"/>
      </w:pPr>
      <w:r>
        <w:t xml:space="preserve">Tools from Social Science can help</w:t>
      </w:r>
    </w:p>
    <w:p>
      <w:pPr>
        <w:pStyle w:val="FirstParagraph"/>
      </w:pPr>
      <w:r>
        <w:t xml:space="preserve">Recent trends—especially in deep learning—prioritize empirical</w:t>
      </w:r>
      <w:r>
        <w:t xml:space="preserve"> </w:t>
      </w:r>
      <w:r>
        <w:t xml:space="preserve">performance over theoretical assumptions about the data generating</w:t>
      </w:r>
      <w:r>
        <w:t xml:space="preserve"> </w:t>
      </w:r>
      <w:r>
        <w:t xml:space="preserve">process. A systematic analysis of highly cited ML works shows that</w:t>
      </w:r>
      <w:r>
        <w:t xml:space="preserve"> </w:t>
      </w:r>
      <w:r>
        <w:t xml:space="preserve">Performance, Generalization, Quantitative evidence, Efficiency, Building</w:t>
      </w:r>
      <w:r>
        <w:t xml:space="preserve"> </w:t>
      </w:r>
      <w:r>
        <w:t xml:space="preserve">on past work, and Novelty are the primary values in ML work</w:t>
      </w:r>
      <w:r>
        <w:t xml:space="preserve"> </w:t>
      </w:r>
      <w:r>
        <w:t xml:space="preserve">Birhane et al. (2022)</w:t>
      </w:r>
      <w:r>
        <w:t xml:space="preserve">.</w:t>
      </w:r>
    </w:p>
    <w:p>
      <w:pPr>
        <w:pStyle w:val="BodyText"/>
      </w:pPr>
      <w:r>
        <w:t xml:space="preserve">Unlike the social sciences (e.g. psychology), ML work ignores attempts</w:t>
      </w:r>
      <w:r>
        <w:t xml:space="preserve"> </w:t>
      </w:r>
      <w:r>
        <w:t xml:space="preserve">to model the process that gives rise to the data, assuming it cannot be</w:t>
      </w:r>
      <w:r>
        <w:t xml:space="preserve"> </w:t>
      </w:r>
      <w:r>
        <w:t xml:space="preserve">learned, and aims instead at predictors that will within estimable error</w:t>
      </w:r>
      <w:r>
        <w:t xml:space="preserve"> </w:t>
      </w:r>
      <w:r>
        <w:t xml:space="preserve">bounds</w:t>
      </w:r>
      <w:r>
        <w:t xml:space="preserve"> </w:t>
      </w:r>
      <w:r>
        <w:t xml:space="preserve">Hullman et al. (2022)</w:t>
      </w:r>
      <w:r>
        <w:t xml:space="preserve">. This is problematic as this kind of</w:t>
      </w:r>
      <w:r>
        <w:t xml:space="preserve"> </w:t>
      </w:r>
      <w:r>
        <w:t xml:space="preserve">optimization doesn’t resemble real world deployment.</w:t>
      </w:r>
    </w:p>
    <w:bookmarkStart w:id="37" w:name="Xbfbd82659500b35984ccb573d092454a00e9300"/>
    <w:p>
      <w:pPr>
        <w:pStyle w:val="Heading3"/>
      </w:pPr>
      <w:r>
        <w:t xml:space="preserve">Social and computational sciences have different focci</w:t>
      </w:r>
    </w:p>
    <w:p>
      <w:pPr>
        <w:pStyle w:val="FirstParagraph"/>
      </w:pPr>
      <w:r>
        <w:t xml:space="preserve">social sciences:</w:t>
      </w:r>
    </w:p>
    <w:p>
      <w:pPr>
        <w:pStyle w:val="Compact"/>
        <w:numPr>
          <w:ilvl w:val="0"/>
          <w:numId w:val="1023"/>
        </w:numPr>
      </w:pPr>
      <w:r>
        <w:t xml:space="preserve">interpretable meaning of x and y</w:t>
      </w:r>
    </w:p>
    <w:p>
      <w:pPr>
        <w:pStyle w:val="Compact"/>
        <w:numPr>
          <w:ilvl w:val="0"/>
          <w:numId w:val="1023"/>
        </w:numPr>
      </w:pPr>
      <w:r>
        <w:t xml:space="preserve">design is informed by theory</w:t>
      </w:r>
    </w:p>
    <w:p>
      <w:pPr>
        <w:pStyle w:val="FirstParagraph"/>
      </w:pPr>
      <w:r>
        <w:t xml:space="preserve">computational sciences:</w:t>
      </w:r>
    </w:p>
    <w:p>
      <w:pPr>
        <w:pStyle w:val="Compact"/>
        <w:numPr>
          <w:ilvl w:val="0"/>
          <w:numId w:val="1024"/>
        </w:numPr>
      </w:pPr>
      <w:r>
        <w:t xml:space="preserve">learning procedure f(x)</w:t>
      </w:r>
    </w:p>
    <w:p>
      <w:pPr>
        <w:pStyle w:val="FirstParagraph"/>
      </w:pPr>
      <w:r>
        <w:drawing>
          <wp:inline>
            <wp:extent cx="5334000" cy="6484841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Liem_2018_figure_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84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Fig. 1:</w:t>
      </w:r>
      <w:r>
        <w:t xml:space="preserve"> </w:t>
      </w:r>
      <w:r>
        <w:t xml:space="preserve">Liem et al. (2018)</w:t>
      </w:r>
    </w:p>
    <w:bookmarkEnd w:id="37"/>
    <w:bookmarkStart w:id="38" w:name="issues-with-sampling"/>
    <w:p>
      <w:pPr>
        <w:pStyle w:val="Heading3"/>
      </w:pPr>
      <w:r>
        <w:t xml:space="preserve">Issues with sampling</w:t>
      </w:r>
    </w:p>
    <w:p>
      <w:pPr>
        <w:pStyle w:val="FirstParagraph"/>
      </w:pPr>
      <w:r>
        <w:t xml:space="preserve">Solutions to sampling problems can come from sampling theory:</w:t>
      </w:r>
      <w:r>
        <w:t xml:space="preserve"> </w:t>
      </w:r>
      <w:r>
        <w:t xml:space="preserve">Groves et al. (2009)</w:t>
      </w:r>
    </w:p>
    <w:p>
      <w:pPr>
        <w:pStyle w:val="BodyText"/>
      </w:pPr>
      <w:r>
        <w:t xml:space="preserve">considerations:</w:t>
      </w:r>
    </w:p>
    <w:p>
      <w:pPr>
        <w:pStyle w:val="Compact"/>
        <w:numPr>
          <w:ilvl w:val="0"/>
          <w:numId w:val="1025"/>
        </w:numPr>
      </w:pPr>
      <w:r>
        <w:t xml:space="preserve">sampling frame: the elements in from populations that you have</w:t>
      </w:r>
      <w:r>
        <w:t xml:space="preserve"> </w:t>
      </w:r>
      <w:r>
        <w:t xml:space="preserve">access to</w:t>
      </w:r>
    </w:p>
    <w:p>
      <w:pPr>
        <w:pStyle w:val="Compact"/>
        <w:numPr>
          <w:ilvl w:val="0"/>
          <w:numId w:val="1025"/>
        </w:numPr>
      </w:pPr>
      <w:r>
        <w:t xml:space="preserve">ineligible units: elements in the sampling frame that are not your</w:t>
      </w:r>
      <w:r>
        <w:t xml:space="preserve"> </w:t>
      </w:r>
      <w:r>
        <w:t xml:space="preserve">target</w:t>
      </w:r>
    </w:p>
    <w:p>
      <w:pPr>
        <w:pStyle w:val="Compact"/>
        <w:numPr>
          <w:ilvl w:val="0"/>
          <w:numId w:val="1025"/>
        </w:numPr>
      </w:pPr>
      <w:r>
        <w:t xml:space="preserve">undercoverage: elements from target population that are not in the</w:t>
      </w:r>
      <w:r>
        <w:t xml:space="preserve"> </w:t>
      </w:r>
      <w:r>
        <w:t xml:space="preserve">frame</w:t>
      </w:r>
    </w:p>
    <w:p>
      <w:pPr>
        <w:pStyle w:val="FirstParagraph"/>
      </w:pPr>
      <w:r>
        <w:t xml:space="preserve">solutions:</w:t>
      </w:r>
    </w:p>
    <w:p>
      <w:pPr>
        <w:pStyle w:val="Compact"/>
        <w:numPr>
          <w:ilvl w:val="0"/>
          <w:numId w:val="1026"/>
        </w:numPr>
      </w:pPr>
      <w:r>
        <w:t xml:space="preserve">stratified sampling</w:t>
      </w:r>
    </w:p>
    <w:bookmarkEnd w:id="38"/>
    <w:bookmarkStart w:id="39" w:name="issues-with-instruments"/>
    <w:p>
      <w:pPr>
        <w:pStyle w:val="Heading3"/>
      </w:pPr>
      <w:r>
        <w:t xml:space="preserve">Issues with instruments</w:t>
      </w:r>
    </w:p>
    <w:p>
      <w:pPr>
        <w:pStyle w:val="FirstParagraph"/>
      </w:pPr>
      <w:r>
        <w:t xml:space="preserve">Beck et al. (2022)</w:t>
      </w:r>
    </w:p>
    <w:p>
      <w:pPr>
        <w:pStyle w:val="Compact"/>
        <w:numPr>
          <w:ilvl w:val="0"/>
          <w:numId w:val="1027"/>
        </w:numPr>
      </w:pPr>
      <w:r>
        <w:t xml:space="preserve">annotation collection requires design thinking</w:t>
      </w:r>
    </w:p>
    <w:p>
      <w:pPr>
        <w:pStyle w:val="Compact"/>
        <w:numPr>
          <w:ilvl w:val="1"/>
          <w:numId w:val="1028"/>
        </w:numPr>
      </w:pPr>
      <w:r>
        <w:t xml:space="preserve">Task Structure: specific wording and response options, including</w:t>
      </w:r>
      <w:r>
        <w:t xml:space="preserve"> </w:t>
      </w:r>
      <w:r>
        <w:t xml:space="preserve">debates over the inclusion of</w:t>
      </w:r>
      <w:r>
        <w:t xml:space="preserve"> </w:t>
      </w:r>
      <w:r>
        <w:t xml:space="preserve">“I don’t Know”</w:t>
      </w:r>
      <w:r>
        <w:t xml:space="preserve"> </w:t>
      </w:r>
      <w:r>
        <w:t xml:space="preserve">option</w:t>
      </w:r>
    </w:p>
    <w:p>
      <w:pPr>
        <w:pStyle w:val="Compact"/>
        <w:numPr>
          <w:ilvl w:val="1"/>
          <w:numId w:val="1028"/>
        </w:numPr>
      </w:pPr>
      <w:r>
        <w:t xml:space="preserve">Order Effects: specific judgements are affected by previous</w:t>
      </w:r>
      <w:r>
        <w:t xml:space="preserve"> </w:t>
      </w:r>
      <w:r>
        <w:t xml:space="preserve">perceptions</w:t>
      </w:r>
    </w:p>
    <w:p>
      <w:pPr>
        <w:pStyle w:val="Compact"/>
        <w:numPr>
          <w:ilvl w:val="1"/>
          <w:numId w:val="1028"/>
        </w:numPr>
      </w:pPr>
      <w:r>
        <w:t xml:space="preserve">Annotator Effects: backgrounds, opinions, experiences of</w:t>
      </w:r>
      <w:r>
        <w:t xml:space="preserve"> </w:t>
      </w:r>
      <w:r>
        <w:t xml:space="preserve">respondents affect responses</w:t>
      </w:r>
    </w:p>
    <w:p>
      <w:pPr>
        <w:pStyle w:val="FirstParagraph"/>
      </w:pPr>
      <w:r>
        <w:t xml:space="preserve">[another ref that describes the target as a latent variable]</w:t>
      </w:r>
    </w:p>
    <w:bookmarkEnd w:id="39"/>
    <w:bookmarkStart w:id="43" w:name="X79fa36f702dcf6bc2aa10a97b43cc7fdbb800f3"/>
    <w:p>
      <w:pPr>
        <w:pStyle w:val="Heading3"/>
      </w:pPr>
      <w:r>
        <w:t xml:space="preserve">A tale of two studies: the case of personnel selection</w:t>
      </w:r>
    </w:p>
    <w:p>
      <w:pPr>
        <w:pStyle w:val="FirstParagraph"/>
      </w:pPr>
      <w:r>
        <w:t xml:space="preserve">Ponce-López et al. (2016)</w:t>
      </w:r>
    </w:p>
    <w:p>
      <w:pPr>
        <w:pStyle w:val="Compact"/>
        <w:numPr>
          <w:ilvl w:val="0"/>
          <w:numId w:val="1029"/>
        </w:numPr>
      </w:pPr>
      <w:r>
        <w:t xml:space="preserve">efficient way to gather media and annotation data</w:t>
      </w:r>
    </w:p>
    <w:p>
      <w:pPr>
        <w:pStyle w:val="Compact"/>
        <w:numPr>
          <w:ilvl w:val="0"/>
          <w:numId w:val="1029"/>
        </w:numPr>
      </w:pPr>
      <w:r>
        <w:t xml:space="preserve">BUT no validation of instrument, or ecologically valid media data</w:t>
      </w:r>
    </w:p>
    <w:p>
      <w:pPr>
        <w:pStyle w:val="Compact"/>
        <w:numPr>
          <w:ilvl w:val="0"/>
          <w:numId w:val="1029"/>
        </w:numPr>
      </w:pPr>
      <w:r>
        <w:t xml:space="preserve">distribution of training /eval data don’t come from the target</w:t>
      </w:r>
      <w:r>
        <w:t xml:space="preserve"> </w:t>
      </w:r>
      <w:r>
        <w:t xml:space="preserve">distribution</w:t>
      </w:r>
    </w:p>
    <w:p>
      <w:pPr>
        <w:pStyle w:val="FirstParagraph"/>
      </w:pPr>
      <w:r>
        <w:drawing>
          <wp:inline>
            <wp:extent cx="5334000" cy="449455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s/Ponce_Lopez_2016_figure_2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4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Figure 2:</w:t>
      </w:r>
      <w:r>
        <w:t xml:space="preserve"> </w:t>
      </w:r>
      <w:r>
        <w:t xml:space="preserve">Ponce-López et al. (2016)</w:t>
      </w:r>
    </w:p>
    <w:p>
      <w:pPr>
        <w:pStyle w:val="BodyText"/>
      </w:pPr>
      <w:r>
        <w:t xml:space="preserve">Compared to</w:t>
      </w:r>
      <w:r>
        <w:t xml:space="preserve"> </w:t>
      </w:r>
      <w:r>
        <w:t xml:space="preserve">Koutsoumpis et al. (2024)</w:t>
      </w:r>
      <w:r>
        <w:t xml:space="preserve">:</w:t>
      </w:r>
    </w:p>
    <w:p>
      <w:pPr>
        <w:pStyle w:val="Compact"/>
        <w:numPr>
          <w:ilvl w:val="0"/>
          <w:numId w:val="1030"/>
        </w:numPr>
      </w:pPr>
      <w:r>
        <w:t xml:space="preserve">ecological validity: media data was mock asynchronous video</w:t>
      </w:r>
      <w:r>
        <w:t xml:space="preserve"> </w:t>
      </w:r>
      <w:r>
        <w:t xml:space="preserve">interviews</w:t>
      </w:r>
    </w:p>
    <w:p>
      <w:pPr>
        <w:pStyle w:val="Compact"/>
        <w:numPr>
          <w:ilvl w:val="0"/>
          <w:numId w:val="1030"/>
        </w:numPr>
      </w:pPr>
      <w:r>
        <w:t xml:space="preserve">ecological validity: interview questions designed to activate</w:t>
      </w:r>
      <w:r>
        <w:t xml:space="preserve"> </w:t>
      </w:r>
      <w:r>
        <w:t xml:space="preserve">personality facets</w:t>
      </w:r>
    </w:p>
    <w:p>
      <w:pPr>
        <w:pStyle w:val="Compact"/>
        <w:numPr>
          <w:ilvl w:val="0"/>
          <w:numId w:val="1030"/>
        </w:numPr>
      </w:pPr>
      <w:r>
        <w:t xml:space="preserve">personality instruments: validated HEXACO scale</w:t>
      </w:r>
    </w:p>
    <w:p>
      <w:pPr>
        <w:pStyle w:val="Compact"/>
        <w:numPr>
          <w:ilvl w:val="0"/>
          <w:numId w:val="1030"/>
        </w:numPr>
      </w:pPr>
      <w:r>
        <w:t xml:space="preserve">perspectives: self &amp; observer ratings</w:t>
      </w:r>
    </w:p>
    <w:bookmarkEnd w:id="43"/>
    <w:bookmarkEnd w:id="44"/>
    <w:bookmarkStart w:id="66" w:name="present-work-1"/>
    <w:p>
      <w:pPr>
        <w:pStyle w:val="Heading1"/>
      </w:pPr>
      <w:r>
        <w:t xml:space="preserve">Present Work</w:t>
      </w:r>
    </w:p>
    <w:p>
      <w:pPr>
        <w:pStyle w:val="FirstParagraph"/>
      </w:pPr>
      <w:r>
        <w:t xml:space="preserve">We incorporate these considerations in the design of our study, and</w:t>
      </w:r>
      <w:r>
        <w:t xml:space="preserve"> </w:t>
      </w:r>
      <w:r>
        <w:t xml:space="preserve">attempt to further the field in the following ways:</w:t>
      </w:r>
    </w:p>
    <w:p>
      <w:pPr>
        <w:pStyle w:val="Compact"/>
        <w:numPr>
          <w:ilvl w:val="0"/>
          <w:numId w:val="1031"/>
        </w:numPr>
      </w:pPr>
      <w:r>
        <w:t xml:space="preserve">we attempt representative sampling of both media and respondents</w:t>
      </w:r>
    </w:p>
    <w:p>
      <w:pPr>
        <w:pStyle w:val="Compact"/>
        <w:numPr>
          <w:ilvl w:val="0"/>
          <w:numId w:val="1031"/>
        </w:numPr>
      </w:pPr>
      <w:r>
        <w:t xml:space="preserve">we aim to estimate 10-dimensional psychological construct</w:t>
      </w:r>
    </w:p>
    <w:p>
      <w:pPr>
        <w:pStyle w:val="Compact"/>
        <w:numPr>
          <w:ilvl w:val="0"/>
          <w:numId w:val="1031"/>
        </w:numPr>
      </w:pPr>
      <w:r>
        <w:t xml:space="preserve">we select media that is ambiguous (i.e. that will result in</w:t>
      </w:r>
      <w:r>
        <w:t xml:space="preserve"> </w:t>
      </w:r>
      <w:r>
        <w:t xml:space="preserve">subjectivity in the ratings) as well as media that we expect not to</w:t>
      </w:r>
      <w:r>
        <w:t xml:space="preserve"> </w:t>
      </w:r>
      <w:r>
        <w:t xml:space="preserve">be ambiguous for comparison</w:t>
      </w:r>
    </w:p>
    <w:p>
      <w:pPr>
        <w:pStyle w:val="Compact"/>
        <w:numPr>
          <w:ilvl w:val="0"/>
          <w:numId w:val="1031"/>
        </w:numPr>
      </w:pPr>
      <w:r>
        <w:t xml:space="preserve">we estimate a-priori the number of ratings necessary rather than</w:t>
      </w:r>
      <w:r>
        <w:t xml:space="preserve"> </w:t>
      </w:r>
      <w:r>
        <w:t xml:space="preserve">assuming</w:t>
      </w:r>
    </w:p>
    <w:p>
      <w:pPr>
        <w:pStyle w:val="Compact"/>
        <w:numPr>
          <w:ilvl w:val="0"/>
          <w:numId w:val="1031"/>
        </w:numPr>
      </w:pPr>
      <w:r>
        <w:t xml:space="preserve">we take into account perspectives</w:t>
      </w:r>
    </w:p>
    <w:p>
      <w:pPr>
        <w:pStyle w:val="FirstParagraph"/>
      </w:pPr>
      <w:r>
        <w:t xml:space="preserve">case study of this thesis works towards path (b) in</w:t>
      </w:r>
      <w:r>
        <w:t xml:space="preserve"> </w:t>
      </w:r>
      <w:r>
        <w:t xml:space="preserve">Liem et al. (2018)</w:t>
      </w:r>
      <w:r>
        <w:t xml:space="preserve"> </w:t>
      </w:r>
      <w:r>
        <w:t xml:space="preserve">shown in:</w:t>
      </w:r>
      <w:r>
        <w:t xml:space="preserve"> </w:t>
      </w:r>
      <w:r>
        <w:drawing>
          <wp:inline>
            <wp:extent cx="5334000" cy="450804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Liem_2018_figure_2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8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5" w:name="references"/>
    <w:p>
      <w:pPr>
        <w:pStyle w:val="Heading2"/>
      </w:pPr>
      <w:r>
        <w:t xml:space="preserve">References</w:t>
      </w:r>
    </w:p>
    <w:bookmarkStart w:id="64" w:name="refs"/>
    <w:bookmarkStart w:id="48" w:name="ref-aroyo2015truth"/>
    <w:p>
      <w:pPr>
        <w:pStyle w:val="Bibliography"/>
      </w:pPr>
      <w:r>
        <w:t xml:space="preserve">Aroyo, L., &amp; Welty, C. (2015). Truth is a lie: Crowd truth and the seven myths of human annotation.</w:t>
      </w:r>
      <w:r>
        <w:t xml:space="preserve"> </w:t>
      </w:r>
      <w:r>
        <w:rPr>
          <w:i/>
          <w:iCs/>
        </w:rPr>
        <w:t xml:space="preserve">AI Magazine</w:t>
      </w:r>
      <w:r>
        <w:t xml:space="preserve">,</w:t>
      </w:r>
      <w:r>
        <w:t xml:space="preserve"> </w:t>
      </w:r>
      <w:r>
        <w:rPr>
          <w:i/>
          <w:iCs/>
        </w:rPr>
        <w:t xml:space="preserve">36</w:t>
      </w:r>
      <w:r>
        <w:t xml:space="preserve">(1), 15–24.</w:t>
      </w:r>
    </w:p>
    <w:bookmarkEnd w:id="48"/>
    <w:bookmarkStart w:id="49" w:name="ref-artstein2008inter"/>
    <w:p>
      <w:pPr>
        <w:pStyle w:val="Bibliography"/>
      </w:pPr>
      <w:r>
        <w:t xml:space="preserve">Artstein, R., &amp; Poesio, M. (2008). Inter-coder agreement for computational linguistics.</w:t>
      </w:r>
      <w:r>
        <w:t xml:space="preserve"> </w:t>
      </w:r>
      <w:r>
        <w:rPr>
          <w:i/>
          <w:iCs/>
        </w:rPr>
        <w:t xml:space="preserve">Computational Linguistics</w:t>
      </w:r>
      <w:r>
        <w:t xml:space="preserve">,</w:t>
      </w:r>
      <w:r>
        <w:t xml:space="preserve"> </w:t>
      </w:r>
      <w:r>
        <w:rPr>
          <w:i/>
          <w:iCs/>
        </w:rPr>
        <w:t xml:space="preserve">34</w:t>
      </w:r>
      <w:r>
        <w:t xml:space="preserve">(4), 555–596.</w:t>
      </w:r>
    </w:p>
    <w:bookmarkEnd w:id="49"/>
    <w:bookmarkStart w:id="50" w:name="ref-beck2022improving"/>
    <w:p>
      <w:pPr>
        <w:pStyle w:val="Bibliography"/>
      </w:pPr>
      <w:r>
        <w:t xml:space="preserve">Beck, J., Eckman, S., Chew, R., &amp; Kreuter, F. (2022). Improving labeling through social science insights: Results and research agenda.</w:t>
      </w:r>
      <w:r>
        <w:t xml:space="preserve"> </w:t>
      </w:r>
      <w:r>
        <w:rPr>
          <w:i/>
          <w:iCs/>
        </w:rPr>
        <w:t xml:space="preserve">International Conference on Human-Computer Interaction</w:t>
      </w:r>
      <w:r>
        <w:t xml:space="preserve">, 245–261.</w:t>
      </w:r>
    </w:p>
    <w:bookmarkEnd w:id="50"/>
    <w:bookmarkStart w:id="51" w:name="ref-birhane2022values"/>
    <w:p>
      <w:pPr>
        <w:pStyle w:val="Bibliography"/>
      </w:pPr>
      <w:r>
        <w:t xml:space="preserve">Birhane, A., Kalluri, P., Card, D., Agnew, W., Dotan, R., &amp; Bao, M. (2022). The values encoded in machine learning research.</w:t>
      </w:r>
      <w:r>
        <w:t xml:space="preserve"> </w:t>
      </w:r>
      <w:r>
        <w:rPr>
          <w:i/>
          <w:iCs/>
        </w:rPr>
        <w:t xml:space="preserve">Proceedings of the 2022 ACM Conference on Fairness, Accountability, and Transparency</w:t>
      </w:r>
      <w:r>
        <w:t xml:space="preserve">, 173–184.</w:t>
      </w:r>
    </w:p>
    <w:bookmarkEnd w:id="51"/>
    <w:bookmarkStart w:id="52" w:name="ref-cabitza2023toward"/>
    <w:p>
      <w:pPr>
        <w:pStyle w:val="Bibliography"/>
      </w:pPr>
      <w:r>
        <w:t xml:space="preserve">Cabitza, F., Campagner, A., &amp; Basile, V. (2023). Toward a perspectivist turn in ground truthing for predictive computing.</w:t>
      </w:r>
      <w:r>
        <w:t xml:space="preserve"> </w:t>
      </w:r>
      <w:r>
        <w:rPr>
          <w:i/>
          <w:iCs/>
        </w:rPr>
        <w:t xml:space="preserve">Proceedings of the AAAI Conference on Artificial Intelligence</w:t>
      </w:r>
      <w:r>
        <w:t xml:space="preserve">,</w:t>
      </w:r>
      <w:r>
        <w:t xml:space="preserve"> </w:t>
      </w:r>
      <w:r>
        <w:rPr>
          <w:i/>
          <w:iCs/>
        </w:rPr>
        <w:t xml:space="preserve">37</w:t>
      </w:r>
      <w:r>
        <w:t xml:space="preserve">, 6860–6868.</w:t>
      </w:r>
    </w:p>
    <w:bookmarkEnd w:id="52"/>
    <w:bookmarkStart w:id="53" w:name="ref-geiger2021garbage"/>
    <w:p>
      <w:pPr>
        <w:pStyle w:val="Bibliography"/>
      </w:pPr>
      <w:r>
        <w:t xml:space="preserve">Geiger, R. S., Cope, D., Ip, J., Lotosh, M., Shah, A., Weng, J., &amp; Tang, R. (2021). " garbage in, garbage out" revisited: What do machine learning application papers report about human-labeled training data?</w:t>
      </w:r>
      <w:r>
        <w:t xml:space="preserve"> </w:t>
      </w:r>
      <w:r>
        <w:rPr>
          <w:i/>
          <w:iCs/>
        </w:rPr>
        <w:t xml:space="preserve">arXiv Preprint arXiv:2107.02278</w:t>
      </w:r>
      <w:r>
        <w:t xml:space="preserve">.</w:t>
      </w:r>
    </w:p>
    <w:bookmarkEnd w:id="53"/>
    <w:bookmarkStart w:id="54" w:name="ref-griffin2004perspectives"/>
    <w:p>
      <w:pPr>
        <w:pStyle w:val="Bibliography"/>
      </w:pPr>
      <w:r>
        <w:t xml:space="preserve">Griffin, D., &amp; Brenner, L. (2004). Perspectives on probability judgment calibration.</w:t>
      </w:r>
      <w:r>
        <w:t xml:space="preserve"> </w:t>
      </w:r>
      <w:r>
        <w:rPr>
          <w:i/>
          <w:iCs/>
        </w:rPr>
        <w:t xml:space="preserve">Blackwell Handbook of Judgment and Decision Making</w:t>
      </w:r>
      <w:r>
        <w:t xml:space="preserve">,</w:t>
      </w:r>
      <w:r>
        <w:t xml:space="preserve"> </w:t>
      </w:r>
      <w:r>
        <w:rPr>
          <w:i/>
          <w:iCs/>
        </w:rPr>
        <w:t xml:space="preserve">199</w:t>
      </w:r>
      <w:r>
        <w:t xml:space="preserve">, 158–177.</w:t>
      </w:r>
    </w:p>
    <w:bookmarkEnd w:id="54"/>
    <w:bookmarkStart w:id="55" w:name="ref-groves2009survey"/>
    <w:p>
      <w:pPr>
        <w:pStyle w:val="Bibliography"/>
      </w:pPr>
      <w:r>
        <w:t xml:space="preserve">Groves, R. M., Fowler Jr, F. J., Couper, M. P., Lepkowski, J. M., Singer, E., &amp; Tourangeau, R. (2009).</w:t>
      </w:r>
      <w:r>
        <w:t xml:space="preserve"> </w:t>
      </w:r>
      <w:r>
        <w:rPr>
          <w:i/>
          <w:iCs/>
        </w:rPr>
        <w:t xml:space="preserve">Survey methodology</w:t>
      </w:r>
      <w:r>
        <w:t xml:space="preserve"> </w:t>
      </w:r>
      <w:r>
        <w:t xml:space="preserve">(Vol. 561). John Wiley &amp; Sons.</w:t>
      </w:r>
    </w:p>
    <w:bookmarkEnd w:id="55"/>
    <w:bookmarkStart w:id="56" w:name="ref-hullman2022worst"/>
    <w:p>
      <w:pPr>
        <w:pStyle w:val="Bibliography"/>
      </w:pPr>
      <w:r>
        <w:t xml:space="preserve">Hullman, J., Kapoor, S., Nanayakkara, P., Gelman, A., &amp; Narayanan, A. (2022). The worst of both worlds: A comparative analysis of errors in learning from data in psychology and machine learning.</w:t>
      </w:r>
      <w:r>
        <w:t xml:space="preserve"> </w:t>
      </w:r>
      <w:r>
        <w:rPr>
          <w:i/>
          <w:iCs/>
        </w:rPr>
        <w:t xml:space="preserve">Proceedings of the 2022 AAAI/ACM Conference on AI, Ethics, and Society</w:t>
      </w:r>
      <w:r>
        <w:t xml:space="preserve">, 335–348.</w:t>
      </w:r>
    </w:p>
    <w:bookmarkEnd w:id="56"/>
    <w:bookmarkStart w:id="57" w:name="ref-jacobs2021measurement"/>
    <w:p>
      <w:pPr>
        <w:pStyle w:val="Bibliography"/>
      </w:pPr>
      <w:r>
        <w:t xml:space="preserve">Jacobs, A. Z., &amp; Wallach, H. (2021). Measurement and fairness.</w:t>
      </w:r>
      <w:r>
        <w:t xml:space="preserve"> </w:t>
      </w:r>
      <w:r>
        <w:rPr>
          <w:i/>
          <w:iCs/>
        </w:rPr>
        <w:t xml:space="preserve">Proceedings of the 2021 ACM Conference on Fairness, Accountability, and Transparency</w:t>
      </w:r>
      <w:r>
        <w:t xml:space="preserve">, 375–385.</w:t>
      </w:r>
    </w:p>
    <w:bookmarkEnd w:id="57"/>
    <w:bookmarkStart w:id="58" w:name="ref-koutsoumpis2024beyond"/>
    <w:p>
      <w:pPr>
        <w:pStyle w:val="Bibliography"/>
      </w:pPr>
      <w:r>
        <w:t xml:space="preserve">Koutsoumpis, A., Ghassemi, S., Oostrom, J. K., Holtrop, D., Breda, W. van, Zhang, T., &amp; Vries, R. E. de. (2024). Beyond traditional interviews: Psychometric analysis of asynchronous video interviews for personality and interview performance evaluation using machine learning.</w:t>
      </w:r>
      <w:r>
        <w:t xml:space="preserve"> </w:t>
      </w:r>
      <w:r>
        <w:rPr>
          <w:i/>
          <w:iCs/>
        </w:rPr>
        <w:t xml:space="preserve">Computers in Human Behavior</w:t>
      </w:r>
      <w:r>
        <w:t xml:space="preserve">,</w:t>
      </w:r>
      <w:r>
        <w:t xml:space="preserve"> </w:t>
      </w:r>
      <w:r>
        <w:rPr>
          <w:i/>
          <w:iCs/>
        </w:rPr>
        <w:t xml:space="preserve">154</w:t>
      </w:r>
      <w:r>
        <w:t xml:space="preserve">, 108128.</w:t>
      </w:r>
    </w:p>
    <w:bookmarkEnd w:id="58"/>
    <w:bookmarkStart w:id="59" w:name="ref-liem2018psychology"/>
    <w:p>
      <w:pPr>
        <w:pStyle w:val="Bibliography"/>
      </w:pPr>
      <w:r>
        <w:t xml:space="preserve">Liem, C. C., Langer, M., Demetriou, A., Hiemstra, A. M., Sukma Wicaksana, A., Born, M. P., &amp; König, C. J. (2018). Psychology meets machine learning: Interdisciplinary perspectives on algorithmic job candidate screening.</w:t>
      </w:r>
      <w:r>
        <w:t xml:space="preserve"> </w:t>
      </w:r>
      <w:r>
        <w:rPr>
          <w:i/>
          <w:iCs/>
        </w:rPr>
        <w:t xml:space="preserve">Explainable and Interpretable Models in Computer Vision and Machine Learning</w:t>
      </w:r>
      <w:r>
        <w:t xml:space="preserve">, 197–253.</w:t>
      </w:r>
    </w:p>
    <w:bookmarkEnd w:id="59"/>
    <w:bookmarkStart w:id="60" w:name="ref-ponce2016chalearn"/>
    <w:p>
      <w:pPr>
        <w:pStyle w:val="Bibliography"/>
      </w:pPr>
      <w:r>
        <w:t xml:space="preserve">Ponce-López, V., Chen, B., Oliu, M., Corneanu, C., Clapés, A., Guyon, I., Baró, X., Escalante, H. J., &amp; Escalera, S. (2016). Chalearn lap 2016: First round challenge on first impressions-dataset and results.</w:t>
      </w:r>
      <w:r>
        <w:t xml:space="preserve"> </w:t>
      </w:r>
      <w:r>
        <w:rPr>
          <w:i/>
          <w:iCs/>
        </w:rPr>
        <w:t xml:space="preserve">Computer Vision–ECCV 2016 Workshops: Amsterdam, the Netherlands, October 8-10 and 15-16, 2016, Proceedings, Part III 14</w:t>
      </w:r>
      <w:r>
        <w:t xml:space="preserve">, 400–418.</w:t>
      </w:r>
    </w:p>
    <w:bookmarkEnd w:id="60"/>
    <w:bookmarkStart w:id="61" w:name="ref-PustejovskyStubbsNLannotation"/>
    <w:p>
      <w:pPr>
        <w:pStyle w:val="Bibliography"/>
      </w:pPr>
      <w:r>
        <w:t xml:space="preserve">Pustejovsky, J., &amp; Stubbs, A. (2013).</w:t>
      </w:r>
      <w:r>
        <w:t xml:space="preserve"> </w:t>
      </w:r>
      <w:r>
        <w:rPr>
          <w:i/>
          <w:iCs/>
        </w:rPr>
        <w:t xml:space="preserve">Natural language annotation for machine learning</w:t>
      </w:r>
      <w:r>
        <w:rPr>
          <w:i/>
          <w:iCs/>
        </w:rPr>
        <w:t xml:space="preserve"> </w:t>
      </w:r>
      <w:r>
        <w:t xml:space="preserve"> </w:t>
      </w:r>
      <w:r>
        <w:t xml:space="preserve">(First Edition). O’Reilly Media.</w:t>
      </w:r>
    </w:p>
    <w:bookmarkEnd w:id="61"/>
    <w:bookmarkStart w:id="62" w:name="ref-sambasivan2021everyone"/>
    <w:p>
      <w:pPr>
        <w:pStyle w:val="Bibliography"/>
      </w:pPr>
      <w:r>
        <w:t xml:space="preserve">Sambasivan, N., Kapania, S., Highfill, H., Akrong, D., Paritosh, P., &amp; Aroyo, L. M. (2021).</w:t>
      </w:r>
      <w:r>
        <w:t xml:space="preserve"> </w:t>
      </w:r>
      <w:r>
        <w:t xml:space="preserve">“Everyone wants to do the model work, not the data work”</w:t>
      </w:r>
      <w:r>
        <w:t xml:space="preserve">: Data cascades in high-stakes AI.</w:t>
      </w:r>
      <w:r>
        <w:t xml:space="preserve"> </w:t>
      </w:r>
      <w:r>
        <w:rPr>
          <w:i/>
          <w:iCs/>
        </w:rPr>
        <w:t xml:space="preserve">Proceedings of the 2021 CHI Conference on Human Factors in Computing Systems</w:t>
      </w:r>
      <w:r>
        <w:t xml:space="preserve">, 1–15.</w:t>
      </w:r>
    </w:p>
    <w:bookmarkEnd w:id="62"/>
    <w:bookmarkStart w:id="63" w:name="ref-sandri2023don"/>
    <w:p>
      <w:pPr>
        <w:pStyle w:val="Bibliography"/>
      </w:pPr>
      <w:r>
        <w:t xml:space="preserve">Sandri, M., Leonardelli, E., Tonelli, S., &amp; Ježek, E. (2023). Why don’t you do it right? Analysing annotators’ disagreement in subjective tasks.</w:t>
      </w:r>
      <w:r>
        <w:t xml:space="preserve"> </w:t>
      </w:r>
      <w:r>
        <w:rPr>
          <w:i/>
          <w:iCs/>
        </w:rPr>
        <w:t xml:space="preserve">Proceedings of the 17th Conference of the European Chapter of the Association for Computational Linguistics</w:t>
      </w:r>
      <w:r>
        <w:t xml:space="preserve">, 2428–2441.</w:t>
      </w:r>
    </w:p>
    <w:bookmarkEnd w:id="63"/>
    <w:bookmarkEnd w:id="64"/>
    <w:bookmarkEnd w:id="65"/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Griffin &amp; Brenner (2004)</w:t>
      </w:r>
      <w:r>
        <w:t xml:space="preserve"> </w:t>
      </w:r>
      <w:r>
        <w:t xml:space="preserve">note that much of this work was about</w:t>
      </w:r>
      <w:r>
        <w:t xml:space="preserve"> </w:t>
      </w:r>
      <w:r>
        <w:t xml:space="preserve">people guessing knowledge from an almanac, and then guessing how</w:t>
      </w:r>
      <w:r>
        <w:t xml:space="preserve"> </w:t>
      </w:r>
      <w:r>
        <w:t xml:space="preserve">accurate they were</w:t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Griffin &amp; Brenner (2004)</w:t>
      </w:r>
      <w:r>
        <w:t xml:space="preserve"> </w:t>
      </w:r>
      <w:r>
        <w:t xml:space="preserve">note that much of this work was about</w:t>
      </w:r>
      <w:r>
        <w:t xml:space="preserve"> </w:t>
      </w:r>
      <w:r>
        <w:t xml:space="preserve">people guessing knowledge from an almanac, and then guessing how</w:t>
      </w:r>
      <w:r>
        <w:t xml:space="preserve"> </w:t>
      </w:r>
      <w:r>
        <w:t xml:space="preserve">accurate they were</w:t>
      </w:r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Griffin &amp; Brenner (2004)</w:t>
      </w:r>
      <w:r>
        <w:t xml:space="preserve"> </w:t>
      </w:r>
      <w:r>
        <w:t xml:space="preserve">note that much of this work was about</w:t>
      </w:r>
      <w:r>
        <w:t xml:space="preserve"> </w:t>
      </w:r>
      <w:r>
        <w:t xml:space="preserve">people guessing knowledge from an almanac, and then guessing how</w:t>
      </w:r>
      <w:r>
        <w:t xml:space="preserve"> </w:t>
      </w:r>
      <w:r>
        <w:t xml:space="preserve">accurate they were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45" Target="media/rId45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Advancing Perspectivist Ground Truthing with Social Science</dc:title>
  <dc:creator/>
  <cp:keywords/>
  <dcterms:created xsi:type="dcterms:W3CDTF">2025-04-17T08:13:50Z</dcterms:created>
  <dcterms:modified xsi:type="dcterms:W3CDTF">2025-04-17T08:13:50Z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references.bib</vt:lpwstr>
  </property>
  <property fmtid="{D5CDD505-2E9C-101B-9397-08002B2CF9AE}" pid="4" name="csl">
    <vt:lpwstr>apa.csl</vt:lpwstr>
  </property>
  <property fmtid="{D5CDD505-2E9C-101B-9397-08002B2CF9AE}" pid="5" name="editor">
    <vt:lpwstr/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toc-title">
    <vt:lpwstr>Table of contents</vt:lpwstr>
  </property>
</Properties>
</file>