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EFAD" w14:textId="1188487B" w:rsidR="00442B47" w:rsidRPr="00D33C2A" w:rsidRDefault="00442B47" w:rsidP="00D33C2A">
      <w:pPr>
        <w:pStyle w:val="Date"/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488"/>
        <w:gridCol w:w="8312"/>
      </w:tblGrid>
      <w:tr w:rsidR="00442B47" w:rsidRPr="00D33C2A" w14:paraId="6977FF6D" w14:textId="77777777" w:rsidTr="00D33C2A">
        <w:tc>
          <w:tcPr>
            <w:tcW w:w="1152" w:type="pct"/>
          </w:tcPr>
          <w:p w14:paraId="7D1D9350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Title of Study</w:t>
            </w:r>
          </w:p>
        </w:tc>
        <w:tc>
          <w:tcPr>
            <w:tcW w:w="3848" w:type="pct"/>
          </w:tcPr>
          <w:p w14:paraId="72A97199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The Association of Guideline Directed Prophylaxis with the Incidence of Postoperative Nausea and Vomiting in Pediatric Patients: A Multicenter Retrospective Observational Cohort Study</w:t>
            </w:r>
          </w:p>
        </w:tc>
      </w:tr>
      <w:tr w:rsidR="00442B47" w:rsidRPr="00D33C2A" w14:paraId="7BDEFFFC" w14:textId="77777777" w:rsidTr="00D33C2A">
        <w:tc>
          <w:tcPr>
            <w:tcW w:w="1152" w:type="pct"/>
          </w:tcPr>
          <w:p w14:paraId="3B8EFAC0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77365EC7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7070EC1E" w14:textId="77777777" w:rsidTr="00D33C2A">
        <w:tc>
          <w:tcPr>
            <w:tcW w:w="1152" w:type="pct"/>
          </w:tcPr>
          <w:p w14:paraId="350F64F4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Primary Institution</w:t>
            </w:r>
          </w:p>
        </w:tc>
        <w:tc>
          <w:tcPr>
            <w:tcW w:w="3848" w:type="pct"/>
          </w:tcPr>
          <w:p w14:paraId="2AA0A89A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Duke University School of Medicine</w:t>
            </w:r>
          </w:p>
        </w:tc>
      </w:tr>
      <w:tr w:rsidR="00442B47" w:rsidRPr="00D33C2A" w14:paraId="1FA0863E" w14:textId="77777777" w:rsidTr="00D33C2A">
        <w:tc>
          <w:tcPr>
            <w:tcW w:w="1152" w:type="pct"/>
          </w:tcPr>
          <w:p w14:paraId="371F2260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407690DF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4D275C78" w14:textId="77777777" w:rsidTr="00D33C2A">
        <w:tc>
          <w:tcPr>
            <w:tcW w:w="1152" w:type="pct"/>
          </w:tcPr>
          <w:p w14:paraId="6C4ABA15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Primary Author</w:t>
            </w:r>
          </w:p>
        </w:tc>
        <w:tc>
          <w:tcPr>
            <w:tcW w:w="3848" w:type="pct"/>
          </w:tcPr>
          <w:p w14:paraId="09D1B55D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Benjamin Y. Andrew, MD, MHS (Duke)</w:t>
            </w:r>
          </w:p>
        </w:tc>
      </w:tr>
      <w:tr w:rsidR="00442B47" w:rsidRPr="00D33C2A" w14:paraId="0E7EF3E6" w14:textId="77777777" w:rsidTr="00D33C2A">
        <w:tc>
          <w:tcPr>
            <w:tcW w:w="1152" w:type="pct"/>
          </w:tcPr>
          <w:p w14:paraId="7A133D75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4F29B7DA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33CF82EE" w14:textId="77777777" w:rsidTr="00D33C2A">
        <w:tc>
          <w:tcPr>
            <w:tcW w:w="1152" w:type="pct"/>
          </w:tcPr>
          <w:p w14:paraId="375F7FE5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Co-Authors</w:t>
            </w:r>
          </w:p>
        </w:tc>
        <w:tc>
          <w:tcPr>
            <w:tcW w:w="3848" w:type="pct"/>
          </w:tcPr>
          <w:p w14:paraId="65BA36A7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Lucy Everett, MD (MGH); T. Wesley Templeton, MD (Wake Forest); Timothy T. Houle, PhD (MGH); Lisa N. Vitale, MD (Michigan); Vikas O’Reilly-Shah, MD, PhD (U of Washington); Meredith Bailey, MSN, RN (MPOG); Vijay Krishnamoorthy, MD, PhD (Duke); Ashraf Habib, MBBCh, MHS (Duke); Brad Taicher, DO, MBA (Duke)</w:t>
            </w:r>
          </w:p>
        </w:tc>
      </w:tr>
      <w:tr w:rsidR="00442B47" w:rsidRPr="00D33C2A" w14:paraId="13CCC01B" w14:textId="77777777" w:rsidTr="00D33C2A">
        <w:tc>
          <w:tcPr>
            <w:tcW w:w="1152" w:type="pct"/>
          </w:tcPr>
          <w:p w14:paraId="3ADEAB45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0B5D427F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01324C0F" w14:textId="77777777" w:rsidTr="00D33C2A">
        <w:tc>
          <w:tcPr>
            <w:tcW w:w="1152" w:type="pct"/>
          </w:tcPr>
          <w:p w14:paraId="30F2879A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Statisticians</w:t>
            </w:r>
          </w:p>
        </w:tc>
        <w:tc>
          <w:tcPr>
            <w:tcW w:w="3848" w:type="pct"/>
          </w:tcPr>
          <w:p w14:paraId="6348F6D6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Benjamin Y. Andrew with support from Timothy T. Houle and Vijay Krishnamoorthy</w:t>
            </w:r>
          </w:p>
        </w:tc>
      </w:tr>
      <w:tr w:rsidR="00442B47" w:rsidRPr="00D33C2A" w14:paraId="344A75B4" w14:textId="77777777" w:rsidTr="00D33C2A">
        <w:tc>
          <w:tcPr>
            <w:tcW w:w="1152" w:type="pct"/>
          </w:tcPr>
          <w:p w14:paraId="019C868A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6CE1FA41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2C8F5C88" w14:textId="77777777" w:rsidTr="00D33C2A">
        <w:tc>
          <w:tcPr>
            <w:tcW w:w="1152" w:type="pct"/>
          </w:tcPr>
          <w:p w14:paraId="27923CB4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 of Study</w:t>
            </w:r>
          </w:p>
        </w:tc>
        <w:tc>
          <w:tcPr>
            <w:tcW w:w="3848" w:type="pct"/>
          </w:tcPr>
          <w:p w14:paraId="302F95B7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Retrospective, observational</w:t>
            </w:r>
          </w:p>
        </w:tc>
      </w:tr>
      <w:tr w:rsidR="00442B47" w:rsidRPr="00D33C2A" w14:paraId="635B3300" w14:textId="77777777" w:rsidTr="00D33C2A">
        <w:tc>
          <w:tcPr>
            <w:tcW w:w="1152" w:type="pct"/>
          </w:tcPr>
          <w:p w14:paraId="12DD9916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5A46A600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53B4A903" w14:textId="77777777" w:rsidTr="00D33C2A">
        <w:tc>
          <w:tcPr>
            <w:tcW w:w="1152" w:type="pct"/>
          </w:tcPr>
          <w:p w14:paraId="3CC08182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Source</w:t>
            </w:r>
          </w:p>
        </w:tc>
        <w:tc>
          <w:tcPr>
            <w:tcW w:w="3848" w:type="pct"/>
          </w:tcPr>
          <w:p w14:paraId="40353164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MPOG database only</w:t>
            </w:r>
          </w:p>
        </w:tc>
      </w:tr>
      <w:tr w:rsidR="00442B47" w:rsidRPr="00D33C2A" w14:paraId="19DF7342" w14:textId="77777777" w:rsidTr="00D33C2A">
        <w:tc>
          <w:tcPr>
            <w:tcW w:w="1152" w:type="pct"/>
          </w:tcPr>
          <w:p w14:paraId="54C4B034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18A8AC1C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26B3737F" w14:textId="77777777" w:rsidTr="00D33C2A">
        <w:tc>
          <w:tcPr>
            <w:tcW w:w="1152" w:type="pct"/>
          </w:tcPr>
          <w:p w14:paraId="2C557096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IRB Number</w:t>
            </w:r>
          </w:p>
        </w:tc>
        <w:tc>
          <w:tcPr>
            <w:tcW w:w="3848" w:type="pct"/>
          </w:tcPr>
          <w:p w14:paraId="64CCFA84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Duke University Health System IRB (Pro00112464) with Brad Taicher as PI</w:t>
            </w:r>
          </w:p>
        </w:tc>
      </w:tr>
      <w:tr w:rsidR="00442B47" w:rsidRPr="00D33C2A" w14:paraId="3144D5C1" w14:textId="77777777" w:rsidTr="00D33C2A">
        <w:tc>
          <w:tcPr>
            <w:tcW w:w="1152" w:type="pct"/>
          </w:tcPr>
          <w:p w14:paraId="4D6284EF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5792AEB2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41924674" w14:textId="77777777" w:rsidTr="00D33C2A">
        <w:tc>
          <w:tcPr>
            <w:tcW w:w="1152" w:type="pct"/>
          </w:tcPr>
          <w:p w14:paraId="38C926F4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Aim</w:t>
            </w:r>
          </w:p>
        </w:tc>
        <w:tc>
          <w:tcPr>
            <w:tcW w:w="3848" w:type="pct"/>
          </w:tcPr>
          <w:p w14:paraId="17E83051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Primary aim: estimate the causal effect of compliance with guideline directed PONV prophylaxis (as defined by PONV-04) on the incidence of PONV (as defined by PONV-03) in pediatric patients undergoing general anesthesia.</w:t>
            </w:r>
          </w:p>
        </w:tc>
      </w:tr>
      <w:tr w:rsidR="00442B47" w:rsidRPr="00D33C2A" w14:paraId="160834E6" w14:textId="77777777" w:rsidTr="00D33C2A">
        <w:tc>
          <w:tcPr>
            <w:tcW w:w="1152" w:type="pct"/>
          </w:tcPr>
          <w:p w14:paraId="23A59E5E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23B947E7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743E23E0" w14:textId="77777777" w:rsidTr="00D33C2A">
        <w:tc>
          <w:tcPr>
            <w:tcW w:w="1152" w:type="pct"/>
          </w:tcPr>
          <w:p w14:paraId="53E21613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Number of Patients</w:t>
            </w:r>
          </w:p>
        </w:tc>
        <w:tc>
          <w:tcPr>
            <w:tcW w:w="3848" w:type="pct"/>
          </w:tcPr>
          <w:p w14:paraId="2375AB6C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Data Direct query on 05/11/2023: range from 1,130,173 to 1,546,639 for cohorts with varying exclusions.</w:t>
            </w:r>
          </w:p>
        </w:tc>
      </w:tr>
      <w:tr w:rsidR="00442B47" w:rsidRPr="00D33C2A" w14:paraId="5DB0105B" w14:textId="77777777" w:rsidTr="00D33C2A">
        <w:tc>
          <w:tcPr>
            <w:tcW w:w="1152" w:type="pct"/>
          </w:tcPr>
          <w:p w14:paraId="0EF339D2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23FDE111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1D0B0831" w14:textId="77777777" w:rsidTr="00D33C2A">
        <w:tc>
          <w:tcPr>
            <w:tcW w:w="1152" w:type="pct"/>
          </w:tcPr>
          <w:p w14:paraId="46706254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Power Analysis</w:t>
            </w:r>
          </w:p>
        </w:tc>
        <w:tc>
          <w:tcPr>
            <w:tcW w:w="3848" w:type="pct"/>
          </w:tcPr>
          <w:p w14:paraId="6079003D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 xml:space="preserve">In the setting of our proposed Bayesian outcome </w:t>
            </w:r>
            <w:proofErr w:type="gramStart"/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models</w:t>
            </w:r>
            <w:proofErr w:type="gramEnd"/>
            <w:r w:rsidRPr="00D33C2A">
              <w:rPr>
                <w:rFonts w:ascii="Times New Roman" w:hAnsi="Times New Roman" w:cs="Times New Roman"/>
                <w:sz w:val="22"/>
                <w:szCs w:val="22"/>
              </w:rPr>
              <w:t xml:space="preserve"> we used a simulation based approach to estimate the effect of sample size on the precision of our estimates. See full text for details - assuming some further exclusion from 1.1 - 1.5 million patients the sample size will be more than sufficient to generate precise effect estimates under our modeling assumptions.</w:t>
            </w:r>
          </w:p>
        </w:tc>
      </w:tr>
      <w:tr w:rsidR="00442B47" w:rsidRPr="00D33C2A" w14:paraId="185ECD2E" w14:textId="77777777" w:rsidTr="00D33C2A">
        <w:tc>
          <w:tcPr>
            <w:tcW w:w="1152" w:type="pct"/>
          </w:tcPr>
          <w:p w14:paraId="4B460615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58643C01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494BEB40" w14:textId="77777777" w:rsidTr="00D33C2A">
        <w:tc>
          <w:tcPr>
            <w:tcW w:w="1152" w:type="pct"/>
          </w:tcPr>
          <w:p w14:paraId="07F216E3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Statistical Approach</w:t>
            </w:r>
          </w:p>
        </w:tc>
        <w:tc>
          <w:tcPr>
            <w:tcW w:w="3848" w:type="pct"/>
          </w:tcPr>
          <w:p w14:paraId="6D64A647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We will use a pseudo-Bayesian propensity score weighting approach whereby we first estimate a multilevel propensity score model and then use overlap and inverse probability of treatment weights generated from this model to estimate the effect of prophylaxis compliance using a Bayesian outcome model for PONV. See full text for modeling details and justification. Several sensitivity analyses are proposed, including alternative modeling approaches and alternative prior distribution specifications.</w:t>
            </w:r>
          </w:p>
        </w:tc>
      </w:tr>
      <w:tr w:rsidR="00442B47" w:rsidRPr="00D33C2A" w14:paraId="48576539" w14:textId="77777777" w:rsidTr="00D33C2A">
        <w:tc>
          <w:tcPr>
            <w:tcW w:w="1152" w:type="pct"/>
          </w:tcPr>
          <w:p w14:paraId="008CE107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pct"/>
          </w:tcPr>
          <w:p w14:paraId="37A176CD" w14:textId="77777777" w:rsidR="00442B47" w:rsidRPr="00D33C2A" w:rsidRDefault="00442B47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B47" w:rsidRPr="00D33C2A" w14:paraId="6187D86C" w14:textId="77777777" w:rsidTr="00D33C2A">
        <w:tc>
          <w:tcPr>
            <w:tcW w:w="1152" w:type="pct"/>
          </w:tcPr>
          <w:p w14:paraId="5BD31D56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Resources</w:t>
            </w:r>
          </w:p>
        </w:tc>
        <w:tc>
          <w:tcPr>
            <w:tcW w:w="3848" w:type="pct"/>
          </w:tcPr>
          <w:p w14:paraId="4D196015" w14:textId="77777777" w:rsidR="00442B47" w:rsidRPr="00D33C2A" w:rsidRDefault="00000000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D33C2A">
              <w:rPr>
                <w:rFonts w:ascii="Times New Roman" w:hAnsi="Times New Roman" w:cs="Times New Roman"/>
                <w:sz w:val="22"/>
                <w:szCs w:val="22"/>
              </w:rPr>
              <w:t>The primary author will be a clinical fellow in pediatric anesthesiology at Duke beginning August 1, 2023, with one day of dedicated non-clinical time per week.</w:t>
            </w:r>
          </w:p>
        </w:tc>
      </w:tr>
    </w:tbl>
    <w:p w14:paraId="33869C6C" w14:textId="76DD0518" w:rsidR="00442B47" w:rsidRPr="00D33C2A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D33C2A">
        <w:rPr>
          <w:rFonts w:ascii="Times New Roman" w:hAnsi="Times New Roman" w:cs="Times New Roman"/>
          <w:sz w:val="22"/>
          <w:szCs w:val="22"/>
        </w:rPr>
        <w:t xml:space="preserve">Last updated: Monday, May </w:t>
      </w:r>
      <w:r w:rsidR="00D33C2A">
        <w:rPr>
          <w:rFonts w:ascii="Times New Roman" w:hAnsi="Times New Roman" w:cs="Times New Roman"/>
          <w:sz w:val="22"/>
          <w:szCs w:val="22"/>
        </w:rPr>
        <w:t>24</w:t>
      </w:r>
      <w:r w:rsidRPr="00D33C2A">
        <w:rPr>
          <w:rFonts w:ascii="Times New Roman" w:hAnsi="Times New Roman" w:cs="Times New Roman"/>
          <w:sz w:val="22"/>
          <w:szCs w:val="22"/>
        </w:rPr>
        <w:t>, 2023</w:t>
      </w:r>
    </w:p>
    <w:p w14:paraId="4E2BB85F" w14:textId="77777777" w:rsidR="00442B47" w:rsidRPr="00D33C2A" w:rsidRDefault="0000000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D33C2A">
        <w:rPr>
          <w:rFonts w:ascii="Times New Roman" w:hAnsi="Times New Roman" w:cs="Times New Roman"/>
          <w:sz w:val="22"/>
          <w:szCs w:val="22"/>
        </w:rPr>
        <w:t xml:space="preserve">Replication materials for this proposal and project are available at: </w:t>
      </w:r>
      <w:hyperlink r:id="rId7">
        <w:r w:rsidRPr="00D33C2A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https://github.com/andrew10043/mpog_peds_ponv</w:t>
        </w:r>
      </w:hyperlink>
      <w:r w:rsidRPr="00D33C2A">
        <w:rPr>
          <w:rFonts w:ascii="Times New Roman" w:hAnsi="Times New Roman" w:cs="Times New Roman"/>
          <w:sz w:val="22"/>
          <w:szCs w:val="22"/>
        </w:rPr>
        <w:t>.</w:t>
      </w:r>
    </w:p>
    <w:sectPr w:rsidR="00442B47" w:rsidRPr="00D33C2A" w:rsidSect="00D33C2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98EF" w14:textId="77777777" w:rsidR="00DD1290" w:rsidRDefault="00DD1290">
      <w:pPr>
        <w:spacing w:after="0"/>
      </w:pPr>
      <w:r>
        <w:separator/>
      </w:r>
    </w:p>
  </w:endnote>
  <w:endnote w:type="continuationSeparator" w:id="0">
    <w:p w14:paraId="5D8CA058" w14:textId="77777777" w:rsidR="00DD1290" w:rsidRDefault="00DD12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D657" w14:textId="77777777" w:rsidR="00DD1290" w:rsidRDefault="00DD1290">
      <w:r>
        <w:separator/>
      </w:r>
    </w:p>
  </w:footnote>
  <w:footnote w:type="continuationSeparator" w:id="0">
    <w:p w14:paraId="526CB5FD" w14:textId="77777777" w:rsidR="00DD1290" w:rsidRDefault="00DD1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5AF3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4078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47"/>
    <w:rsid w:val="001830F2"/>
    <w:rsid w:val="00442B47"/>
    <w:rsid w:val="00D33C2A"/>
    <w:rsid w:val="00D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317DA"/>
  <w15:docId w15:val="{A8FBF051-5793-EF46-AB27-ECD655E8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w10043/mpog_peds_po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Andrew</dc:creator>
  <cp:keywords/>
  <cp:lastModifiedBy>Benjamin Andrew</cp:lastModifiedBy>
  <cp:revision>2</cp:revision>
  <dcterms:created xsi:type="dcterms:W3CDTF">2023-05-25T01:00:00Z</dcterms:created>
  <dcterms:modified xsi:type="dcterms:W3CDTF">2023-05-25T01:00:00Z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itecolor">
    <vt:lpwstr>dukeblue</vt:lpwstr>
  </property>
  <property fmtid="{D5CDD505-2E9C-101B-9397-08002B2CF9AE}" pid="4" name="date">
    <vt:lpwstr>Monday, May 15, 2023</vt:lpwstr>
  </property>
  <property fmtid="{D5CDD505-2E9C-101B-9397-08002B2CF9AE}" pid="5" name="date-format">
    <vt:lpwstr>full</vt:lpwstr>
  </property>
  <property fmtid="{D5CDD505-2E9C-101B-9397-08002B2CF9AE}" pid="6" name="fontsize">
    <vt:lpwstr>11pt</vt:lpwstr>
  </property>
  <property fmtid="{D5CDD505-2E9C-101B-9397-08002B2CF9AE}" pid="7" name="geometry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dukeblue</vt:lpwstr>
  </property>
  <property fmtid="{D5CDD505-2E9C-101B-9397-08002B2CF9AE}" pid="13" name="mainfont">
    <vt:lpwstr>Linux Libertine O</vt:lpwstr>
  </property>
  <property fmtid="{D5CDD505-2E9C-101B-9397-08002B2CF9AE}" pid="14" name="mainfontoptions">
    <vt:lpwstr/>
  </property>
  <property fmtid="{D5CDD505-2E9C-101B-9397-08002B2CF9AE}" pid="15" name="mathfont">
    <vt:lpwstr>Libertinus Math</vt:lpwstr>
  </property>
  <property fmtid="{D5CDD505-2E9C-101B-9397-08002B2CF9AE}" pid="16" name="monofontoptions">
    <vt:lpwstr/>
  </property>
  <property fmtid="{D5CDD505-2E9C-101B-9397-08002B2CF9AE}" pid="17" name="sansfont">
    <vt:lpwstr>Jost</vt:lpwstr>
  </property>
  <property fmtid="{D5CDD505-2E9C-101B-9397-08002B2CF9AE}" pid="18" name="toc-title">
    <vt:lpwstr>Table of contents</vt:lpwstr>
  </property>
  <property fmtid="{D5CDD505-2E9C-101B-9397-08002B2CF9AE}" pid="19" name="urlcolor">
    <vt:lpwstr>dukeblue</vt:lpwstr>
  </property>
</Properties>
</file>