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200"/>
        <w:jc w:val="center"/>
      </w:pPr>
      <w:r>
        <w:rPr>
          <w:b/>
          <w:bCs/>
          <w:sz w:val="40"/>
          <w:szCs w:val="40"/>
        </w:rPr>
        <w:t xml:space="preserve">Real-Time Korean Sign Language Translation on a Raspberry Pi</w:t>
      </w:r>
    </w:p>
    <w:p>
      <w:pPr>
        <w:spacing w:after="400"/>
        <w:jc w:val="center"/>
      </w:pPr>
      <w:r>
        <w:rPr>
          <w:i/>
          <w:iCs/>
          <w:sz w:val="26"/>
          <w:szCs w:val="26"/>
        </w:rPr>
        <w:t xml:space="preserve">with LLM-based Natural-Language Sentence Generation</w:t>
      </w:r>
    </w:p>
    <w:p>
      <w:pPr>
        <w:spacing w:after="40"/>
        <w:jc w:val="center"/>
      </w:pPr>
      <w:r>
        <w:rPr>
          <w:sz w:val="24"/>
          <w:szCs w:val="24"/>
        </w:rPr>
        <w:t xml:space="preserve">Internet of Things (IoT) Systems — Spring 2026, HUFS</w:t>
      </w:r>
    </w:p>
    <w:p>
      <w:pPr>
        <w:spacing w:after="40"/>
        <w:jc w:val="center"/>
      </w:pPr>
      <w:r>
        <w:rPr>
          <w:sz w:val="24"/>
          <w:szCs w:val="24"/>
        </w:rPr>
        <w:t xml:space="preserve">Lee Sungjoon (202102467) · Bae Jingyu (202001647)</w:t>
      </w:r>
    </w:p>
    <w:p>
      <w:pPr>
        <w:spacing w:after="200"/>
        <w:jc w:val="center"/>
      </w:pPr>
      <w:r>
        <w:rPr>
          <w:sz w:val="24"/>
          <w:szCs w:val="24"/>
        </w:rPr>
        <w:t xml:space="preserve">Submission: 2026-06-22</w:t>
      </w:r>
    </w:p>
    <w:p>
      <w:r>
        <w:br w:type="page"/>
      </w:r>
    </w:p>
    <w:p>
      <w:pPr>
        <w:pStyle w:val="Heading1"/>
      </w:pPr>
      <w:r>
        <w:t xml:space="preserve">Abstract</w:t>
      </w:r>
    </w:p>
    <w:p>
      <w:pPr>
        <w:spacing w:after="120"/>
      </w:pPr>
      <w:r>
        <w:t xml:space="preserve">KSL-LLM-IoT is a real-time Korean Sign Language (KSL) translator that runs on a Raspberry Pi 4B edge device. A camera captures two-hand signing; MediaPipe extracts 3D hand landmarks; a TensorFlow-Lite LSTM classifies 30 KSL words; and a large language model (Gemini 2.5 Flash) composes the recognized word sequence into a natural Korean sentence, delivered through a speaker (TTS) and an I2C LCD. Physical buttons provide an accessible, latency-free control interface. On a held-out set of two unseen signers the deployed TFLite model reaches 0.94 word-classification accuracy; on the physical device 27 of 30 words are recognized reliably. The main engineering contributions are (i) an empirically verified coordinate-system alignment between a public keypoint dataset and the runtime camera, (ii) a single-source feature representation that structurally eliminates train/serve skew, and (iii) a leakage-corrected, signer-level evaluation protocol.</w:t>
      </w:r>
    </w:p>
    <w:p>
      <w:pPr>
        <w:pStyle w:val="Heading1"/>
      </w:pPr>
      <w:r>
        <w:t xml:space="preserve">1. Project Idea</w:t>
      </w:r>
    </w:p>
    <w:p>
      <w:pPr>
        <w:spacing w:after="120"/>
      </w:pPr>
      <w:r>
        <w:rPr>
          <w:b/>
          <w:bCs/>
        </w:rPr>
        <w:t xml:space="preserve">Problem. </w:t>
      </w:r>
      <w:r>
        <w:t xml:space="preserve">Roughly 400,000 deaf people in Korea use KSL as their primary language, yet very few hearing people understand it, creating a daily communication barrier that today depends on scarce human interpreters. Most prior KSL work stops at word-level classification; an end-to-end pipeline that produces natural sentences and speech on an edge device is rare.</w:t>
      </w:r>
    </w:p>
    <w:p>
      <w:pPr>
        <w:spacing w:after="120"/>
      </w:pPr>
      <w:r>
        <w:rPr>
          <w:b/>
          <w:bCs/>
        </w:rPr>
        <w:t xml:space="preserve">Concept. </w:t>
      </w:r>
      <w:r>
        <w:t xml:space="preserve">A low-cost Raspberry Pi performs all perception locally (privacy, low latency) and calls a cloud LLM only for the final sentence-generation step: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Camera → MediaPipe (2 hands) → 131-dim feature → LSTM (TFLite) → word buffer → [complete button | 완료 sign | 3 s silence] → Gemini 2.5 Flash → TTS (Korean) + LCD (English).</w:t>
      </w:r>
    </w:p>
    <w:p>
      <w:pPr>
        <w:spacing w:after="120"/>
      </w:pPr>
      <w:r>
        <w:rPr>
          <w:b/>
          <w:bCs/>
        </w:rPr>
        <w:t xml:space="preserve">IoT characteristics. </w:t>
      </w:r>
      <w:r>
        <w:t xml:space="preserve">Sensors/actuators (camera, GPIO buttons, buzzer) → on-device inference → outputs (LCD, speaker); plus a cloud-train → edge-deploy lifecycle.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Differentiators: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Natural LLM sentences rather than a word list.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User-selectable sentence persona (polite / friendly / brief).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Accessibility-first control: physical buttons + non-visual beep feedback for deaf / hard-of-hearing users.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measured train/serve coordinate alignment between the AI-Hub dataset and the runtime camera.</w:t>
      </w:r>
    </w:p>
    <w:p>
      <w:pPr>
        <w:pStyle w:val="Heading1"/>
      </w:pPr>
      <w:r>
        <w:t xml:space="preserve">2. System Design &amp; Methodology</w:t>
      </w:r>
    </w:p>
    <w:p>
      <w:pPr>
        <w:pStyle w:val="Heading2"/>
      </w:pPr>
      <w:r>
        <w:t xml:space="preserve">2.1 Pipeline (Fig.1)</w:t>
      </w:r>
    </w:p>
    <w:p>
      <w:pPr>
        <w:spacing w:after="120"/>
      </w:pPr>
      <w:r>
        <w:t xml:space="preserve">Camera → MediaPipe (2 hands) → 131-dim feature → LSTM (TFLite) → word buffer → trigger → Gemini → TTS + LCD.</w:t>
      </w:r>
    </w:p>
    <w:p>
      <w:pPr>
        <w:pStyle w:val="Heading2"/>
      </w:pPr>
      <w:r>
        <w:t xml:space="preserve">2.2 Two-Hand 131-Dim Representation (Fig.2)</w:t>
      </w:r>
    </w:p>
    <w:p>
      <w:pPr>
        <w:spacing w:after="120"/>
      </w:pPr>
      <w:r>
        <w:t xml:space="preserve">KSL is a two-handed language, so a single-hand (63-dim) input cannot preserve meaning. The feature is 131 = [ LEFT 21×3 | RIGHT 21×3 | wrist-to-wrist vector 3 | presence flags 2 ]. Each hand is normalized by its wrist-relative coordinates divided by an intra-hand scale (‖landmark9 − landmark0‖), making it invariant to camera distance, hand size, and coordinate units. A missing hand is zero-filled with its presence flag cleared.</w:t>
      </w:r>
    </w:p>
    <w:p>
      <w:pPr>
        <w:pStyle w:val="Heading2"/>
      </w:pPr>
      <w:r>
        <w:t xml:space="preserve">2.3 Train/Serve Consistency by Construction</w:t>
      </w:r>
    </w:p>
    <w:p>
      <w:pPr>
        <w:spacing w:after="120"/>
      </w:pPr>
      <w:r>
        <w:t xml:space="preserve">Inference (hand_tracker.py) and dataset conversion (convert_aihub.py) share a single module, feature_format.py. Because the exact same code assembles the 131-dim vector in both paths, preprocessing-level train/serve skew is structurally impossible.</w:t>
      </w:r>
    </w:p>
    <w:p>
      <w:pPr>
        <w:pStyle w:val="Heading2"/>
      </w:pPr>
      <w:r>
        <w:t xml:space="preserve">2.4 Empirical Axis Alignment (Fig.3)</w:t>
      </w:r>
    </w:p>
    <w:p>
      <w:pPr>
        <w:spacing w:after="120"/>
      </w:pPr>
      <w:r>
        <w:t xml:space="preserve">AI-Hub provides multi-view 3D-reconstructed keypoints (meters, non-mirrored); MediaPipe provides normalized [0,1] coordinates from a mirrored selfie image. We compared the MP4 (runtime path) and the keypoints of the same clip frame-by-frame (725 pairs):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Required transform = x-axis sign flip (AIHUB_AXIS_SIGNS = (-1, 1, 1)).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Correlation after transform: x = 0.954, y = 0.982, z = 0.577 (without it, x = −0.954 → a left-right-flipped model).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 = 0.577 reflects the limits of monocular depth but is a directionally consistent auxiliary signal (no ToF camera needed).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 additional (w, h, w) isotropy correction aligns MediaPipe's per-axis normalization to the dataset's isotropic metric coordinates.</w:t>
      </w:r>
    </w:p>
    <w:p>
      <w:pPr>
        <w:pStyle w:val="Heading2"/>
      </w:pPr>
      <w:r>
        <w:t xml:space="preserve">2.5 Classifier and Temporal Normalization</w:t>
      </w:r>
    </w:p>
    <w:p>
      <w:pPr>
        <w:spacing w:after="120"/>
      </w:pPr>
      <w:r>
        <w:t xml:space="preserve">2×LSTM (128, 64) + Dense, input (30, 131), 30 classes, exported to a 740 KB float32 TFLite model. Because on-device MediaPipe runs at only ~8–9 FPS, a fixed 30-frame buffer would stretch a 1-second sign into a ~4-second window. The classifier instead keeps a (timestamp, vector) buffer and linearly resamples the most recent 1.0 s into 30 points, restoring the training-time temporal window.</w:t>
      </w:r>
    </w:p>
    <w:p>
      <w:pPr>
        <w:pStyle w:val="Heading2"/>
      </w:pPr>
      <w:r>
        <w:t xml:space="preserve">2.6 Leakage-Corrected, Signer-Level Evaluation</w:t>
      </w:r>
    </w:p>
    <w:p>
      <w:pPr>
        <w:spacing w:after="120"/>
      </w:pPr>
      <w:r>
        <w:t xml:space="preserve">An early model evaluated with a random frame-level split reported a misleading 1.0000 test accuracy because sliding windows and augmentations of the same clip leaked across train/test. We switched to a held-out-signer split (model/data_split.py, holdout.json): two signers are held out entirely, and their augmented variants are excluded from both train and test. The held-out accuracy of unseen signers is the only number used for judgment.</w:t>
      </w:r>
    </w:p>
    <w:p>
      <w:pPr>
        <w:pStyle w:val="Heading2"/>
      </w:pPr>
      <w:r>
        <w:t xml:space="preserve">2.7 LLM Sentence Generation</w:t>
      </w:r>
    </w:p>
    <w:p>
      <w:pPr>
        <w:spacing w:after="120"/>
      </w:pPr>
      <w:r>
        <w:t xml:space="preserve">The word buffer is sent to Gemini 2.5 Flash with a persona-specific system prompt; the call runs in an async worker so the camera loop never blocks, and falls back to a plain word concatenation when offline.</w:t>
      </w:r>
    </w:p>
    <w:p>
      <w:pPr>
        <w:pStyle w:val="Heading1"/>
      </w:pPr>
      <w:r>
        <w:t xml:space="preserve">3. Hardware &amp; Software Details</w:t>
      </w:r>
    </w:p>
    <w:p>
      <w:pPr>
        <w:pStyle w:val="Heading2"/>
      </w:pPr>
      <w:r>
        <w:t xml:space="preserve">3.1 Hardware (Fig.4)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360"/>
        <w:gridCol w:w="2000"/>
      </w:tblGrid>
      <w:tr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Interface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Pin</w:t>
            </w:r>
          </w:p>
        </w:tc>
      </w:tr>
      <w:tr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USB webcam (/dev/video0, demo) — Pi Camera v1/CSI also supported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USB / CSI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I2C LCD 20×4 (0x27)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I2C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GPIO2/3</w:t>
            </w:r>
          </w:p>
        </w:tc>
      </w:tr>
      <w:tr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Active buzzer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GPIO out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GPIO17</w:t>
            </w:r>
          </w:p>
        </w:tc>
      </w:tr>
      <w:tr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Push buttons ×4 (complete + persona×3)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GPIO in (pull-up)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GPIO5/6/13/19 ↔ GND</w:t>
            </w:r>
          </w:p>
        </w:tc>
      </w:tr>
      <w:tr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Speaker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3.5mm / USB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separate power</w:t>
            </w:r>
          </w:p>
        </w:tc>
      </w:tr>
    </w:tbl>
    <w:p>
      <w:pPr>
        <w:spacing w:after="120" w:before="120"/>
      </w:pPr>
      <w:r>
        <w:t xml:space="preserve">Buttons use internal pull-ups switching to GND (~66 µA, no external resistor). The buzzer beeps 1/2/3 times to confirm the selected persona without looking at a screen.</w:t>
      </w:r>
    </w:p>
    <w:p>
      <w:pPr>
        <w:pStyle w:val="Heading2"/>
      </w:pPr>
      <w:r>
        <w:t xml:space="preserve">3.2 Software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000"/>
        <w:gridCol w:w="2960"/>
      </w:tblGrid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Technology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Computer vision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MediaPipe Hands (&lt;0.10.30), OpenCV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legacy solutions API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Edge inference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tflite-runtime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RPi, Python 3.11 via uv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Training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TensorFlow 2.15.1 (GPU)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cloud server (RTX 4000 Ada)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google-genai (Gemini 2.5 Flash)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system prompt, async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OS / IoT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RPi OS Trixie, RPi.GPIO (polling), smbus2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rpicam-vid camera backend</w:t>
            </w:r>
          </w:p>
        </w:tc>
      </w:tr>
    </w:tbl>
    <w:p>
      <w:pPr>
        <w:pStyle w:val="Heading2"/>
      </w:pPr>
      <w:r>
        <w:t xml:space="preserve">3.3 Engineering Pitfalls Solved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LabelEncoder bug: scikit-learn sorted labels by Unicode, breaking the index↔label mapping → fixed with an original-order LABEL_TO_IDX plus a smoke-test guard.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TFLite conversion: TF ≥2.16 cannot convert the LSTM (MLIR bug) and float16 quantization OOMs → pinned TF 2.15.1, batch-size-1 conversion, float32 (model only 740 KB).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Silent training failure: an exit-0 retrain had silently trained on stale code (a dirty server tree made git pull fail without error) → chain_train.sh uses fetch + reset --hard + a code-marker grep before training.</w:t>
      </w:r>
    </w:p>
    <w:p>
      <w:pPr>
        <w:pStyle w:val="Heading1"/>
      </w:pPr>
      <w:r>
        <w:t xml:space="preserve">4. Results &amp; Contributions</w:t>
      </w:r>
    </w:p>
    <w:p>
      <w:pPr>
        <w:pStyle w:val="Heading2"/>
      </w:pPr>
      <w:r>
        <w:t xml:space="preserve">4.1 Quantitative Results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Pipeline validation (example 18 classes, 3,540 samples)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TFLite accuracy 0.98</w:t>
            </w:r>
          </w:p>
        </w:tc>
      </w:tr>
      <w:tr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Deployed model (30 classes, 16 signers) — held-out (2 unseen signers, 2,595 seq)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TFLite accuracy 0.94</w:t>
            </w:r>
          </w:p>
        </w:tc>
      </w:tr>
      <w:tr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Physical device (USB webcam, diagnose_live)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27/30 words reliable</w:t>
            </w:r>
          </w:p>
        </w:tc>
      </w:tr>
      <w:tr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TFLite inference latency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0.41 ms (server CPU) / not yet measured (RPi)</w:t>
            </w:r>
          </w:p>
        </w:tc>
      </w:tr>
      <w:tr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End-to-end FPS on RPi 4B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6.4 — target ≥20 not met (Future Work)</w:t>
            </w:r>
          </w:p>
        </w:tc>
      </w:tr>
      <w:tr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Model size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740 KB</w:t>
            </w:r>
          </w:p>
        </w:tc>
      </w:tr>
      <w:tr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Sentence latency (Gemini)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 yet measured (target ≤ 4 s)</w:t>
            </w:r>
          </w:p>
        </w:tc>
      </w:tr>
    </w:tbl>
    <w:p>
      <w:pPr>
        <w:pStyle w:val="Heading2"/>
      </w:pPr>
      <w:r>
        <w:t xml:space="preserve">4.2 On the Keras-vs-TFLite Gap (Evaluation Integrity)</w:t>
      </w:r>
    </w:p>
    <w:p>
      <w:pPr>
        <w:spacing w:after="120"/>
      </w:pPr>
      <w:r>
        <w:t xml:space="preserve">The Keras checkpoint scores 0.71 when run as a Keras model, while the deployed TFLite scores 0.94 on the same 2,595 held-out inputs. We measured this directly: Keras = 0.7129 on both CPU and GPU (so it is not a device/cuDNN artifact); the two models disagree on 775/2,595 (29.9%) of samples, and on those disagreements TFLite is correct 650 times vs Keras 59. The Raspberry Pi runs exactly the TFLite file, so we report 0.94 as the deployed model's held-out accuracy, while disclosing that (a) it is measured on two held-out signers, and (b) live performance is 27/30 due to the runtime domain gap.</w:t>
      </w:r>
    </w:p>
    <w:p>
      <w:pPr>
        <w:pStyle w:val="Heading2"/>
      </w:pPr>
      <w:r>
        <w:t xml:space="preserve">4.3 Honest Limitations</w:t>
      </w:r>
    </w:p>
    <w:p>
      <w:pPr>
        <w:spacing w:after="120"/>
      </w:pPr>
      <w:r>
        <w:t xml:space="preserve">Accuracy is reported on two held-out signers (wide confidence interval); recognition of 밥/배고프다/주다 remains confusable on-device; and the FPS target is not met. These are discussed rather than hidden.</w:t>
      </w:r>
    </w:p>
    <w:p>
      <w:pPr>
        <w:pStyle w:val="Heading2"/>
      </w:pPr>
      <w:r>
        <w:t xml:space="preserve">4.4 Contributions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reusable methodology and tool (verify_aihub_alignment.py) for empirically verifying coordinate alignment between a public keypoint dataset and a runtime extractor.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Single-source feature preprocessing that structurally prevents train/serve skew.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leakage-corrected, signer-level evaluation that documents the honest accuracy trajectory (1.0000 leaked → 0.36 single-signer → 0.71/0.94 with 16 signers).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Accessibility-first interface: deterministic physical buttons with non-visual beep feedback.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fully automated cloud-train → edge-deploy pipeline.</w:t>
      </w:r>
    </w:p>
    <w:p>
      <w:pPr>
        <w:pStyle w:val="Heading1"/>
      </w:pPr>
      <w:r>
        <w:t xml:space="preserve">5. Future Work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Continuous-signing recognition using the AI-Hub sentence (SEN) dataset.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Vocabulary scaling (30 → hundreds); the label↔headword pipeline already generalizes.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upper-body pose keypoints to separate position-dependent signs (나 vs 당신).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On-device lightweight LLM (e.g., Gemma) for fully offline operation.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Higher-FPS path (MediaPipe Tasks API) to close the ≥20 FPS gap.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Korean-capable graphic LCD or a mobile companion app.</w:t>
      </w:r>
    </w:p>
    <w:p>
      <w:pPr>
        <w:pStyle w:val="Heading1"/>
      </w:pPr>
      <w:r>
        <w:t xml:space="preserve">References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Shin, J. et al. (2023). Dynamic KSL Recognition. IEEE Access 11.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Miah, A. S. M. et al. (2023). KSL Recognition Using a Transformer DNN. Applied Sciences 13(5).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Sánchez-Vicinaiz, T. J. et al. (2024). MediaPipe + CNN on Raspberry Pi. Technologies 12(8).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AI-Hub Korean Sign Language video dataset (keypoints).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KSL-LLM-IoT — IoT Systems Term Project    </w:t>
    </w:r>
    <w:r>
      <w:rPr>
        <w:color w:val="888888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549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2026-06-18T08:27:23.674Z</dcterms:created>
  <dcterms:modified xsi:type="dcterms:W3CDTF">2026-06-18T08:27:23.674Z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