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</w:t>
      </w:r>
    </w:p>
    <w:p>
      <w:r>
        <w:t>Chapter 1 covers Newfoundland energy strategy, offshore maintenance, and storm readiness decisions.</w:t>
      </w:r>
    </w:p>
    <w:p>
      <w:pPr>
        <w:pStyle w:val="Heading1"/>
      </w:pPr>
      <w:r>
        <w:t>Chapter 2</w:t>
      </w:r>
    </w:p>
    <w:p>
      <w:r>
        <w:t>Chapter 2 covers Nova Scotia grid upgrades, coastal logistics, and procurement risks.</w:t>
      </w:r>
    </w:p>
    <w:p>
      <w:pPr>
        <w:pStyle w:val="Heading1"/>
      </w:pPr>
      <w:r>
        <w:t>Chapter 3</w:t>
      </w:r>
    </w:p>
    <w:p>
      <w:r>
        <w:t>Chapter 3 covers New Brunswick staffing pressure, debt tradeoffs, and utility resilience.</w:t>
      </w:r>
    </w:p>
    <w:p>
      <w:pPr>
        <w:pStyle w:val="Heading1"/>
      </w:pPr>
      <w:r>
        <w:t>Chapter 4</w:t>
      </w:r>
    </w:p>
    <w:p>
      <w:r>
        <w:t>Chapter 4 covers Quebec hydro surplus planning, export constraints, and winter reliability.</w:t>
      </w:r>
    </w:p>
    <w:p>
      <w:pPr>
        <w:pStyle w:val="Heading1"/>
      </w:pPr>
      <w:r>
        <w:t>Chapter 5</w:t>
      </w:r>
    </w:p>
    <w:p>
      <w:r>
        <w:t>Chapter 5 covers Ontario demand growth, nuclear refurbishment timing, and affordability pressure.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