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Musicological</w:t>
      </w:r>
      <w:r>
        <w:t xml:space="preserve"> </w:t>
      </w:r>
      <w:r>
        <w:t xml:space="preserve">Article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A.</w:t>
      </w:r>
      <w:r>
        <w:t xml:space="preserve"> </w:t>
      </w:r>
      <w:r>
        <w:t xml:space="preserve">Cashner</w:t>
      </w:r>
    </w:p>
    <w:p>
      <w:pPr>
        <w:pStyle w:val="Heading1"/>
      </w:pPr>
      <w:bookmarkStart w:id="21" w:name="word-level-formatting"/>
      <w:bookmarkEnd w:id="21"/>
      <w:r>
        <w:t xml:space="preserve">Word-Level Formatting</w:t>
      </w:r>
    </w:p>
    <w:p>
      <w:pPr>
        <w:pStyle w:val="FirstParagraph"/>
      </w:pPr>
      <w:r>
        <w:t xml:space="preserve">Here is some text.</w:t>
      </w:r>
      <w:r>
        <w:t xml:space="preserve"> </w:t>
      </w:r>
      <w:r>
        <w:rPr>
          <w:i/>
        </w:rPr>
        <w:t xml:space="preserve">Here is some text.</w:t>
      </w:r>
      <w:r>
        <w:t xml:space="preserve"> </w:t>
      </w:r>
      <w:r>
        <w:t xml:space="preserve">Here is some text.</w:t>
      </w:r>
      <w:r>
        <w:t xml:space="preserve"> </w:t>
      </w:r>
      <w:r>
        <w:t xml:space="preserve">“</w:t>
      </w:r>
      <w:r>
        <w:t xml:space="preserve">Here is some text,</w:t>
      </w:r>
      <w:r>
        <w:t xml:space="preserve">”</w:t>
      </w:r>
      <w:r>
        <w:t xml:space="preserve"> </w:t>
      </w:r>
      <w:r>
        <w:t xml:space="preserve">here is some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</w:t>
      </w:r>
    </w:p>
    <w:p>
      <w:pPr>
        <w:pStyle w:val="Heading2"/>
      </w:pPr>
      <w:bookmarkStart w:id="22" w:name="citations"/>
      <w:bookmarkEnd w:id="22"/>
      <w:r>
        <w:t xml:space="preserve">Citations</w:t>
      </w:r>
    </w:p>
    <w:p>
      <w:pPr>
        <w:pStyle w:val="FirstParagraph"/>
      </w:pPr>
      <w:r>
        <w:t xml:space="preserve">Here is some text.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Here is some text.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Here is some text.</w:t>
      </w:r>
      <w:r>
        <w:rPr>
          <w:rStyle w:val="FootnoteReference"/>
        </w:rPr>
        <w:footnoteReference w:id="25"/>
      </w:r>
    </w:p>
    <w:p>
      <w:pPr>
        <w:pStyle w:val="Heading1"/>
      </w:pPr>
      <w:bookmarkStart w:id="26" w:name="lists-symbols"/>
      <w:bookmarkEnd w:id="26"/>
      <w:r>
        <w:t xml:space="preserve">Lists, Symbols</w:t>
      </w:r>
    </w:p>
    <w:p>
      <w:pPr>
        <w:pStyle w:val="FirstParagraph"/>
      </w:pPr>
      <w:r>
        <w:t xml:space="preserve">Here is some text:</w:t>
      </w:r>
    </w:p>
    <w:p>
      <w:pPr>
        <w:pStyle w:val="Compact"/>
        <w:numPr>
          <w:numId w:val="1001"/>
          <w:ilvl w:val="0"/>
        </w:numPr>
      </w:pPr>
      <w:r>
        <w:t xml:space="preserve">Here is some text.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Here is some text.</w:t>
      </w:r>
    </w:p>
    <w:p>
      <w:pPr>
        <w:pStyle w:val="Compact"/>
        <w:numPr>
          <w:numId w:val="1001"/>
          <w:ilvl w:val="0"/>
        </w:numPr>
      </w:pPr>
      <w:r>
        <w:t xml:space="preserve">A flat, A-flat minor, A</w:t>
      </w:r>
      <m:oMath>
        <m:r>
          <m:t>♭</m:t>
        </m:r>
      </m:oMath>
    </w:p>
    <w:p>
      <w:pPr>
        <w:pStyle w:val="FirstParagraph"/>
      </w:pPr>
      <w:r>
        <w:t xml:space="preserve">Here is some text.</w:t>
      </w:r>
      <w:r>
        <w:t xml:space="preserve"> </w:t>
      </w:r>
      <w:r>
        <w:t xml:space="preserve">Here is some text.</w:t>
      </w:r>
    </w:p>
    <w:p>
      <w:pPr>
        <w:pStyle w:val="Heading2"/>
      </w:pPr>
      <w:bookmarkStart w:id="27" w:name="tables-captions"/>
      <w:bookmarkEnd w:id="27"/>
      <w:r>
        <w:t xml:space="preserve">Tables, Captions</w:t>
      </w:r>
    </w:p>
    <w:p>
      <w:pPr>
        <w:pStyle w:val="TableCaption"/>
      </w:pPr>
      <w:r>
        <w:t xml:space="preserve">Things</w:t>
      </w:r>
    </w:p>
    <w:tbl>
      <w:tblPr>
        <w:tblStyle w:val="TableNormal"/>
        <w:tblW w:type="pct" w:w="0.0"/>
        <w:tblLook w:firstRow="1"/>
        <w:tblCaption w:val="Thing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Thing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Thing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Squid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8" w:name="conclusions"/>
      <w:bookmarkEnd w:id="28"/>
      <w:r>
        <w:t xml:space="preserve">Conclusions</w:t>
      </w:r>
    </w:p>
    <w:p>
      <w:pPr>
        <w:pStyle w:val="FirstParagraph"/>
      </w:pPr>
      <w:r>
        <w:rPr>
          <w:i/>
        </w:rPr>
        <w:t xml:space="preserve">Here is some text.</w:t>
      </w:r>
      <w:r>
        <w:t xml:space="preserve"> </w:t>
      </w:r>
      <w:r>
        <w:t xml:space="preserve">Here is some text.</w:t>
      </w:r>
      <w:r>
        <w:t xml:space="preserve"> </w:t>
      </w:r>
      <w:r>
        <w:t xml:space="preserve">Here is some text:</w:t>
      </w:r>
    </w:p>
    <w:p>
      <w:pPr>
        <w:pStyle w:val="BlockText"/>
      </w:pPr>
      <w:r>
        <w:t xml:space="preserve">Here is some text.</w:t>
      </w:r>
      <w:r>
        <w:t xml:space="preserve"> </w:t>
      </w:r>
      <w:r>
        <w:t xml:space="preserve">Here is some text.</w:t>
      </w:r>
    </w:p>
    <w:p>
      <w:pPr>
        <w:pStyle w:val="FirstParagraph"/>
      </w:pPr>
      <w:r>
        <w:t xml:space="preserve">“</w:t>
      </w:r>
      <w:r>
        <w:t xml:space="preserve">Here</w:t>
      </w:r>
      <w:r>
        <w:t xml:space="preserve">”</w:t>
      </w:r>
      <w:r>
        <w:t xml:space="preserve"> </w:t>
      </w:r>
      <w:r>
        <w:t xml:space="preserve">is some text—here is some text.</w:t>
      </w:r>
      <w:r>
        <w:t xml:space="preserve"> </w:t>
      </w:r>
      <w:r>
        <w:t xml:space="preserve">Here–there is some text.</w:t>
      </w:r>
      <w:r>
        <w:t xml:space="preserve"> </w:t>
      </w:r>
      <w:r>
        <w:t xml:space="preserve">Here is some text.</w:t>
      </w:r>
      <w:r>
        <w:t xml:space="preserve"> </w:t>
      </w:r>
      <w:r>
        <w:t xml:space="preserve">Here is some text.</w:t>
      </w:r>
    </w:p>
    <w:p>
      <w:pPr>
        <w:pStyle w:val="Heading1"/>
      </w:pPr>
      <w:bookmarkStart w:id="29" w:name="bibliography"/>
      <w:bookmarkEnd w:id="29"/>
      <w:r>
        <w:t xml:space="preserve">Bibliography</w:t>
      </w:r>
    </w:p>
    <w:p>
      <w:pPr>
        <w:pStyle w:val="Bibliography"/>
      </w:pPr>
      <w:r>
        <w:t xml:space="preserve">Fromont, Cécile. “Dancing for the King of Congo from Early Modern Central Africa to Slavery-Era Brazil.”</w:t>
      </w:r>
      <w:r>
        <w:t xml:space="preserve"> </w:t>
      </w:r>
      <w:r>
        <w:rPr>
          <w:i/>
        </w:rPr>
        <w:t xml:space="preserve">Colonial Latin American Review</w:t>
      </w:r>
      <w:r>
        <w:t xml:space="preserve"> </w:t>
      </w:r>
      <w:r>
        <w:t xml:space="preserve">22, no. 2 (n.d.): 184–208.</w:t>
      </w:r>
    </w:p>
    <w:p>
      <w:pPr>
        <w:pStyle w:val="Bibliography"/>
      </w:pPr>
      <w:r>
        <w:t xml:space="preserve">Isichei, Elizabeth.</w:t>
      </w:r>
      <w:r>
        <w:t xml:space="preserve"> </w:t>
      </w:r>
      <w:r>
        <w:rPr>
          <w:i/>
        </w:rPr>
        <w:t xml:space="preserve">A History of African Societies to 1870</w:t>
      </w:r>
      <w:r>
        <w:t xml:space="preserve">. Cambridge: Cambridge University Press, 1997.</w:t>
      </w:r>
    </w:p>
    <w:p>
      <w:pPr>
        <w:pStyle w:val="Bibliography"/>
      </w:pPr>
      <w:r>
        <w:t xml:space="preserve">Kubik, Gerhard.</w:t>
      </w:r>
      <w:r>
        <w:t xml:space="preserve"> </w:t>
      </w:r>
      <w:r>
        <w:rPr>
          <w:i/>
        </w:rPr>
        <w:t xml:space="preserve">Angolan Traits in Black Music, Games and Dances of Brazil: A Study of African Cultural Extensions Overseas</w:t>
      </w:r>
      <w:r>
        <w:t xml:space="preserve">. Lisbon: Junta de Investigações Científicas do Ultramar, 1979.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Elizabeth Isichei,</w:t>
      </w:r>
      <w:r>
        <w:t xml:space="preserve"> </w:t>
      </w:r>
      <w:r>
        <w:rPr>
          <w:i/>
        </w:rPr>
        <w:t xml:space="preserve">A History of African Societies to 1870</w:t>
      </w:r>
      <w:r>
        <w:t xml:space="preserve"> </w:t>
      </w:r>
      <w:r>
        <w:t xml:space="preserve">(Cambridge: Cambridge University Press, 1997).</w:t>
      </w:r>
      <w:r>
        <w:t xml:space="preserve"> 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Cécile Fromont, “Dancing for the King of Congo from Early Modern Central Africa to Slavery-Era Brazil,”</w:t>
      </w:r>
      <w:r>
        <w:t xml:space="preserve"> </w:t>
      </w:r>
      <w:r>
        <w:rPr>
          <w:i/>
        </w:rPr>
        <w:t xml:space="preserve">Colonial Latin American Review</w:t>
      </w:r>
      <w:r>
        <w:t xml:space="preserve"> </w:t>
      </w:r>
      <w:r>
        <w:t xml:space="preserve">22, no. 2 (n.d.): 184–208.</w:t>
      </w:r>
      <w:r>
        <w:t xml:space="preserve"> 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Ibid., 185; Gerhard Kubik,</w:t>
      </w:r>
      <w:r>
        <w:t xml:space="preserve"> </w:t>
      </w:r>
      <w:r>
        <w:rPr>
          <w:i/>
        </w:rPr>
        <w:t xml:space="preserve">Angolan Traits in Black Music, Games and Dances of Brazil: A Study of African Cultural Extensions Overseas</w:t>
      </w:r>
      <w:r>
        <w:t xml:space="preserve"> </w:t>
      </w:r>
      <w:r>
        <w:t xml:space="preserve">(Lisbon: Junta de Investigações Científicas do Ultramar, 1979).</w:t>
      </w:r>
      <w: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db72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a085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Musicological Article</dc:title>
  <dc:creator>Andrew A. Cashner</dc:creator>
</cp:coreProperties>
</file>