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Faith,</w:t>
      </w:r>
      <w:r>
        <w:t xml:space="preserve"> </w:t>
      </w:r>
      <w:r>
        <w:t xml:space="preserve">Hearing,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Power</w:t>
      </w:r>
      <w:r>
        <w:t xml:space="preserve"> </w:t>
      </w:r>
      <w:r>
        <w:t xml:space="preserve">of</w:t>
      </w:r>
      <w:r>
        <w:t xml:space="preserve"> </w:t>
      </w:r>
      <w:r>
        <w:t xml:space="preserve">Music</w:t>
      </w:r>
      <w:r>
        <w:t xml:space="preserve"> </w:t>
      </w:r>
      <w:r>
        <w:t xml:space="preserve">in</w:t>
      </w:r>
      <w:r>
        <w:t xml:space="preserve"> </w:t>
      </w:r>
      <w:r>
        <w:t xml:space="preserve">Devotional</w:t>
      </w:r>
      <w:r>
        <w:t xml:space="preserve"> </w:t>
      </w:r>
      <w:r>
        <w:t xml:space="preserve">Music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Spanish</w:t>
      </w:r>
      <w:r>
        <w:t xml:space="preserve"> </w:t>
      </w:r>
      <w:r>
        <w:t xml:space="preserve">Empire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A.</w:t>
      </w:r>
      <w:r>
        <w:t xml:space="preserve"> </w:t>
      </w:r>
      <w:r>
        <w:t xml:space="preserve">Cashner</w:t>
      </w:r>
    </w:p>
    <w:p>
      <w:pPr>
        <w:pStyle w:val="Heading1"/>
      </w:pPr>
      <w:bookmarkStart w:id="21" w:name="listening-for-unhearable-music"/>
      <w:bookmarkEnd w:id="21"/>
      <w:r>
        <w:t xml:space="preserve">Listening for Unhearable Music</w:t>
      </w:r>
    </w:p>
    <w:p>
      <w:pPr>
        <w:pStyle w:val="Heading2"/>
      </w:pPr>
      <w:bookmarkStart w:id="22" w:name="voices-of-the-chapel-choir-and-the-unspeaking-word-gutiérrez-de-padilla"/>
      <w:bookmarkEnd w:id="22"/>
      <w:r>
        <w:t xml:space="preserve">“</w:t>
      </w:r>
      <w:r>
        <w:t xml:space="preserve">Voices of the Chapel Choir</w:t>
      </w:r>
      <w:r>
        <w:t xml:space="preserve">”</w:t>
      </w:r>
      <w:r>
        <w:t xml:space="preserve"> </w:t>
      </w:r>
      <w:r>
        <w:t xml:space="preserve">and the</w:t>
      </w:r>
      <w:r>
        <w:t xml:space="preserve"> </w:t>
      </w:r>
      <w:r>
        <w:t xml:space="preserve">“</w:t>
      </w:r>
      <w:r>
        <w:t xml:space="preserve">Unspeaking Word</w:t>
      </w:r>
      <w:r>
        <w:t xml:space="preserve">”</w:t>
      </w:r>
      <w:r>
        <w:t xml:space="preserve"> </w:t>
      </w:r>
      <w:r>
        <w:t xml:space="preserve">(Gutiérrez de Padilla)</w:t>
      </w:r>
    </w:p>
    <w:p>
      <w:pPr>
        <w:pStyle w:val="FirstParagraph"/>
      </w:pPr>
      <w:r>
        <w:t xml:space="preserve">In the setting of</w:t>
      </w:r>
      <w:r>
        <w:t xml:space="preserve"> </w:t>
      </w:r>
      <w:r>
        <w:rPr>
          <w:i/>
        </w:rPr>
        <w:t xml:space="preserve">Voces, las de la capilla</w:t>
      </w:r>
      <w:r>
        <w:t xml:space="preserve"> </w:t>
      </w:r>
      <w:r>
        <w:t xml:space="preserve">by Juan Gutiérrez de Padilla, the</w:t>
      </w:r>
      <w:r>
        <w:t xml:space="preserve"> </w:t>
      </w:r>
      <w:r>
        <w:t xml:space="preserve">first of two choruses in the polychoral ensemble begins with this admonition:</w:t>
      </w:r>
    </w:p>
    <w:p>
      <w:pPr>
        <w:pStyle w:val="BlockText"/>
      </w:pPr>
      <w:r>
        <w:t xml:space="preserve">“</w:t>
      </w:r>
      <w:r>
        <w:t xml:space="preserve">Voices of the chapel choir, keep count with what is sung,</w:t>
      </w:r>
      <w:r>
        <w:t xml:space="preserve"> </w:t>
      </w:r>
      <w:r>
        <w:t xml:space="preserve">for the King is a musician, and takes note of even the most venial dissonances,</w:t>
      </w:r>
      <w:r>
        <w:t xml:space="preserve"> </w:t>
      </w:r>
      <w:r>
        <w:t xml:space="preserve">after the manner of David the monarch,</w:t>
      </w:r>
      <w:r>
        <w:t xml:space="preserve"> </w:t>
      </w:r>
      <w:r>
        <w:t xml:space="preserve">just as in the manner of Jesus the infant prince.</w:t>
      </w:r>
      <w:r>
        <w:t xml:space="preserve">”</w:t>
      </w:r>
    </w:p>
    <w:p>
      <w:pPr>
        <w:pStyle w:val="FirstParagraph"/>
      </w:pPr>
      <w:r>
        <w:t xml:space="preserve">As the voices declaim these words together like a solemn choral recitative,</w:t>
      </w:r>
      <w:r>
        <w:t xml:space="preserve"> </w:t>
      </w:r>
      <w:r>
        <w:t xml:space="preserve">breaking the chordal texture only for a mild dissonant suspension of the words</w:t>
      </w:r>
      <w:r>
        <w:t xml:space="preserve"> </w:t>
      </w:r>
      <w:r>
        <w:rPr>
          <w:i/>
        </w:rPr>
        <w:t xml:space="preserve">light dissonances</w:t>
      </w:r>
      <w:r>
        <w:t xml:space="preserve">, the other chorus is literally counting twenty-seven</w:t>
      </w:r>
      <w:r>
        <w:t xml:space="preserve"> </w:t>
      </w:r>
      <w:r>
        <w:t xml:space="preserve">measures of rests until their entrance.</w:t>
      </w:r>
    </w:p>
    <w:p>
      <w:pPr>
        <w:pStyle w:val="BodyText"/>
      </w:pPr>
      <w:r>
        <w:t xml:space="preserve">Thus begins a tour-de-force of music about music, in which the composer and his</w:t>
      </w:r>
      <w:r>
        <w:t xml:space="preserve"> </w:t>
      </w:r>
      <w:r>
        <w:t xml:space="preserve">ensemble take a verbal discourse about music and turn it into a musical</w:t>
      </w:r>
      <w:r>
        <w:t xml:space="preserve"> </w:t>
      </w:r>
      <w:r>
        <w:t xml:space="preserve">discourse about music.</w:t>
      </w:r>
      <w:r>
        <w:t xml:space="preserve"> </w:t>
      </w:r>
      <w:r>
        <w:t xml:space="preserve">Moreover, even as this discourse is referrring through music to the music that</w:t>
      </w:r>
      <w:r>
        <w:t xml:space="preserve"> </w:t>
      </w:r>
      <w:r>
        <w:t xml:space="preserve">is currently being performed and heard, this discourse is not only about</w:t>
      </w:r>
      <w:r>
        <w:t xml:space="preserve"> </w:t>
      </w:r>
      <w:r>
        <w:t xml:space="preserve">sounding music or</w:t>
      </w:r>
      <w:r>
        <w:t xml:space="preserve"> </w:t>
      </w:r>
      <w:r>
        <w:rPr>
          <w:i/>
        </w:rPr>
        <w:t xml:space="preserve">musica instrumentalis</w:t>
      </w:r>
      <w:r>
        <w:t xml:space="preserve">.</w:t>
      </w:r>
    </w:p>
    <w:p>
      <w:pPr>
        <w:pStyle w:val="Heading3"/>
      </w:pPr>
      <w:bookmarkStart w:id="23" w:name="christ-as-music-in-the-poem"/>
      <w:bookmarkEnd w:id="23"/>
      <w:r>
        <w:t xml:space="preserve">Christ as Music in the Poem</w:t>
      </w:r>
    </w:p>
    <w:p>
      <w:pPr>
        <w:pStyle w:val="FirstParagraph"/>
      </w:pPr>
      <w:r>
        <w:t xml:space="preserve">Any consideration of this complex piece should begin with a careful reading of</w:t>
      </w:r>
      <w:r>
        <w:t xml:space="preserve"> </w:t>
      </w:r>
      <w:r>
        <w:t xml:space="preserve">the poetic text and listening to the musical setting (even better, singing or</w:t>
      </w:r>
      <w:r>
        <w:t xml:space="preserve"> </w:t>
      </w:r>
      <w:r>
        <w:t xml:space="preserve">playing it).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It will probably be readily apparent that this is a different type of</w:t>
      </w:r>
      <w:r>
        <w:t xml:space="preserve"> </w:t>
      </w:r>
      <w:r>
        <w:t xml:space="preserve">villancico entirely from the comic villancicos more commonly heard in recent</w:t>
      </w:r>
      <w:r>
        <w:t xml:space="preserve"> </w:t>
      </w:r>
      <w:r>
        <w:t xml:space="preserve">performances and recordings.</w:t>
      </w:r>
      <w:r>
        <w:t xml:space="preserve"> </w:t>
      </w:r>
      <w:r>
        <w:t xml:space="preserve">The poem, whose author is unknown, is so elaborately contrived that it may seem</w:t>
      </w:r>
      <w:r>
        <w:t xml:space="preserve"> </w:t>
      </w:r>
      <w:r>
        <w:t xml:space="preserve">completely unintelligible at the first encounter.</w:t>
      </w:r>
      <w:r>
        <w:t xml:space="preserve"> </w:t>
      </w:r>
      <w:r>
        <w:t xml:space="preserve">There is, indeed, no simple way to approach the text: anywhere one starts one</w:t>
      </w:r>
      <w:r>
        <w:t xml:space="preserve"> </w:t>
      </w:r>
      <w:r>
        <w:t xml:space="preserve">immediately becomes tangled in a thicket of ambiguous references and cryptic</w:t>
      </w:r>
      <w:r>
        <w:t xml:space="preserve"> </w:t>
      </w:r>
      <w:r>
        <w:t xml:space="preserve">phrases, and it is not possible to understand the text fully without reading it</w:t>
      </w:r>
      <w:r>
        <w:t xml:space="preserve"> </w:t>
      </w:r>
      <w:r>
        <w:t xml:space="preserve">as the distillation of tropes and doctrines developed through centuries of</w:t>
      </w:r>
      <w:r>
        <w:t xml:space="preserve"> </w:t>
      </w:r>
      <w:r>
        <w:t xml:space="preserve">theological literature and liturgy.</w:t>
      </w:r>
      <w:r>
        <w:t xml:space="preserve"> </w:t>
      </w:r>
      <w:r>
        <w:t xml:space="preserve">The piece demands a high level of intellectual engagement to tease out the</w:t>
      </w:r>
      <w:r>
        <w:t xml:space="preserve"> </w:t>
      </w:r>
      <w:r>
        <w:t xml:space="preserve">intricate conceit, and may thus be compared with what Bernardo Illari describes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enigma</w:t>
      </w:r>
      <w:r>
        <w:t xml:space="preserve">”</w:t>
      </w:r>
      <w:r>
        <w:t xml:space="preserve"> </w:t>
      </w:r>
      <w:r>
        <w:t xml:space="preserve">villancicos.</w:t>
      </w:r>
      <w:r>
        <w:rPr>
          <w:rStyle w:val="FootnoteReference"/>
        </w:rPr>
        <w:footnoteReference w:id="25"/>
      </w:r>
    </w:p>
    <w:p>
      <w:pPr>
        <w:pStyle w:val="BodyText"/>
      </w:pPr>
      <w:r>
        <w:t xml:space="preserve">Part of its difficulty comes from the widespread influence of the poetry of Luis</w:t>
      </w:r>
      <w:r>
        <w:t xml:space="preserve"> </w:t>
      </w:r>
      <w:r>
        <w:t xml:space="preserve">de Góngora, who played a similar role for Spanish literature on both sides of</w:t>
      </w:r>
      <w:r>
        <w:t xml:space="preserve"> </w:t>
      </w:r>
      <w:r>
        <w:t xml:space="preserve">the Atlantic to that of Giambattista Marino in Italian letters, as the</w:t>
      </w:r>
      <w:r>
        <w:t xml:space="preserve"> </w:t>
      </w:r>
      <w:r>
        <w:t xml:space="preserve">originator of a new aesthetic (referred to as</w:t>
      </w:r>
      <w:r>
        <w:t xml:space="preserve"> </w:t>
      </w:r>
      <w:r>
        <w:rPr>
          <w:i/>
        </w:rPr>
        <w:t xml:space="preserve">barroco</w:t>
      </w:r>
      <w:r>
        <w:t xml:space="preserve"> </w:t>
      </w:r>
      <w:r>
        <w:t xml:space="preserve">by Spanish literary</w:t>
      </w:r>
      <w:r>
        <w:t xml:space="preserve"> </w:t>
      </w:r>
      <w:r>
        <w:t xml:space="preserve">scholars)</w:t>
      </w:r>
      <w:r>
        <w:t xml:space="preserve"> </w:t>
      </w:r>
      <w:r>
        <w:t xml:space="preserve"> </w:t>
      </w:r>
      <w:r>
        <w:t xml:space="preserve">that emphasized learned artifice and highly wraught dramatic effects.</w:t>
      </w:r>
      <w:r>
        <w:t xml:space="preserve"> </w:t>
      </w:r>
      <w:r>
        <w:t xml:space="preserve">Gongoresque poets like the author of</w:t>
      </w:r>
      <w:r>
        <w:t xml:space="preserve"> </w:t>
      </w:r>
      <w:r>
        <w:rPr>
          <w:i/>
        </w:rPr>
        <w:t xml:space="preserve">Voces</w:t>
      </w:r>
      <w:r>
        <w:t xml:space="preserve"> </w:t>
      </w:r>
      <w:r>
        <w:t xml:space="preserve">reveled in arcane plays</w:t>
      </w:r>
      <w:r>
        <w:t xml:space="preserve"> </w:t>
      </w:r>
      <w:r>
        <w:t xml:space="preserve">on words, contorted Latinate syntax, and multiple levels of</w:t>
      </w:r>
      <w:r>
        <w:t xml:space="preserve"> </w:t>
      </w:r>
      <w:r>
        <w:t xml:space="preserve">meanings.</w:t>
      </w:r>
      <w:r>
        <w:rPr>
          <w:rStyle w:val="FootnoteReference"/>
        </w:rPr>
        <w:footnoteReference w:id="26"/>
      </w:r>
    </w:p>
    <w:p>
      <w:pPr>
        <w:pStyle w:val="BodyText"/>
      </w:pPr>
      <w:r>
        <w:t xml:space="preserve">To begin simply, though, this poem represents the tradition of Spanish</w:t>
      </w:r>
      <w:r>
        <w:t xml:space="preserve"> </w:t>
      </w:r>
      <w:r>
        <w:rPr>
          <w:i/>
        </w:rPr>
        <w:t xml:space="preserve">conceptismo</w:t>
      </w:r>
      <w:r>
        <w:t xml:space="preserve">, in which the poet creates a sustained analogy between at</w:t>
      </w:r>
      <w:r>
        <w:t xml:space="preserve"> </w:t>
      </w:r>
      <w:r>
        <w:t xml:space="preserve">least two different things such that the understanding of each one informs the</w:t>
      </w:r>
      <w:r>
        <w:t xml:space="preserve"> </w:t>
      </w:r>
      <w:r>
        <w:t xml:space="preserve">other.</w:t>
      </w:r>
      <w:r>
        <w:t xml:space="preserve"> </w:t>
      </w:r>
      <w:r>
        <w:t xml:space="preserve">Here the two elements are music—specifically choral singing—and the</w:t>
      </w:r>
      <w:r>
        <w:t xml:space="preserve"> </w:t>
      </w:r>
      <w:r>
        <w:t xml:space="preserve">Incarnate Christ at his birth.</w:t>
      </w:r>
    </w:p>
    <w:p>
      <w:pPr>
        <w:pStyle w:val="Heading1"/>
      </w:pPr>
      <w:bookmarkStart w:id="27" w:name="bibliography"/>
      <w:bookmarkEnd w:id="27"/>
      <w:r>
        <w:t xml:space="preserve">Bibliography</w:t>
      </w:r>
    </w:p>
    <w:p>
      <w:pPr>
        <w:pStyle w:val="Bibliography"/>
      </w:pPr>
      <w:r>
        <w:t xml:space="preserve">Cashner, Andrew A. “Faith, Hearing, and the Power of Music in Hispanic Villancicos, 1600–1700.” PhD diss., University of Chicago, 2015.</w:t>
      </w:r>
    </w:p>
    <w:p>
      <w:pPr>
        <w:pStyle w:val="Bibliography"/>
      </w:pPr>
      <w:r>
        <w:t xml:space="preserve">Gaylord, Mary Malcolm. “The Making of Baroque Poetry.” In</w:t>
      </w:r>
      <w:r>
        <w:t xml:space="preserve"> </w:t>
      </w:r>
      <w:r>
        <w:rPr>
          <w:i/>
        </w:rPr>
        <w:t xml:space="preserve">The Cambridge History of Spanish Literature</w:t>
      </w:r>
      <w:r>
        <w:t xml:space="preserve">, edited by David Gies, 222–37. Cambridge: Cambridge University Press, 2004.</w:t>
      </w:r>
    </w:p>
    <w:p>
      <w:pPr>
        <w:pStyle w:val="Bibliography"/>
      </w:pPr>
      <w:r>
        <w:t xml:space="preserve">Illari, Bernardo. “Polychoral Culture: Cathedral Music in La Plata (Bolivia), 1680–1730.” PhD diss., University of Chicago, 2001.</w:t>
      </w:r>
    </w:p>
    <w:p>
      <w:pPr>
        <w:pStyle w:val="Bibliography"/>
      </w:pPr>
      <w:r>
        <w:t xml:space="preserve">Valbuena Prat, Ángel.</w:t>
      </w:r>
      <w:r>
        <w:t xml:space="preserve"> </w:t>
      </w:r>
      <w:r>
        <w:rPr>
          <w:i/>
        </w:rPr>
        <w:t xml:space="preserve">Historia de La Literatura Española</w:t>
      </w:r>
      <w:r>
        <w:t xml:space="preserve">. 2nd ed. 2 vols. Barcelona: Editorial Gustavo Gili, 1946.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Andrew A. Cashner, “Faith, Hearing, and the Power of Music in Hispanic Villancicos, 1600–1700” (PhD diss., University of Chicago, 2015).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Bernardo Illari, “Polychoral Culture: Cathedral Music in La Plata (Bolivia), 1680–1730” (PhD diss., University of Chicago, 2001), vols. 2, 304–8.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Mary Malcolm Gaylord, “The Making of Baroque Poetry,” in</w:t>
      </w:r>
      <w:r>
        <w:t xml:space="preserve"> </w:t>
      </w:r>
      <w:r>
        <w:rPr>
          <w:i/>
        </w:rPr>
        <w:t xml:space="preserve">The Cambridge History of Spanish Literature</w:t>
      </w:r>
      <w:r>
        <w:t xml:space="preserve">, ed. David Gies (Cambridge: Cambridge University Press, 2004), 222–37</w:t>
      </w:r>
      <w:r>
        <w:t xml:space="preserve">, 222–237;</w:t>
      </w:r>
      <w:r>
        <w:t xml:space="preserve"> </w:t>
      </w:r>
      <w:r>
        <w:t xml:space="preserve">Ángel Valbuena Prat,</w:t>
      </w:r>
      <w:r>
        <w:t xml:space="preserve"> </w:t>
      </w:r>
      <w:r>
        <w:rPr>
          <w:i/>
        </w:rPr>
        <w:t xml:space="preserve">Historia de La Literatura Española</w:t>
      </w:r>
      <w:r>
        <w:t xml:space="preserve">, 2nd ed., 2 vols. (Barcelona: Editorial Gustavo Gili, 1946)</w:t>
      </w:r>
      <w:r>
        <w:t xml:space="preserve">, vol. 1, 1014–1061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2f6a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Faith, Hearing, and the Power of Music in Devotional Music of the Spanish Empire</dc:title>
  <dc:creator>Andrew A. Cashner</dc:creator>
  <dcterms:created xsi:type="dcterms:W3CDTF">2017-10-30T15:20:17Z</dcterms:created>
  <dcterms:modified xsi:type="dcterms:W3CDTF">2017-10-30T15:20:17Z</dcterms:modified>
</cp:coreProperties>
</file>