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Section 3C: Eligibility </w:t>
        <w:br w:type="textWrapping"/>
      </w:r>
      <w:r w:rsidDel="00000000" w:rsidR="00000000" w:rsidRPr="00000000">
        <w:rPr>
          <w:color w:val="666666"/>
          <w:sz w:val="22"/>
          <w:szCs w:val="22"/>
          <w:rtl w:val="0"/>
        </w:rPr>
        <w:t xml:space="preserve">Note to Medicaid Expansion states: </w:t>
      </w:r>
      <w:r w:rsidDel="00000000" w:rsidR="00000000" w:rsidRPr="00000000">
        <w:rPr>
          <w:b w:val="0"/>
          <w:color w:val="666666"/>
          <w:sz w:val="22"/>
          <w:szCs w:val="22"/>
          <w:rtl w:val="0"/>
        </w:rPr>
        <w:t xml:space="preserve">The first question may not apply to your state. Answer “N/A” if it doesn’t apply. </w:t>
      </w:r>
      <w:r w:rsidDel="00000000" w:rsidR="00000000" w:rsidRPr="00000000">
        <w:rPr>
          <w:b w:val="0"/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spacing w:after="0" w:lineRule="auto"/>
        <w:ind w:left="0" w:firstLine="0"/>
        <w:rPr>
          <w:sz w:val="28"/>
          <w:szCs w:val="28"/>
        </w:rPr>
      </w:pPr>
      <w:bookmarkStart w:colFirst="0" w:colLast="0" w:name="_9j4eaac5t9jg" w:id="0"/>
      <w:bookmarkEnd w:id="0"/>
      <w:r w:rsidDel="00000000" w:rsidR="00000000" w:rsidRPr="00000000">
        <w:rPr>
          <w:sz w:val="28"/>
          <w:szCs w:val="28"/>
          <w:rtl w:val="0"/>
        </w:rPr>
        <w:t xml:space="preserve">Part 1: Eligibility Renewal and Retention</w:t>
      </w:r>
    </w:p>
    <w:p w:rsidR="00000000" w:rsidDel="00000000" w:rsidP="00000000" w:rsidRDefault="00000000" w:rsidRPr="00000000" w14:paraId="00000003">
      <w:pPr>
        <w:keepNext w:val="1"/>
        <w:numPr>
          <w:ilvl w:val="0"/>
          <w:numId w:val="2"/>
        </w:numPr>
        <w:tabs>
          <w:tab w:val="left" w:pos="720"/>
          <w:tab w:val="left" w:pos="1080"/>
          <w:tab w:val="left" w:pos="2160"/>
        </w:tabs>
        <w:spacing w:after="160" w:before="240" w:line="240" w:lineRule="auto"/>
        <w:ind w:left="720" w:hanging="360"/>
        <w:rPr>
          <w:color w:val="000000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Do you have authority in your CHIP state plan to provide for presumptive eligibility, and have you implemented this? </w:t>
      </w:r>
    </w:p>
    <w:p w:rsidR="00000000" w:rsidDel="00000000" w:rsidP="00000000" w:rsidRDefault="00000000" w:rsidRPr="00000000" w14:paraId="00000004">
      <w:pPr>
        <w:keepNext w:val="1"/>
        <w:tabs>
          <w:tab w:val="left" w:pos="720"/>
          <w:tab w:val="left" w:pos="1080"/>
          <w:tab w:val="left" w:pos="2160"/>
        </w:tabs>
        <w:spacing w:after="160" w:before="240" w:line="240" w:lineRule="auto"/>
        <w:ind w:left="720" w:firstLine="0"/>
        <w:rPr>
          <w:rFonts w:ascii="Arial" w:cs="Arial" w:eastAsia="Arial" w:hAnsi="Arial"/>
          <w:b w:val="0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rtl w:val="0"/>
        </w:rPr>
        <w:t xml:space="preserve">Answer “Yes,” “No,” or “N/A.”</w:t>
        <w:br w:type="textWrapping"/>
      </w:r>
      <w:r w:rsidDel="00000000" w:rsidR="00000000" w:rsidRPr="00000000">
        <w:rPr>
          <w:rFonts w:ascii="Arial" w:cs="Arial" w:eastAsia="Arial" w:hAnsi="Arial"/>
          <w:b w:val="0"/>
          <w:color w:val="000000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05">
      <w:pPr>
        <w:ind w:left="720" w:firstLine="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If you answered YES: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/>
        <w:ind w:left="1440" w:hanging="360"/>
        <w:rPr>
          <w:rFonts w:ascii="Arial" w:cs="Arial" w:eastAsia="Arial" w:hAnsi="Arial"/>
          <w:color w:val="000000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rtl w:val="0"/>
        </w:rPr>
        <w:t xml:space="preserve">What percent of children are presumptively enrolled in CHIP pending a full eligibility determination? [For example, “23.17”]</w:t>
        <w:br w:type="textWrapping"/>
        <w:t xml:space="preserve"> 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/>
        <w:ind w:left="144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rtl w:val="0"/>
        </w:rPr>
        <w:t xml:space="preserve">Of those children who are presumptively enrolled, what percent are determined fully eligible and enrolled in the program? [For example, “23.17”]</w:t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1"/>
        <w:numPr>
          <w:ilvl w:val="0"/>
          <w:numId w:val="2"/>
        </w:numPr>
        <w:tabs>
          <w:tab w:val="left" w:pos="720"/>
          <w:tab w:val="left" w:pos="1080"/>
          <w:tab w:val="left" w:pos="2160"/>
        </w:tabs>
        <w:spacing w:after="0" w:afterAutospacing="0" w:before="0" w:beforeAutospacing="0" w:line="240" w:lineRule="auto"/>
        <w:ind w:left="720" w:hanging="360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Tell us how your state simplifies the eligibility renewal process for families in order to retain more children in CHIP.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8"/>
          <w:szCs w:val="28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1"/>
        <w:numPr>
          <w:ilvl w:val="0"/>
          <w:numId w:val="4"/>
        </w:numPr>
        <w:tabs>
          <w:tab w:val="left" w:pos="720"/>
          <w:tab w:val="left" w:pos="1080"/>
          <w:tab w:val="left" w:pos="2160"/>
        </w:tabs>
        <w:spacing w:after="0" w:afterAutospacing="0" w:before="0" w:beforeAutospacing="0" w:line="240" w:lineRule="auto"/>
        <w:ind w:left="144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rtl w:val="0"/>
        </w:rPr>
        <w:t xml:space="preserve">Do you conduct follow-up communication with families through caseworkers and outreach workers? </w:t>
        <w:br w:type="textWrapping"/>
        <w:br w:type="textWrapping"/>
        <w:t xml:space="preserve">Answer “Yes” or “No.” </w:t>
        <w:br w:type="textWrapping"/>
        <w:br w:type="textWrapping"/>
      </w:r>
    </w:p>
    <w:p w:rsidR="00000000" w:rsidDel="00000000" w:rsidP="00000000" w:rsidRDefault="00000000" w:rsidRPr="00000000" w14:paraId="0000000A">
      <w:pPr>
        <w:keepNext w:val="1"/>
        <w:numPr>
          <w:ilvl w:val="0"/>
          <w:numId w:val="4"/>
        </w:numPr>
        <w:tabs>
          <w:tab w:val="left" w:pos="720"/>
          <w:tab w:val="left" w:pos="1080"/>
          <w:tab w:val="left" w:pos="2160"/>
        </w:tabs>
        <w:spacing w:after="0" w:afterAutospacing="0" w:before="0" w:beforeAutospacing="0" w:line="240" w:lineRule="auto"/>
        <w:ind w:left="144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rtl w:val="0"/>
        </w:rPr>
        <w:t xml:space="preserve">Do you send renewal reminder notices to all families? </w:t>
        <w:br w:type="textWrapping"/>
        <w:br w:type="textWrapping"/>
        <w:t xml:space="preserve">Answer “Yes” or “No.” </w:t>
        <w:br w:type="textWrapping"/>
        <w:br w:type="textWrapping"/>
      </w:r>
    </w:p>
    <w:p w:rsidR="00000000" w:rsidDel="00000000" w:rsidP="00000000" w:rsidRDefault="00000000" w:rsidRPr="00000000" w14:paraId="0000000B">
      <w:pPr>
        <w:keepNext w:val="1"/>
        <w:numPr>
          <w:ilvl w:val="0"/>
          <w:numId w:val="4"/>
        </w:numPr>
        <w:tabs>
          <w:tab w:val="left" w:pos="720"/>
          <w:tab w:val="left" w:pos="1080"/>
          <w:tab w:val="left" w:pos="2160"/>
        </w:tabs>
        <w:spacing w:after="0" w:afterAutospacing="0" w:before="0" w:beforeAutospacing="0" w:line="240" w:lineRule="auto"/>
        <w:ind w:left="1440" w:hanging="360"/>
        <w:rPr>
          <w:rFonts w:ascii="Arial" w:cs="Arial" w:eastAsia="Arial" w:hAnsi="Arial"/>
          <w:b w:val="0"/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rtl w:val="0"/>
        </w:rPr>
        <w:t xml:space="preserve">How many notices do you send to families before disenrolling a child from the program? 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[500 characters max]</w:t>
        <w:br w:type="textWrapping"/>
        <w:br w:type="textWrapping"/>
      </w:r>
    </w:p>
    <w:p w:rsidR="00000000" w:rsidDel="00000000" w:rsidP="00000000" w:rsidRDefault="00000000" w:rsidRPr="00000000" w14:paraId="0000000C">
      <w:pPr>
        <w:keepNext w:val="1"/>
        <w:numPr>
          <w:ilvl w:val="0"/>
          <w:numId w:val="4"/>
        </w:numPr>
        <w:tabs>
          <w:tab w:val="left" w:pos="720"/>
          <w:tab w:val="left" w:pos="1080"/>
          <w:tab w:val="left" w:pos="2160"/>
        </w:tabs>
        <w:spacing w:after="0" w:afterAutospacing="0" w:before="0" w:beforeAutospacing="0" w:line="240" w:lineRule="auto"/>
        <w:ind w:left="1440" w:hanging="360"/>
        <w:rPr>
          <w:rFonts w:ascii="Arial" w:cs="Arial" w:eastAsia="Arial" w:hAnsi="Arial"/>
          <w:b w:val="0"/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rtl w:val="0"/>
        </w:rPr>
        <w:t xml:space="preserve">How many weeks before the end of the eligibility period do you send your reminder notices to families?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 [500 characters max]</w:t>
        <w:br w:type="textWrapping"/>
        <w:br w:type="textWrapping"/>
      </w:r>
    </w:p>
    <w:p w:rsidR="00000000" w:rsidDel="00000000" w:rsidP="00000000" w:rsidRDefault="00000000" w:rsidRPr="00000000" w14:paraId="0000000D">
      <w:pPr>
        <w:keepNext w:val="1"/>
        <w:numPr>
          <w:ilvl w:val="0"/>
          <w:numId w:val="4"/>
        </w:numPr>
        <w:tabs>
          <w:tab w:val="left" w:pos="720"/>
          <w:tab w:val="left" w:pos="1080"/>
          <w:tab w:val="left" w:pos="2160"/>
        </w:tabs>
        <w:spacing w:after="0" w:afterAutospacing="0" w:before="0" w:beforeAutospacing="0" w:line="240" w:lineRule="auto"/>
        <w:ind w:left="1440" w:hanging="360"/>
        <w:rPr>
          <w:rFonts w:ascii="Arial" w:cs="Arial" w:eastAsia="Arial" w:hAnsi="Arial"/>
          <w:b w:val="0"/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rtl w:val="0"/>
        </w:rPr>
        <w:t xml:space="preserve">What else do you do to simplify the eligibility renewal process for families in order to increase retention?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[500 characters max]</w:t>
        <w:br w:type="textWrapping"/>
        <w:br w:type="textWrapping"/>
        <w:br w:type="textWrapping"/>
      </w:r>
    </w:p>
    <w:p w:rsidR="00000000" w:rsidDel="00000000" w:rsidP="00000000" w:rsidRDefault="00000000" w:rsidRPr="00000000" w14:paraId="0000000E">
      <w:pPr>
        <w:keepNext w:val="1"/>
        <w:numPr>
          <w:ilvl w:val="0"/>
          <w:numId w:val="2"/>
        </w:numPr>
        <w:tabs>
          <w:tab w:val="left" w:pos="720"/>
          <w:tab w:val="left" w:pos="1080"/>
          <w:tab w:val="left" w:pos="2160"/>
        </w:tabs>
        <w:spacing w:after="160" w:before="0" w:beforeAutospacing="0" w:line="240" w:lineRule="auto"/>
        <w:ind w:left="720" w:hanging="360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Which retention strategies have been most effective for your state? How have you evaluated the effectiveness of your strategies? Include any data sources and your methodology for tracking effectiveness. 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0"/>
        </w:rPr>
        <w:t xml:space="preserve">[7500 characters max]</w:t>
        <w:br w:type="textWrapping"/>
      </w:r>
    </w:p>
    <w:p w:rsidR="00000000" w:rsidDel="00000000" w:rsidP="00000000" w:rsidRDefault="00000000" w:rsidRPr="00000000" w14:paraId="0000000F">
      <w:pPr>
        <w:keepNext w:val="1"/>
        <w:tabs>
          <w:tab w:val="left" w:pos="720"/>
          <w:tab w:val="left" w:pos="1080"/>
          <w:tab w:val="left" w:pos="2160"/>
        </w:tabs>
        <w:spacing w:after="160" w:before="240" w:line="240" w:lineRule="auto"/>
        <w:ind w:left="0" w:firstLine="0"/>
        <w:rPr>
          <w:rFonts w:ascii="Arial" w:cs="Arial" w:eastAsia="Arial" w:hAnsi="Arial"/>
          <w:b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spacing w:after="0" w:lineRule="auto"/>
        <w:ind w:left="0" w:firstLine="0"/>
        <w:rPr>
          <w:sz w:val="28"/>
          <w:szCs w:val="28"/>
        </w:rPr>
      </w:pPr>
      <w:bookmarkStart w:colFirst="0" w:colLast="0" w:name="_cu4a6zi05f4j" w:id="1"/>
      <w:bookmarkEnd w:id="1"/>
      <w:r w:rsidDel="00000000" w:rsidR="00000000" w:rsidRPr="00000000">
        <w:rPr>
          <w:sz w:val="28"/>
          <w:szCs w:val="28"/>
          <w:rtl w:val="0"/>
        </w:rPr>
        <w:t xml:space="preserve">Part 2: Eligibility Data </w:t>
      </w:r>
    </w:p>
    <w:p w:rsidR="00000000" w:rsidDel="00000000" w:rsidP="00000000" w:rsidRDefault="00000000" w:rsidRPr="00000000" w14:paraId="00000011">
      <w:pPr>
        <w:keepNext w:val="1"/>
        <w:tabs>
          <w:tab w:val="left" w:pos="720"/>
          <w:tab w:val="left" w:pos="1080"/>
          <w:tab w:val="left" w:pos="2160"/>
        </w:tabs>
        <w:spacing w:after="160" w:before="240" w:line="240" w:lineRule="auto"/>
        <w:ind w:left="0" w:firstLine="0"/>
        <w:rPr>
          <w:rFonts w:ascii="Arial" w:cs="Arial" w:eastAsia="Arial" w:hAnsi="Arial"/>
          <w:b w:val="0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ab/>
        <w:t xml:space="preserve">A. Denials of Title XXI Coverage in FFY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1"/>
        <w:tabs>
          <w:tab w:val="left" w:pos="720"/>
          <w:tab w:val="left" w:pos="1080"/>
          <w:tab w:val="left" w:pos="2160"/>
        </w:tabs>
        <w:spacing w:after="160" w:before="240" w:line="240" w:lineRule="auto"/>
        <w:ind w:left="0" w:firstLine="0"/>
        <w:rPr>
          <w:rFonts w:ascii="Arial" w:cs="Arial" w:eastAsia="Arial" w:hAnsi="Arial"/>
          <w:b w:val="0"/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rtl w:val="0"/>
        </w:rPr>
        <w:t xml:space="preserve">Enter your data below and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0"/>
        </w:rPr>
        <w:t xml:space="preserve">the percentages will be automatically calculated in the final report.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tabs>
          <w:tab w:val="left" w:pos="1440"/>
        </w:tabs>
        <w:spacing w:after="120" w:before="0" w:line="240" w:lineRule="auto"/>
        <w:ind w:left="720" w:hanging="360"/>
        <w:rPr>
          <w:rFonts w:ascii="Arial" w:cs="Arial" w:eastAsia="Arial" w:hAnsi="Arial"/>
          <w:b w:val="0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What is the total number of denials of Title XXI coverage?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0"/>
        </w:rPr>
        <w:t xml:space="preserve">This is the number of applicants that were denied Title XXI coverage.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0"/>
        </w:rPr>
        <w:t xml:space="preserve">This only includes denials for Title XXI at the time of initial application, not redetermination.</w:t>
        <w:br w:type="textWrapping"/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tabs>
          <w:tab w:val="left" w:pos="1440"/>
        </w:tabs>
        <w:spacing w:after="120" w:before="0" w:line="240" w:lineRule="auto"/>
        <w:ind w:left="720" w:hanging="360"/>
        <w:rPr>
          <w:rFonts w:ascii="Arial" w:cs="Arial" w:eastAsia="Arial" w:hAnsi="Arial"/>
          <w:b w:val="0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What is the number of procedural denials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0"/>
        </w:rPr>
        <w:t xml:space="preserve">? This is the number of applicants who were denied Title XXI coverage for procedural reasons (for example: an incomplete application, missing documentation, missing enrollment fee, etc.)</w:t>
        <w:br w:type="textWrapping"/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tabs>
          <w:tab w:val="left" w:pos="1440"/>
        </w:tabs>
        <w:spacing w:after="0" w:afterAutospacing="0" w:before="0" w:line="240" w:lineRule="auto"/>
        <w:ind w:left="720" w:hanging="360"/>
        <w:rPr>
          <w:rFonts w:ascii="Arial" w:cs="Arial" w:eastAsia="Arial" w:hAnsi="Arial"/>
          <w:b w:val="0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What is the number of eligibility denials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0"/>
        </w:rPr>
        <w:t xml:space="preserve">? This is the number of applicants who were denied Title XXI coverage for eligibility reasons (for example: income was too high, income was too low, they were determined Medicaid eligible instead, they obtained private coverage instead, etc.)</w:t>
        <w:br w:type="textWrapping"/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tabs>
          <w:tab w:val="left" w:pos="1440"/>
        </w:tabs>
        <w:spacing w:after="0" w:afterAutospacing="0" w:before="0" w:line="240" w:lineRule="auto"/>
        <w:ind w:left="144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What is the number of applicants denied Title XXI and enrolled in Title XIX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(of the total number of eligibility denials)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?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0"/>
        </w:rPr>
        <w:t xml:space="preserve"> This is the number of applicants who were denied eligibility for Title XXI and determined eligible for Title XIX instead.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tabs>
          <w:tab w:val="left" w:pos="1440"/>
        </w:tabs>
        <w:spacing w:after="120" w:before="0" w:line="240" w:lineRule="auto"/>
        <w:ind w:left="720" w:hanging="360"/>
        <w:rPr>
          <w:rFonts w:ascii="Arial" w:cs="Arial" w:eastAsia="Arial" w:hAnsi="Arial"/>
          <w:b w:val="0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What is the number of applicants denied for other reasons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0"/>
        </w:rPr>
        <w:t xml:space="preserve">? This is anyone denied coverage for any other reasons. If this doesn’t apply to your state, enter “0.” 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pos="1440"/>
        </w:tabs>
        <w:spacing w:after="120" w:before="0" w:line="240" w:lineRule="auto"/>
        <w:ind w:left="0" w:firstLine="0"/>
        <w:rPr>
          <w:rFonts w:ascii="Arial" w:cs="Arial" w:eastAsia="Arial" w:hAnsi="Arial"/>
          <w:b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1"/>
        <w:tabs>
          <w:tab w:val="left" w:pos="720"/>
          <w:tab w:val="left" w:pos="1080"/>
          <w:tab w:val="left" w:pos="2160"/>
        </w:tabs>
        <w:spacing w:after="160" w:before="240" w:line="240" w:lineRule="auto"/>
        <w:ind w:left="0" w:firstLine="0"/>
        <w:rPr>
          <w:rFonts w:ascii="Arial" w:cs="Arial" w:eastAsia="Arial" w:hAnsi="Arial"/>
          <w:b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tabs>
          <w:tab w:val="left" w:pos="720"/>
          <w:tab w:val="left" w:pos="1080"/>
          <w:tab w:val="left" w:pos="2160"/>
        </w:tabs>
        <w:spacing w:after="160" w:before="240" w:line="240" w:lineRule="auto"/>
        <w:ind w:left="720" w:hanging="360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Did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 you have any limitations on reporting data in the above table (such as the Single Streamlined Application)? Anything else you’d like to add about this section that wasn’t already covered? </w:t>
        <w:br w:type="textWrapping"/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Helvetica Neue" w:cs="Helvetica Neue" w:eastAsia="Helvetica Neue" w:hAnsi="Helvetica Neue"/>
        <w:b w:val="1"/>
        <w:color w:val="046b99"/>
        <w:sz w:val="24"/>
        <w:szCs w:val="24"/>
        <w:lang w:val="en"/>
      </w:rPr>
    </w:rPrDefault>
    <w:pPrDefault>
      <w:pPr>
        <w:spacing w:after="300" w:before="100" w:line="276" w:lineRule="auto"/>
        <w:ind w:left="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0" w:lineRule="auto"/>
    </w:pPr>
    <w:rPr>
      <w:b w:val="1"/>
      <w:color w:val="046b99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100" w:before="500" w:lineRule="auto"/>
    </w:pPr>
    <w:rPr>
      <w:b w:val="1"/>
      <w:color w:val="000000"/>
      <w:sz w:val="36"/>
      <w:szCs w:val="36"/>
      <w:highlight w:val="white"/>
    </w:rPr>
  </w:style>
  <w:style w:type="paragraph" w:styleId="Heading3">
    <w:name w:val="heading 3"/>
    <w:basedOn w:val="Normal"/>
    <w:next w:val="Normal"/>
    <w:pPr>
      <w:keepNext w:val="1"/>
      <w:keepLines w:val="1"/>
      <w:spacing w:after="280" w:before="200" w:lineRule="auto"/>
    </w:pPr>
    <w:rPr>
      <w:color w:val="222222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200" w:lineRule="auto"/>
    </w:pPr>
    <w:rPr>
      <w:b w:val="1"/>
      <w:color w:val="444444"/>
    </w:rPr>
  </w:style>
  <w:style w:type="paragraph" w:styleId="Heading5">
    <w:name w:val="heading 5"/>
    <w:basedOn w:val="Normal"/>
    <w:next w:val="Normal"/>
    <w:pPr>
      <w:keepNext w:val="1"/>
      <w:keepLines w:val="1"/>
      <w:ind w:left="15" w:firstLine="0"/>
    </w:pPr>
    <w:rPr>
      <w:b w:val="1"/>
      <w:color w:val="046b99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lineRule="auto"/>
    </w:pPr>
    <w:rPr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200" w:before="200" w:line="240" w:lineRule="auto"/>
    </w:pPr>
    <w:rPr>
      <w:b w:val="1"/>
      <w:color w:val="1c304a"/>
      <w:sz w:val="96"/>
      <w:szCs w:val="96"/>
      <w:highlight w:val="white"/>
    </w:rPr>
  </w:style>
  <w:style w:type="paragraph" w:styleId="Subtitle">
    <w:name w:val="Subtitle"/>
    <w:basedOn w:val="Normal"/>
    <w:next w:val="Normal"/>
    <w:pPr>
      <w:keepNext w:val="1"/>
      <w:keepLines w:val="1"/>
      <w:spacing w:before="0" w:lineRule="auto"/>
    </w:pPr>
    <w:rPr>
      <w:b w:val="1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