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  <w:br/>
      </w:r>
      <w:r>
        <w:rPr>
          <w:rFonts w:eastAsia="Times New Roman"/>
          <w:b/>
          <w:lang w:eastAsia="ru-RU"/>
        </w:rPr>
        <w:t xml:space="preserve">«Национальный исследовательский </w:t>
        <w:br/>
        <w:t>Нижегородский государственный университет им. Н.И. Лобачевского»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/>
          <w:b/>
          <w:lang w:eastAsia="ru-RU"/>
        </w:rPr>
        <w:t>(ННГУ)</w:t>
      </w:r>
    </w:p>
    <w:p>
      <w:pPr>
        <w:pStyle w:val="Normal"/>
        <w:spacing w:lineRule="auto" w:line="240" w:before="0" w:after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uppressAutoHyphens w:val="true"/>
        <w:spacing w:lineRule="auto" w:line="240" w:before="0" w:after="120"/>
        <w:ind w:firstLine="180"/>
        <w:jc w:val="center"/>
        <w:rPr>
          <w:rFonts w:eastAsia="Times New Roman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b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  <w:lang w:eastAsia="ru-RU"/>
        </w:rPr>
        <w:t>Отчет по лабораторной работе №1</w:t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На тему:</w:t>
      </w:r>
    </w:p>
    <w:p>
      <w:pPr>
        <w:pStyle w:val="Normal"/>
        <w:spacing w:lineRule="auto" w:line="240" w:before="0" w:after="0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/>
          <w:b/>
          <w:sz w:val="32"/>
          <w:szCs w:val="32"/>
          <w:lang w:eastAsia="ru-RU"/>
        </w:rPr>
        <w:t>«Реализация метода обратного распространения ошибки для двуслойной полностью связанной нейронной сети»</w:t>
      </w:r>
    </w:p>
    <w:p>
      <w:pPr>
        <w:pStyle w:val="Normal"/>
        <w:spacing w:lineRule="auto" w:line="240" w:before="0" w:after="0"/>
        <w:ind w:hanging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right"/>
        <w:rPr/>
      </w:pPr>
      <w:r>
        <w:rPr>
          <w:rFonts w:eastAsia="Times New Roman" w:cs="TimesNewRomanPSMT" w:ascii="TimesNewRomanPSMT" w:hAnsi="TimesNewRomanPSMT"/>
          <w:b/>
          <w:lang w:eastAsia="ru-RU"/>
        </w:rPr>
        <w:t xml:space="preserve">Выполнил: 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hanging="0"/>
        <w:jc w:val="righ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  <w:lang w:eastAsia="ru-RU"/>
        </w:rPr>
        <w:t>студент гр. 38160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  <w:lang w:eastAsia="ru-RU"/>
        </w:rPr>
        <w:t>3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  <w:lang w:eastAsia="ru-RU"/>
        </w:rPr>
        <w:t>-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  <w:lang w:eastAsia="ru-RU"/>
        </w:rPr>
        <w:t>3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  <w:lang w:eastAsia="ru-RU"/>
        </w:rPr>
        <w:t>м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righ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NewRomanPSMT" w:ascii="Liberation Serif" w:hAnsi="Liberation Serif"/>
          <w:b w:val="false"/>
          <w:bCs w:val="false"/>
          <w:sz w:val="24"/>
          <w:szCs w:val="24"/>
          <w:lang w:eastAsia="ru-RU"/>
        </w:rPr>
        <w:t>Аверин Андрей</w:t>
      </w:r>
    </w:p>
    <w:p>
      <w:pPr>
        <w:pStyle w:val="Normal"/>
        <w:tabs>
          <w:tab w:val="left" w:pos="5387" w:leader="none"/>
        </w:tabs>
        <w:spacing w:lineRule="auto" w:line="240" w:before="0" w:after="0"/>
        <w:jc w:val="left"/>
        <w:rPr>
          <w:rFonts w:ascii="TimesNewRomanPSMT" w:hAnsi="TimesNewRomanPSMT" w:eastAsia="Times New Roman" w:cs="TimesNewRomanPSMT"/>
          <w:color w:val="FFFFFF"/>
          <w:lang w:eastAsia="ru-RU"/>
        </w:rPr>
      </w:pPr>
      <w:r>
        <w:rPr>
          <w:rFonts w:eastAsia="Times New Roman" w:cs="TimesNewRomanPSMT" w:ascii="TimesNewRomanPSMT" w:hAnsi="TimesNewRomanPSMT"/>
          <w:color w:val="FFFFFF"/>
          <w:lang w:eastAsia="ru-RU"/>
        </w:rPr>
      </w:r>
    </w:p>
    <w:p>
      <w:pPr>
        <w:pStyle w:val="Normal"/>
        <w:tabs>
          <w:tab w:val="left" w:pos="3261" w:leader="none"/>
        </w:tabs>
        <w:spacing w:lineRule="auto" w:line="240" w:before="0" w:after="0"/>
        <w:ind w:left="4678" w:firstLine="567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tabs>
          <w:tab w:val="left" w:pos="3261" w:leader="none"/>
        </w:tabs>
        <w:spacing w:lineRule="auto" w:line="240" w:before="0" w:after="0"/>
        <w:ind w:left="4678" w:firstLine="567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tabs>
          <w:tab w:val="left" w:pos="3261" w:leader="none"/>
        </w:tabs>
        <w:spacing w:lineRule="auto" w:line="240" w:before="0" w:after="0"/>
        <w:ind w:left="4678" w:firstLine="567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/>
          <w:lang w:eastAsia="ru-RU"/>
        </w:rPr>
      </w:pPr>
      <w:r>
        <w:rPr/>
      </w:r>
    </w:p>
    <w:p>
      <w:pPr>
        <w:pStyle w:val="Normal"/>
        <w:spacing w:before="0" w:after="0"/>
        <w:jc w:val="center"/>
        <w:rPr>
          <w:rFonts w:eastAsia="Times New Roman"/>
          <w:lang w:eastAsia="ru-RU"/>
        </w:rPr>
      </w:pPr>
      <w:r>
        <w:rPr/>
      </w:r>
    </w:p>
    <w:p>
      <w:pPr>
        <w:pStyle w:val="Normal"/>
        <w:spacing w:before="0" w:after="0"/>
        <w:jc w:val="center"/>
        <w:rPr>
          <w:rFonts w:eastAsia="Times New Roman"/>
          <w:lang w:eastAsia="ru-RU"/>
        </w:rPr>
      </w:pPr>
      <w:r>
        <w:rPr/>
      </w:r>
    </w:p>
    <w:p>
      <w:pPr>
        <w:pStyle w:val="Normal"/>
        <w:spacing w:before="0" w:after="0"/>
        <w:jc w:val="center"/>
        <w:rPr>
          <w:rFonts w:eastAsia="Times New Roman"/>
          <w:lang w:eastAsia="ru-RU"/>
        </w:rPr>
      </w:pPr>
      <w:r>
        <w:rPr/>
      </w:r>
    </w:p>
    <w:p>
      <w:pPr>
        <w:pStyle w:val="Normal"/>
        <w:spacing w:before="0" w:after="0"/>
        <w:jc w:val="center"/>
        <w:rPr>
          <w:rFonts w:eastAsia="Times New Roman"/>
          <w:lang w:eastAsia="ru-RU"/>
        </w:rPr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Times New Roman"/>
          <w:lang w:eastAsia="ru-RU"/>
        </w:rPr>
        <w:t>Нижний Новгород</w:t>
      </w:r>
    </w:p>
    <w:p>
      <w:pPr>
        <w:pStyle w:val="Normal"/>
        <w:spacing w:before="0" w:after="0"/>
        <w:jc w:val="center"/>
        <w:rPr/>
      </w:pPr>
      <w:r>
        <w:rPr>
          <w:rFonts w:eastAsia="Times New Roman"/>
          <w:lang w:eastAsia="ru-RU"/>
        </w:rPr>
        <w:t>2018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052405359"/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  <w:b/>
              <w:color w:val="00000A"/>
            </w:rPr>
            <w:t>Оглавление</w:t>
          </w:r>
        </w:p>
        <w:p>
          <w:pPr>
            <w:pStyle w:val="11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1712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_Toc501712192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345" w:leader="dot"/>
            </w:tabs>
            <w:rPr/>
          </w:pPr>
          <w:hyperlink w:anchor="_Toc501712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_Toc501712193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Метод обратного распространения ошибки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345" w:leader="dot"/>
            </w:tabs>
            <w:rPr/>
          </w:pPr>
          <w:hyperlink w:anchor="_Toc501712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_Toc501712194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Общая схема метода обратного распространения ошибки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345" w:leader="dot"/>
            </w:tabs>
            <w:rPr/>
          </w:pPr>
          <w:hyperlink w:anchor="_Toc501712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_Toc501712195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Вывод математических формул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345" w:leader="dot"/>
            </w:tabs>
            <w:rPr/>
          </w:pPr>
          <w:hyperlink w:anchor="_Toc501712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_Toc501712196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Программная реализация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345" w:leader="dot"/>
            </w:tabs>
            <w:rPr/>
          </w:pPr>
          <w:hyperlink w:anchor="_Toc501712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_Toc501712197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Результаты экспериментов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3" w:name="_Toc501712192"/>
      <w:r>
        <w:rPr/>
        <w:t>Постановка задачи</w:t>
      </w:r>
      <w:bookmarkEnd w:id="3"/>
      <w:r>
        <w:rPr/>
        <w:t xml:space="preserve"> </w:t>
      </w:r>
    </w:p>
    <w:p>
      <w:pPr>
        <w:pStyle w:val="1"/>
        <w:jc w:val="center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Целью данной лабораторной работы является изучение метода обратного распространения ошибки для обучения многослойных искусственных нейронных сетей и его реализация на примере полностью связанной нейронной сети.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В качестве демонстрации работоспособности реализованного метода будет решена задача классификации рукописных цифр из набора данных MNIST</w:t>
      </w:r>
      <w:r>
        <w:rPr>
          <w:rFonts w:cs="Segoe UI" w:ascii="Segoe UI" w:hAnsi="Segoe UI"/>
          <w:color w:val="24292E"/>
          <w:shd w:fill="FFFFFF" w:val="clear"/>
        </w:rPr>
        <w:t>(</w:t>
      </w:r>
      <w:hyperlink r:id="rId2">
        <w:r>
          <w:rPr>
            <w:webHidden/>
            <w:rStyle w:val="Style13"/>
            <w:rFonts w:cs="Segoe UI" w:ascii="Segoe UI" w:hAnsi="Segoe UI"/>
            <w:vanish/>
            <w:color w:val="0366D6"/>
            <w:highlight w:val="white"/>
          </w:rPr>
          <w:t>http://yann.lecun.com/exdb/mnist/</w:t>
        </w:r>
      </w:hyperlink>
      <w:r>
        <w:rPr>
          <w:rFonts w:cs="Segoe UI" w:ascii="Segoe UI" w:hAnsi="Segoe UI"/>
          <w:color w:val="24292E"/>
          <w:shd w:fill="FFFFFF" w:val="clear"/>
        </w:rPr>
        <w:t>)</w:t>
      </w:r>
      <w:r>
        <w:rPr/>
        <w:t xml:space="preserve"> с помощью полностью связанной нейронной сети с одним скрытым слоем.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rPr/>
      </w:pPr>
      <w:r>
        <w:rPr/>
        <w:t>В процессе выполнения лабораторной работы ставятся следующие задачи</w:t>
      </w:r>
    </w:p>
    <w:p>
      <w:pPr>
        <w:pStyle w:val="ListParagraph"/>
        <w:numPr>
          <w:ilvl w:val="0"/>
          <w:numId w:val="1"/>
        </w:numPr>
        <w:rPr/>
      </w:pPr>
      <w:r>
        <w:rPr/>
        <w:t>Изучение общей схемы метода обратного распространения ошибки.</w:t>
      </w:r>
    </w:p>
    <w:p>
      <w:pPr>
        <w:pStyle w:val="ListParagraph"/>
        <w:numPr>
          <w:ilvl w:val="0"/>
          <w:numId w:val="1"/>
        </w:numPr>
        <w:rPr/>
      </w:pPr>
      <w:r>
        <w:rPr/>
        <w:t>Вывод математических формул для всех этапов метода.</w:t>
      </w:r>
    </w:p>
    <w:p>
      <w:pPr>
        <w:pStyle w:val="ListParagraph"/>
        <w:numPr>
          <w:ilvl w:val="0"/>
          <w:numId w:val="1"/>
        </w:numPr>
        <w:rPr/>
      </w:pPr>
      <w:r>
        <w:rPr/>
        <w:t>Разработка программной реализации метода обратного распространения ошибки.</w:t>
      </w:r>
    </w:p>
    <w:p>
      <w:pPr>
        <w:pStyle w:val="ListParagraph"/>
        <w:numPr>
          <w:ilvl w:val="0"/>
          <w:numId w:val="1"/>
        </w:numPr>
        <w:rPr/>
      </w:pPr>
      <w:r>
        <w:rPr/>
        <w:t>Тестирование демонстрационного приложения для классификации рукописных цифр с помощью разработанной программной реализации.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4" w:name="_Toc501712193"/>
      <w:r>
        <w:rPr/>
        <w:t>Метод обратного распространения ошибки</w:t>
      </w:r>
      <w:bookmarkEnd w:id="4"/>
      <w:r>
        <w:rPr/>
        <w:t xml:space="preserve"> </w:t>
      </w:r>
    </w:p>
    <w:p>
      <w:pPr>
        <w:pStyle w:val="1"/>
        <w:jc w:val="center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Пусть у искусственной нейронной сети есть множество входов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Inputs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/>
        <w:t xml:space="preserve">, множество выходов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Outputs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/>
        <w:t xml:space="preserve"> и множество внутренних узлов, расположенных на скрытых слоях. 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Вес связи соединяющей </w:t>
      </w:r>
      <w:r>
        <w:rPr>
          <w:rFonts w:cs="Cambria Math" w:ascii="Cambria Math" w:hAnsi="Cambria Math"/>
        </w:rPr>
        <w:t>𝑖-</w:t>
      </w:r>
      <w:r>
        <w:rPr/>
        <w:t xml:space="preserve">ый и </w:t>
      </w:r>
      <w:r>
        <w:rPr>
          <w:rFonts w:cs="Cambria Math" w:ascii="Cambria Math" w:hAnsi="Cambria Math"/>
        </w:rPr>
        <w:t>𝑗</w:t>
      </w:r>
      <w:r>
        <w:rPr/>
        <w:t xml:space="preserve">-ый узлы обозначим через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, а через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– выход </w:t>
      </w:r>
      <w:r>
        <w:rPr>
          <w:rFonts w:cs="Cambria Math" w:ascii="Cambria Math" w:hAnsi="Cambria Math"/>
        </w:rPr>
        <w:t>𝑖</w:t>
      </w:r>
      <w:r>
        <w:rPr/>
        <w:t xml:space="preserve">-го узла. 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В качестве функции ошибки нейронной сети для задачи классификации рассматривается кросс-энтропия: 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Style21"/>
        <w:ind w:left="0" w:righ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L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d>
                      </m:sup>
                    </m:sSubSup>
                  </m:e>
                </m:d>
              </m:e>
            </m:nary>
          </m:e>
        </m:nary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↔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му</m:t>
        </m:r>
        <m:r>
          <w:rPr>
            <w:rFonts w:ascii="Cambria Math" w:hAnsi="Cambria Math"/>
          </w:rPr>
          <m:t xml:space="preserve">классу</m:t>
        </m:r>
      </m:oMath>
      <w:r>
        <w:rPr>
          <w:sz w:val="24"/>
          <w:szCs w:val="24"/>
        </w:rPr>
        <w:t>,</w:t>
      </w:r>
      <w:r>
        <w:rPr/>
        <w:tab/>
        <w:t>(1)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Где: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mbria Math" w:ascii="Cambria Math" w:hAnsi="Cambria Math"/>
        </w:rPr>
        <w:t>𝐿</w:t>
      </w:r>
      <w:r>
        <w:rPr/>
        <w:t xml:space="preserve"> – </w:t>
      </w:r>
      <w:r>
        <w:rPr/>
        <w:t>количество примеров в обучающей выборке,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mbria Math" w:ascii="Cambria Math" w:hAnsi="Cambria Math"/>
        </w:rPr>
        <w:t>𝑀</w:t>
      </w:r>
      <w:r>
        <w:rPr/>
        <w:t xml:space="preserve"> – </w:t>
      </w:r>
      <w:r>
        <w:rPr/>
        <w:t>количество классов и нейронов выходном слое,</w:t>
      </w:r>
    </w:p>
    <w:p>
      <w:pPr>
        <w:pStyle w:val="ListParagraph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acc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Y</m:t>
        </m:r>
      </m:oMath>
      <w:r>
        <w:rPr/>
        <w:t xml:space="preserve"> – </w:t>
      </w:r>
      <w:r>
        <w:rPr/>
        <w:t xml:space="preserve">метка входного примера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acc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 из обучающей выборки,</w:t>
      </w:r>
    </w:p>
    <w:p>
      <w:pPr>
        <w:pStyle w:val="ListParagraph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acc>
          </m:sub>
        </m:sSub>
      </m:oMath>
      <w:r>
        <w:rPr/>
        <w:t xml:space="preserve"> – </w:t>
      </w:r>
      <w:r>
        <w:rPr/>
        <w:t>выход нейронной сети для того же примера.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Задача обучения нейронной сети может быть сформулирована следующим образом: </w:t>
      </w:r>
    </w:p>
    <w:p>
      <w:pPr>
        <w:pStyle w:val="Style21"/>
        <w:jc w:val="center"/>
        <w:rPr/>
      </w:pPr>
      <w:r>
        <w:rPr/>
      </w:r>
    </w:p>
    <w:p>
      <w:pPr>
        <w:pStyle w:val="Style21"/>
        <w:ind w:left="0" w:righ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limUpp>
          <m:e>
            <m:r>
              <w:rPr>
                <w:rFonts w:ascii="Cambria Math" w:hAnsi="Cambria Math"/>
              </w:rPr>
              <m:t xml:space="preserve">ω</m:t>
            </m:r>
          </m:e>
          <m:lim>
            <m:r>
              <w:rPr>
                <w:rFonts w:ascii="Cambria Math" w:hAnsi="Cambria Math"/>
              </w:rPr>
              <m:t xml:space="preserve">→</m:t>
            </m:r>
          </m:lim>
        </m:limUpp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∀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ab/>
        <w:tab/>
        <w:tab/>
        <w:tab/>
        <w:t>(2)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Задача (2) может быть решена численными методами, например, методом градиентного спуска или квазиньютоновскими методами.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В данной лабораторной работе рассматривается последовательный (стохастический) режим обучения нейронной сети. В таком режиме корректировка весов выполняется после каждого предъявления примера из обучающей выборки.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35" w:leader="none"/>
        </w:tabs>
        <w:ind w:left="0" w:right="0" w:firstLine="567"/>
        <w:rPr/>
      </w:pPr>
      <w:r>
        <w:rPr/>
        <w:t>В качестве критерия остановки можно использовать фиксированное число предъявлений всей обучаемой выборки (максимально допустимое количество эпох), достигнутая точность поиска минимума функции потерь, либо слабое изменение весов.</w:t>
      </w:r>
      <w:r>
        <w:br w:type="page"/>
      </w:r>
    </w:p>
    <w:p>
      <w:pPr>
        <w:pStyle w:val="1"/>
        <w:jc w:val="center"/>
        <w:rPr/>
      </w:pPr>
      <w:bookmarkStart w:id="5" w:name="_Toc501712194"/>
      <w:r>
        <w:rPr/>
        <w:t>Общая схема метода обратного распространения ошибки</w:t>
      </w:r>
      <w:bookmarkEnd w:id="5"/>
      <w:r>
        <w:rPr/>
        <w:t xml:space="preserve"> </w:t>
      </w:r>
    </w:p>
    <w:p>
      <w:pPr>
        <w:pStyle w:val="1"/>
        <w:jc w:val="center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Общая схема метода обратного распространения ошибки может быть представлена следующим образом: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Инициализация весов  </w:t>
      </w:r>
      <w:r>
        <w:rPr>
          <w:rFonts w:cs="Cambria Math" w:ascii="Cambria Math" w:hAnsi="Cambria Math"/>
        </w:rPr>
        <w:t xml:space="preserve">𝜔 </w:t>
      </w:r>
      <w:r>
        <w:rPr/>
        <w:t>и установка параметров нейронной сети.</w:t>
      </w:r>
    </w:p>
    <w:p>
      <w:pPr>
        <w:pStyle w:val="ListParagraph"/>
        <w:numPr>
          <w:ilvl w:val="0"/>
          <w:numId w:val="3"/>
        </w:numPr>
        <w:rPr/>
      </w:pPr>
      <w:r>
        <w:rPr/>
        <w:t>Пока не выполнится один из критериев остановки ̅̅̅̅ (достигнуто максимальное число эпох или достигнутая точность обучения):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Прямой проход нейронной сети </w:t>
      </w:r>
    </w:p>
    <w:p>
      <w:pPr>
        <w:pStyle w:val="ListParagraph"/>
        <w:numPr>
          <w:ilvl w:val="2"/>
          <w:numId w:val="3"/>
        </w:numPr>
        <w:rPr/>
      </w:pPr>
      <w:r>
        <w:rPr/>
        <w:t>Подаем входные параметры системы и вычисляем значения выходных сигналов нейронов поочередно на каждом из слоев.</w:t>
      </w:r>
    </w:p>
    <w:p>
      <w:pPr>
        <w:pStyle w:val="ListParagraph"/>
        <w:numPr>
          <w:ilvl w:val="1"/>
          <w:numId w:val="3"/>
        </w:numPr>
        <w:rPr/>
      </w:pPr>
      <w:r>
        <w:rPr/>
        <w:t>Обратный проход нейронной сети</w:t>
      </w:r>
    </w:p>
    <w:p>
      <w:pPr>
        <w:pStyle w:val="ListParagraph"/>
        <w:numPr>
          <w:ilvl w:val="2"/>
          <w:numId w:val="3"/>
        </w:numPr>
        <w:rPr/>
      </w:pPr>
      <w:r>
        <w:rPr/>
        <w:t>Вычисляем ошибку на каждом из слоев</w:t>
      </w:r>
    </w:p>
    <w:p>
      <w:pPr>
        <w:pStyle w:val="ListParagraph"/>
        <w:numPr>
          <w:ilvl w:val="2"/>
          <w:numId w:val="3"/>
        </w:numPr>
        <w:rPr/>
      </w:pPr>
      <w:r>
        <w:rPr/>
        <w:t>Делаем корректировку весов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Полученные значения весов </w:t>
      </w:r>
      <w:bookmarkStart w:id="6" w:name="__DdeLink__1167_464540013"/>
      <w:r>
        <w:rPr>
          <w:rFonts w:cs="Cambria Math" w:ascii="Cambria Math" w:hAnsi="Cambria Math"/>
        </w:rPr>
        <w:t>𝜔</w:t>
      </w:r>
      <w:bookmarkEnd w:id="6"/>
      <w:r>
        <w:rPr/>
        <w:t xml:space="preserve"> использовать для дальнейшей классификации.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7" w:name="_Toc501712195"/>
      <w:r>
        <w:rPr/>
        <w:t>Вывод математических формул</w:t>
      </w:r>
      <w:bookmarkEnd w:id="7"/>
      <w:r>
        <w:rPr/>
        <w:t xml:space="preserve"> </w:t>
      </w:r>
    </w:p>
    <w:p>
      <w:pPr>
        <w:pStyle w:val="1"/>
        <w:jc w:val="center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Как видно из схемы метода обратного распространения ошибки, описанном в предыдущей секции, необходимым условием реализации и применения данного метода является знание частных производных и градиентов функции потерь на всех слоях нейронной сети.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0" w:right="0" w:firstLine="567"/>
        <w:jc w:val="left"/>
        <w:rPr/>
      </w:pPr>
      <w:bookmarkStart w:id="8" w:name="OLE_LINK29"/>
      <w:bookmarkStart w:id="9" w:name="OLE_LINK30"/>
      <w:bookmarkStart w:id="10" w:name="OLE_LINK31"/>
      <w:r>
        <w:rPr/>
        <w:t xml:space="preserve">Выход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Fonts w:eastAsia="" w:eastAsiaTheme="minorEastAsia"/>
        </w:rPr>
        <w:t>-</w:t>
      </w:r>
      <w:r>
        <w:rPr/>
        <w:t xml:space="preserve">го нейрона </w:t>
      </w:r>
      <w:bookmarkEnd w:id="8"/>
      <w:bookmarkEnd w:id="9"/>
      <w:bookmarkEnd w:id="10"/>
      <w:r>
        <w:rPr/>
        <w:t>входного слоя:</w:t>
      </w:r>
    </w:p>
    <w:p>
      <w:pPr>
        <w:pStyle w:val="Normal"/>
        <w:ind w:left="0" w:right="0" w:firstLine="567"/>
        <w:jc w:val="left"/>
        <w:rPr/>
      </w:pPr>
      <w:r>
        <w:rPr/>
      </w:r>
    </w:p>
    <w:p>
      <w:pPr>
        <w:pStyle w:val="Style2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}</m:t>
        </m:r>
        <m:r>
          <w:rPr>
            <w:rFonts w:ascii="Cambria Math" w:hAnsi="Cambria Math"/>
          </w:rPr>
          <m:t xml:space="preserve">,</m:t>
        </m:r>
      </m:oMath>
      <w:r>
        <w:rPr/>
        <w:tab/>
        <w:tab/>
        <w:tab/>
        <w:tab/>
        <w:tab/>
        <w:t>(3)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0" w:right="0" w:firstLine="567"/>
        <w:jc w:val="center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eastAsiaTheme="minorEastAsia"/>
          <w:iCs/>
        </w:rPr>
        <w:t xml:space="preserve"> </w:t>
      </w:r>
      <w:r>
        <w:rPr/>
        <w:t xml:space="preserve">– значение </w:t>
      </w:r>
      <w:r>
        <w:rPr>
          <w:rFonts w:cs="Cambria Math" w:ascii="Cambria Math" w:hAnsi="Cambria Math"/>
        </w:rPr>
        <w:t>𝑗</w:t>
      </w:r>
      <w:r>
        <w:rPr/>
        <w:t xml:space="preserve">-ой компоненты входного вектора, что в данной лабораторной работе является интенсивностью </w:t>
      </w:r>
      <w:r>
        <w:rPr>
          <w:rFonts w:cs="Cambria Math" w:ascii="Cambria Math" w:hAnsi="Cambria Math"/>
        </w:rPr>
        <w:t>𝑗</w:t>
      </w:r>
      <w:r>
        <w:rPr/>
        <w:t>−го пикселя.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Выход </w:t>
      </w:r>
      <w:bookmarkStart w:id="11" w:name="OLE_LINK17"/>
      <w:bookmarkStart w:id="12" w:name="OLE_LINK18"/>
      <w:bookmarkStart w:id="13" w:name="OLE_LINK19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bookmarkEnd w:id="11"/>
      <w:bookmarkEnd w:id="12"/>
      <w:bookmarkEnd w:id="13"/>
      <w:r>
        <w:rPr/>
        <w:t xml:space="preserve"> </w:t>
      </w:r>
      <w:r>
        <w:rPr>
          <w:rFonts w:cs="Cambria Math" w:ascii="Cambria Math" w:hAnsi="Cambria Math"/>
        </w:rPr>
        <w:t>𝑗</w:t>
      </w:r>
      <w:r>
        <w:rPr/>
        <w:t>-го нейрона скрытого слоя вычисляется следующим образом:</w:t>
      </w:r>
    </w:p>
    <w:p>
      <w:pPr>
        <w:pStyle w:val="Style21"/>
        <w:jc w:val="center"/>
        <w:rPr/>
      </w:pPr>
      <w:r>
        <w:rPr/>
      </w:r>
    </w:p>
    <w:p>
      <w:pPr>
        <w:pStyle w:val="Style21"/>
        <w:ind w:left="0" w:right="0" w:firstLine="1134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Parents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d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∙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</m:oMath>
      <w:r>
        <w:rPr/>
        <w:t>,</w:t>
        <w:tab/>
        <w:t xml:space="preserve">(4)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0" w:right="0" w:firstLine="567"/>
        <w:jc w:val="center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⋅</m:t>
            </m:r>
          </m:e>
        </m:d>
      </m:oMath>
      <w:r>
        <w:rPr/>
        <w:t xml:space="preserve"> − функция активации слоя.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В данной лабораторной работе в качестве функции активации скрытых слоёв рассматривается сигмоидальная функция 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βx</m:t>
                </m:r>
              </m:e>
            </m:d>
          </m:den>
        </m:f>
      </m:oMath>
      <w:r>
        <w:rPr/>
        <w:t>,</w:t>
        <w:tab/>
        <w:tab/>
        <w:tab/>
        <w:tab/>
        <w:t xml:space="preserve">(5) 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jc w:val="center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- параметр функции активации.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Выход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Fonts w:eastAsia="" w:eastAsiaTheme="minorEastAsia"/>
        </w:rPr>
        <w:t>-</w:t>
      </w:r>
      <w:r>
        <w:rPr/>
        <w:t>го нейрона выходного слоя вычисляется аналогично (4), только в качестве функции активации рассматривается функция Softmax: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</m:nary>
          </m:den>
        </m:f>
      </m:oMath>
      <w:r>
        <w:rPr/>
        <w:t>.</w:t>
        <w:tab/>
        <w:tab/>
        <w:tab/>
        <w:tab/>
        <w:tab/>
        <w:t xml:space="preserve">(6)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Формулы (4) – (6) позволяют вычислить выход нейронной сети, а именно выполнить прямой ход алгоритма обратного распространения ошибки </w:t>
      </w:r>
    </w:p>
    <w:p>
      <w:pPr>
        <w:pStyle w:val="Normal"/>
        <w:rPr/>
      </w:pPr>
      <w:r>
        <w:rPr/>
        <w:t xml:space="preserve">Перед началом обратного хода необходимо вычислить градиент функции ошибки (1) по сумматору нейронов выходного слоя с функцией активации (6) для одного предъявленного примера из обучающей выборки при условии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.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  <m:e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e>
                </m:d>
              </m:e>
            </m:nary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sepChr m:val="|"/>
                <m:endChr m:val=")"/>
              </m:dPr>
            </m:d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  <m:e/>
            </m:nary>
          </m:e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∂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</m:e>
        </m:eqAr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f>
              <m:num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</m:e>
                </m:nary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f>
              <m:num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</m:e>
                </m:nary>
              </m:den>
            </m:f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exp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f>
              <m:num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</m:e>
                </m:nary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f>
              <m:num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</m:e>
                </m:nary>
              </m:den>
            </m:f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Style2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/>
        <w:tab/>
        <w:tab/>
        <w:tab/>
        <w:tab/>
        <w:tab/>
        <w:t>(7)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</m:nary>
          </m:den>
        </m:f>
      </m:oMath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Ошибка в узлах скрытого слоя является произведением взвешенной ошибки на последующем слое на производную функции активации этого слоя. </w:t>
      </w:r>
    </w:p>
    <w:p>
      <w:pPr>
        <w:pStyle w:val="Normal"/>
        <w:ind w:left="0" w:right="0" w:firstLine="567"/>
        <w:rPr/>
      </w:pPr>
      <w:r>
        <w:rPr/>
        <w:t xml:space="preserve">Производные выбранных функций активации (5) – (6) могут быть вычислены с использованием значений самой функции. 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Таким образом в случае сигмоидальной функции активации (5) получаем: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Style w:val="Style15"/>
        </w:rPr>
        <w:tab/>
        <w:t>(8)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Подстановка полученных формул (7) и (8) в общую схему метода обратного распространения ошибки позволяет вычислить ошибки на всех слоях нейронной сети и произвести коррекцию весом для минимизации функции ошибки.</w:t>
      </w:r>
    </w:p>
    <w:p>
      <w:pPr>
        <w:pStyle w:val="Normal"/>
        <w:rPr/>
      </w:pPr>
      <w:r>
        <w:rPr/>
        <w:t>Коррекция весов производится по следующей формуле: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η</m:t>
            </m:r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  <m:r>
          <w:rPr>
            <w:rFonts w:ascii="Cambria Math" w:hAnsi="Cambria Math"/>
          </w:rPr>
          <m:t xml:space="preserve">.</m:t>
        </m:r>
      </m:oMath>
      <w:r>
        <w:rPr/>
        <w:tab/>
        <w:tab/>
        <w:tab/>
        <w:tab/>
        <w:t>(9)</w:t>
      </w:r>
    </w:p>
    <w:p>
      <w:pPr>
        <w:pStyle w:val="Normal"/>
        <w:ind w:hanging="0"/>
        <w:rPr/>
      </w:pPr>
      <w:r>
        <w:rPr/>
        <w:t>Где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Cambria Math" w:ascii="Cambria Math" w:hAnsi="Cambria Math"/>
        </w:rPr>
        <w:t>𝜂</w:t>
      </w:r>
      <w:r>
        <w:rPr/>
        <w:t xml:space="preserve"> – </w:t>
      </w:r>
      <w:r>
        <w:rPr/>
        <w:t>скорость обучения,</w:t>
      </w:r>
    </w:p>
    <w:p>
      <w:pPr>
        <w:pStyle w:val="ListParagraph"/>
        <w:numPr>
          <w:ilvl w:val="0"/>
          <w:numId w:val="4"/>
        </w:numPr>
        <w:rPr/>
      </w:pPr>
      <w:r>
        <w:rPr>
          <w:i/>
          <w:lang w:val="en-US"/>
        </w:rPr>
        <w:t xml:space="preserve">r </w:t>
      </w:r>
      <w:r>
        <w:rPr/>
        <w:t>– порядковый номер эпохи.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14" w:name="_Toc501712196"/>
      <w:r>
        <w:rPr/>
        <w:t>Программная реализация</w:t>
      </w:r>
      <w:bookmarkEnd w:id="14"/>
      <w:r>
        <w:rPr/>
        <w:t xml:space="preserve"> </w:t>
      </w:r>
    </w:p>
    <w:p>
      <w:pPr>
        <w:pStyle w:val="1"/>
        <w:jc w:val="center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Программная реализация метода, была разработана на языке  </w:t>
      </w:r>
      <w:r>
        <w:rPr/>
        <w:t xml:space="preserve">Python с ипользованием библиотеки numpy </w:t>
      </w:r>
      <w:r>
        <w:rPr/>
        <w:t>в соответствии с приведённым выше алгоритмом и выведенными формулами для коррекции весов.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15" w:name="_Toc501712197"/>
      <w:r>
        <w:rPr/>
        <w:t>Результаты экспериментов</w:t>
      </w:r>
      <w:bookmarkEnd w:id="1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Точность классификации определялась согласно формуле 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Style2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precision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correct</m:t>
            </m:r>
            <m:r>
              <w:rPr>
                <w:rFonts w:ascii="Cambria Math" w:hAnsi="Cambria Math"/>
              </w:rPr>
              <m:t xml:space="preserve">classification</m:t>
            </m:r>
          </m:num>
          <m:den>
            <m:r>
              <w:rPr>
                <w:rFonts w:ascii="Cambria Math" w:hAnsi="Cambria Math"/>
              </w:rPr>
              <m:t xml:space="preserve">correct</m:t>
            </m:r>
            <m:r>
              <w:rPr>
                <w:rFonts w:ascii="Cambria Math" w:hAnsi="Cambria Math"/>
              </w:rPr>
              <m:t xml:space="preserve">classification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classification</m:t>
            </m:r>
          </m:den>
        </m:f>
      </m:oMath>
      <w:r>
        <w:rPr/>
        <w:t xml:space="preserve"> </w:t>
      </w:r>
      <w:r>
        <w:rPr/>
        <w:tab/>
        <w:tab/>
        <w:t xml:space="preserve">(10)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При проведении экспериментов в качестве критерия остановки использовался комбинированный подход – максимальное количество эпох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max</m:t>
            </m:r>
          </m:e>
          <m:sub>
            <m:r>
              <w:rPr>
                <w:rFonts w:ascii="Cambria Math" w:hAnsi="Cambria Math"/>
              </w:rPr>
              <m:t xml:space="preserve">epoc</m:t>
            </m:r>
          </m:sub>
        </m:sSub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</m:oMath>
      <w:r>
        <w:rPr/>
        <w:t>), и порог достигнутой точности на валидационной выборке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max</m:t>
            </m:r>
          </m:e>
          <m:sub>
            <m:r>
              <w:rPr>
                <w:rFonts w:ascii="Cambria Math" w:hAnsi="Cambria Math"/>
              </w:rPr>
              <m:t xml:space="preserve">precision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0.98</m:t>
        </m:r>
      </m:oMath>
      <w:r>
        <w:rPr/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 xml:space="preserve">Начальные веса инициализируются случайными значениями из равномерного распределения с границами 0.003 и 0.007.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Результаты проведенных экспериментов</w:t>
      </w:r>
      <w:r>
        <w:rPr>
          <w:b/>
          <w:lang w:val="en-US"/>
        </w:rPr>
        <w:t>:</w:t>
      </w:r>
    </w:p>
    <w:tbl>
      <w:tblPr>
        <w:tblStyle w:val="ad"/>
        <w:tblW w:w="934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4"/>
        <w:gridCol w:w="2269"/>
        <w:gridCol w:w="2247"/>
        <w:gridCol w:w="2715"/>
      </w:tblGrid>
      <w:tr>
        <w:trPr/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>
                <w:color w:val="000000"/>
              </w:rPr>
              <w:t>Количество нейронов на скрытом слое</w:t>
            </w:r>
          </w:p>
        </w:tc>
        <w:tc>
          <w:tcPr>
            <w:tcW w:w="22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>
                <w:color w:val="000000"/>
              </w:rPr>
              <w:t>Скорость обучения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скрытого слоя</w:t>
            </w:r>
          </w:p>
        </w:tc>
        <w:tc>
          <w:tcPr>
            <w:tcW w:w="22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>
                <w:color w:val="000000"/>
              </w:rPr>
              <w:t>Количество эпох</w:t>
            </w:r>
          </w:p>
        </w:tc>
        <w:tc>
          <w:tcPr>
            <w:tcW w:w="27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>
                <w:color w:val="000000"/>
              </w:rPr>
              <w:t xml:space="preserve">Достигнутая точность на </w:t>
            </w:r>
            <w:bookmarkStart w:id="16" w:name="_GoBack"/>
            <w:bookmarkEnd w:id="16"/>
            <w:r>
              <w:rPr>
                <w:color w:val="000000"/>
              </w:rPr>
              <w:t>тестовой выборке</w:t>
            </w:r>
          </w:p>
        </w:tc>
      </w:tr>
      <w:tr>
        <w:trPr/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100</w:t>
            </w:r>
          </w:p>
        </w:tc>
        <w:tc>
          <w:tcPr>
            <w:tcW w:w="2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0.05</w:t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20</w:t>
            </w:r>
          </w:p>
        </w:tc>
        <w:tc>
          <w:tcPr>
            <w:tcW w:w="2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0.9762</w:t>
            </w:r>
          </w:p>
        </w:tc>
      </w:tr>
      <w:tr>
        <w:trPr/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150</w:t>
            </w:r>
          </w:p>
        </w:tc>
        <w:tc>
          <w:tcPr>
            <w:tcW w:w="2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0.08</w:t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20</w:t>
            </w:r>
          </w:p>
        </w:tc>
        <w:tc>
          <w:tcPr>
            <w:tcW w:w="2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0.9771</w:t>
            </w:r>
          </w:p>
        </w:tc>
      </w:tr>
      <w:tr>
        <w:trPr/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100</w:t>
            </w:r>
          </w:p>
        </w:tc>
        <w:tc>
          <w:tcPr>
            <w:tcW w:w="2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0.1</w:t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20</w:t>
            </w:r>
          </w:p>
        </w:tc>
        <w:tc>
          <w:tcPr>
            <w:tcW w:w="2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0.9721</w:t>
            </w:r>
          </w:p>
        </w:tc>
      </w:tr>
      <w:tr>
        <w:trPr/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50</w:t>
            </w:r>
          </w:p>
        </w:tc>
        <w:tc>
          <w:tcPr>
            <w:tcW w:w="2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0.05</w:t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20</w:t>
            </w:r>
          </w:p>
        </w:tc>
        <w:tc>
          <w:tcPr>
            <w:tcW w:w="2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0.9660</w:t>
            </w:r>
          </w:p>
        </w:tc>
      </w:tr>
      <w:tr>
        <w:trPr/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200</w:t>
            </w:r>
          </w:p>
        </w:tc>
        <w:tc>
          <w:tcPr>
            <w:tcW w:w="2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0.1</w:t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20</w:t>
            </w:r>
          </w:p>
        </w:tc>
        <w:tc>
          <w:tcPr>
            <w:tcW w:w="27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b/>
              </w:rPr>
              <w:t>0.9750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Segoe UI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%2)"/>
      <w:lvlJc w:val="left"/>
      <w:pPr>
        <w:ind w:left="2007" w:hanging="360"/>
      </w:pPr>
    </w:lvl>
    <w:lvl w:ilvl="2">
      <w:start w:val="1"/>
      <w:numFmt w:val="decimal"/>
      <w:lvlText w:val="(%3)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35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9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1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5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7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1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ind w:hanging="0"/>
      <w:outlineLvl w:val="0"/>
    </w:pPr>
    <w:rPr>
      <w:b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Style15">
    <w:name w:val="Формула Знак"/>
    <w:basedOn w:val="DefaultParagraphFont"/>
    <w:qFormat/>
    <w:rPr>
      <w:rFonts w:ascii="Times New Roman" w:hAnsi="Times New Roman" w:eastAsia="" w:cs="Times New Roman" w:eastAsiaTheme="minorEastAsia"/>
      <w:sz w:val="28"/>
      <w:szCs w:val="2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qFormat/>
    <w:pPr>
      <w:keepNext/>
      <w:keepLines/>
      <w:spacing w:before="240" w:after="0"/>
      <w:jc w:val="left"/>
    </w:pPr>
    <w:rPr>
      <w:rFonts w:eastAsia="" w:cs="" w:asciiTheme="majorHAnsi" w:cstheme="majorBidi" w:eastAsiaTheme="majorEastAsia" w:hAnsiTheme="majorHAnsi"/>
      <w:b w:val="false"/>
      <w:color w:val="2E74B5" w:themeColor="accent1" w:themeShade="bf"/>
      <w:lang w:eastAsia="ru-RU"/>
    </w:rPr>
  </w:style>
  <w:style w:type="paragraph" w:styleId="11">
    <w:name w:val="TOC 1"/>
    <w:basedOn w:val="Normal"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160"/>
      <w:ind w:left="720" w:firstLine="567"/>
      <w:contextualSpacing/>
    </w:pPr>
    <w:rPr/>
  </w:style>
  <w:style w:type="paragraph" w:styleId="Style21">
    <w:name w:val="Формула"/>
    <w:basedOn w:val="Normal"/>
    <w:qFormat/>
    <w:pPr>
      <w:jc w:val="right"/>
    </w:pPr>
    <w:rPr>
      <w:rFonts w:eastAsia="" w:eastAsiaTheme="minorEastAsi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n.lecun.com/exdb/mni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9</Pages>
  <Words>780</Words>
  <Characters>5297</Characters>
  <CharactersWithSpaces>6030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2018-02-15T12:18:45Z</dcterms:created>
  <dc:creator/>
  <dc:description/>
  <dc:language>ru-RU</dc:language>
  <cp:lastModifiedBy/>
  <dcterms:modified xsi:type="dcterms:W3CDTF">2018-02-15T13:33:44Z</dcterms:modified>
  <cp:revision>10</cp:revision>
  <dc:subject/>
  <dc:title/>
</cp:coreProperties>
</file>