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Educational charity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426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1,470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Pharmaceutical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82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2,307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2020-07-14T18:37:45Z</dcterms:modified>
  <cp:category/>
</cp:coreProperties>
</file>